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2CF6F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  <w:b/>
          <w:bCs/>
        </w:rPr>
      </w:pPr>
      <w:r w:rsidRPr="004C4315">
        <w:rPr>
          <w:rFonts w:ascii="Times New Roman" w:hAnsi="Times New Roman" w:cs="Times New Roman"/>
          <w:b/>
          <w:bCs/>
        </w:rPr>
        <w:t>Supplementary Materials</w:t>
      </w:r>
    </w:p>
    <w:p w14:paraId="65BC8FB1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  <w:b/>
          <w:bCs/>
        </w:rPr>
      </w:pPr>
      <w:r w:rsidRPr="004C4315">
        <w:rPr>
          <w:rFonts w:ascii="Times New Roman" w:hAnsi="Times New Roman" w:cs="Times New Roman"/>
          <w:b/>
          <w:bCs/>
        </w:rPr>
        <w:t>Table S1: Search Strategy</w:t>
      </w:r>
    </w:p>
    <w:p w14:paraId="0DE16640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</w:rPr>
        <w:t>The search strategy identified studies from January 1, 2020, to July 31, 2025, across PubMed, Embase, Scopus, Web of Science, and Cochrane Library, using MeSH and free-text terms linked by Boolean operators.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5991"/>
        <w:gridCol w:w="2230"/>
      </w:tblGrid>
      <w:tr w:rsidR="00792262" w:rsidRPr="004C4315" w14:paraId="0E733230" w14:textId="77777777" w:rsidTr="008613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1C5CC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0" w:type="auto"/>
            <w:vAlign w:val="center"/>
            <w:hideMark/>
          </w:tcPr>
          <w:p w14:paraId="2A1FE24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Search String</w:t>
            </w:r>
          </w:p>
        </w:tc>
        <w:tc>
          <w:tcPr>
            <w:tcW w:w="0" w:type="auto"/>
            <w:vAlign w:val="center"/>
            <w:hideMark/>
          </w:tcPr>
          <w:p w14:paraId="2437DF0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Filters Applied</w:t>
            </w:r>
          </w:p>
        </w:tc>
      </w:tr>
      <w:tr w:rsidR="00792262" w:rsidRPr="004C4315" w14:paraId="4EF35483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9027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0" w:type="auto"/>
            <w:vAlign w:val="center"/>
            <w:hideMark/>
          </w:tcPr>
          <w:p w14:paraId="15C0CE2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("artificial intelligence"[MeSH] OR "machine learning"[MeSH] OR "deep learning" OR "neural networks") AND ("orthognathic surgery"[MeSH] OR "dentofacial deformities"[MeSH] OR "jaw surgery") AND ("outcome prediction" OR "diagnostic accuracy" OR "treatment planning")</w:t>
            </w:r>
          </w:p>
        </w:tc>
        <w:tc>
          <w:tcPr>
            <w:tcW w:w="0" w:type="auto"/>
            <w:vAlign w:val="center"/>
            <w:hideMark/>
          </w:tcPr>
          <w:p w14:paraId="20B15AC1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Publication date: 2020-01-01 to 2025-07-31, English, Human studies</w:t>
            </w:r>
          </w:p>
        </w:tc>
      </w:tr>
      <w:tr w:rsidR="00792262" w:rsidRPr="004C4315" w14:paraId="23AE7B5E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DFA7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0" w:type="auto"/>
            <w:vAlign w:val="center"/>
            <w:hideMark/>
          </w:tcPr>
          <w:p w14:paraId="157F392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('artificial intelligence':ti,ab OR 'machine learning':ti,ab OR 'deep learning':ti,ab OR 'neural network':ti,ab) AND ('orthognathic surgery':ti,ab OR 'dentofacial deformity':ti,ab) AND ('outcome prediction':ti,ab OR 'diagnostic accuracy':ti,ab)</w:t>
            </w:r>
          </w:p>
        </w:tc>
        <w:tc>
          <w:tcPr>
            <w:tcW w:w="0" w:type="auto"/>
            <w:vAlign w:val="center"/>
            <w:hideMark/>
          </w:tcPr>
          <w:p w14:paraId="4CC1037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Publication date: 2020-01-01 to 2025-07-31, English</w:t>
            </w:r>
          </w:p>
        </w:tc>
      </w:tr>
      <w:tr w:rsidR="00792262" w:rsidRPr="004C4315" w14:paraId="3E8E7E81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F932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0" w:type="auto"/>
            <w:vAlign w:val="center"/>
            <w:hideMark/>
          </w:tcPr>
          <w:p w14:paraId="0B7CF60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 xml:space="preserve">TITLE-ABS-KEY(("artificial intelligence" OR "machine learning" OR "deep learning" OR "neural networks") AND </w:t>
            </w:r>
            <w:r w:rsidRPr="004C4315">
              <w:rPr>
                <w:rFonts w:ascii="Times New Roman" w:hAnsi="Times New Roman" w:cs="Times New Roman"/>
              </w:rPr>
              <w:lastRenderedPageBreak/>
              <w:t>("orthognathic surgery" OR "dentofacial deformities") AND ("outcome prediction" OR "diagnostic accuracy"))</w:t>
            </w:r>
          </w:p>
        </w:tc>
        <w:tc>
          <w:tcPr>
            <w:tcW w:w="0" w:type="auto"/>
            <w:vAlign w:val="center"/>
            <w:hideMark/>
          </w:tcPr>
          <w:p w14:paraId="53F6CFC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lastRenderedPageBreak/>
              <w:t xml:space="preserve">Publication date: 2020-01-01 to 2025-07-31, English, </w:t>
            </w:r>
            <w:r w:rsidRPr="004C4315">
              <w:rPr>
                <w:rFonts w:ascii="Times New Roman" w:hAnsi="Times New Roman" w:cs="Times New Roman"/>
              </w:rPr>
              <w:lastRenderedPageBreak/>
              <w:t>Article or Conference Paper</w:t>
            </w:r>
          </w:p>
        </w:tc>
      </w:tr>
      <w:tr w:rsidR="00792262" w:rsidRPr="004C4315" w14:paraId="7E8B914E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7F9F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lastRenderedPageBreak/>
              <w:t>Web of Science</w:t>
            </w:r>
          </w:p>
        </w:tc>
        <w:tc>
          <w:tcPr>
            <w:tcW w:w="0" w:type="auto"/>
            <w:vAlign w:val="center"/>
            <w:hideMark/>
          </w:tcPr>
          <w:p w14:paraId="105CA60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TS=("artificial intelligence" OR "machine learning" OR "deep learning" OR "neural networks") AND TS=("orthognathic surgery" OR "dentofacial deformities") AND TS=("outcome prediction" OR "diagnostic accuracy")</w:t>
            </w:r>
          </w:p>
        </w:tc>
        <w:tc>
          <w:tcPr>
            <w:tcW w:w="0" w:type="auto"/>
            <w:vAlign w:val="center"/>
            <w:hideMark/>
          </w:tcPr>
          <w:p w14:paraId="4D59868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Publication date: 2020-01-01 to 2025-07-31, English</w:t>
            </w:r>
          </w:p>
        </w:tc>
      </w:tr>
      <w:tr w:rsidR="00792262" w:rsidRPr="004C4315" w14:paraId="047A7EAF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2657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Cochrane Library</w:t>
            </w:r>
          </w:p>
        </w:tc>
        <w:tc>
          <w:tcPr>
            <w:tcW w:w="0" w:type="auto"/>
            <w:vAlign w:val="center"/>
            <w:hideMark/>
          </w:tcPr>
          <w:p w14:paraId="330BFB2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("artificial intelligence" OR "machine learning" OR "deep learning" OR "neural networks") AND ("orthognathic surgery" OR "dentofacial deformities") AND ("outcome prediction" OR "diagnostic accuracy")</w:t>
            </w:r>
          </w:p>
        </w:tc>
        <w:tc>
          <w:tcPr>
            <w:tcW w:w="0" w:type="auto"/>
            <w:vAlign w:val="center"/>
            <w:hideMark/>
          </w:tcPr>
          <w:p w14:paraId="6DAF9881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Publication date: 2020-01-01 to 2025-07-31, English</w:t>
            </w:r>
          </w:p>
        </w:tc>
      </w:tr>
    </w:tbl>
    <w:p w14:paraId="6A5AAFC0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Notes</w:t>
      </w:r>
      <w:r w:rsidRPr="004C4315">
        <w:rPr>
          <w:rFonts w:ascii="Times New Roman" w:hAnsi="Times New Roman" w:cs="Times New Roman"/>
        </w:rPr>
        <w:t>: Additional searches included hand-searching reference lists and Google Scholar for grey literature. Terms were adapted for each database’s syntax.</w:t>
      </w:r>
    </w:p>
    <w:p w14:paraId="34155116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  <w:b/>
          <w:bCs/>
        </w:rPr>
      </w:pPr>
      <w:r w:rsidRPr="004C4315">
        <w:rPr>
          <w:rFonts w:ascii="Times New Roman" w:hAnsi="Times New Roman" w:cs="Times New Roman"/>
          <w:b/>
          <w:bCs/>
        </w:rPr>
        <w:t>Table S2: Risk of Bias Assessment</w:t>
      </w:r>
    </w:p>
    <w:p w14:paraId="30D487E5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</w:rPr>
        <w:t>The risk of bias for the 18 included studies was assessed using QUADAS-2, RoB 2, and RoB 3.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1059"/>
        <w:gridCol w:w="850"/>
        <w:gridCol w:w="1184"/>
        <w:gridCol w:w="904"/>
        <w:gridCol w:w="1390"/>
        <w:gridCol w:w="867"/>
        <w:gridCol w:w="1758"/>
      </w:tblGrid>
      <w:tr w:rsidR="00792262" w:rsidRPr="004C4315" w14:paraId="405E8EA8" w14:textId="77777777" w:rsidTr="008613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6E19E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0" w:type="auto"/>
            <w:vAlign w:val="center"/>
            <w:hideMark/>
          </w:tcPr>
          <w:p w14:paraId="6EE5B31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Patient Selection</w:t>
            </w:r>
          </w:p>
        </w:tc>
        <w:tc>
          <w:tcPr>
            <w:tcW w:w="0" w:type="auto"/>
            <w:vAlign w:val="center"/>
            <w:hideMark/>
          </w:tcPr>
          <w:p w14:paraId="7D13C42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Index Test</w:t>
            </w:r>
          </w:p>
        </w:tc>
        <w:tc>
          <w:tcPr>
            <w:tcW w:w="0" w:type="auto"/>
            <w:vAlign w:val="center"/>
            <w:hideMark/>
          </w:tcPr>
          <w:p w14:paraId="7A590DD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Reference Standard</w:t>
            </w:r>
          </w:p>
        </w:tc>
        <w:tc>
          <w:tcPr>
            <w:tcW w:w="0" w:type="auto"/>
            <w:vAlign w:val="center"/>
            <w:hideMark/>
          </w:tcPr>
          <w:p w14:paraId="4575E7A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Flow and Timing</w:t>
            </w:r>
          </w:p>
        </w:tc>
        <w:tc>
          <w:tcPr>
            <w:tcW w:w="0" w:type="auto"/>
            <w:vAlign w:val="center"/>
            <w:hideMark/>
          </w:tcPr>
          <w:p w14:paraId="57458C3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Overall Risk (QUADAS-2)</w:t>
            </w:r>
          </w:p>
        </w:tc>
        <w:tc>
          <w:tcPr>
            <w:tcW w:w="0" w:type="auto"/>
            <w:vAlign w:val="center"/>
            <w:hideMark/>
          </w:tcPr>
          <w:p w14:paraId="22213F4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RoB 2 (RCTs)</w:t>
            </w:r>
          </w:p>
        </w:tc>
        <w:tc>
          <w:tcPr>
            <w:tcW w:w="0" w:type="auto"/>
            <w:vAlign w:val="center"/>
            <w:hideMark/>
          </w:tcPr>
          <w:p w14:paraId="70852EB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C4315">
              <w:rPr>
                <w:rFonts w:ascii="Times New Roman" w:hAnsi="Times New Roman" w:cs="Times New Roman"/>
                <w:b/>
                <w:bCs/>
              </w:rPr>
              <w:t>RoB 3 (Observational)</w:t>
            </w:r>
          </w:p>
        </w:tc>
      </w:tr>
      <w:tr w:rsidR="00792262" w:rsidRPr="004C4315" w14:paraId="53F87565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38AE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Choi 2021 [8]</w:t>
            </w:r>
          </w:p>
        </w:tc>
        <w:tc>
          <w:tcPr>
            <w:tcW w:w="0" w:type="auto"/>
            <w:vAlign w:val="center"/>
            <w:hideMark/>
          </w:tcPr>
          <w:p w14:paraId="654407B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DE9153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1DF534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F8B313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9EB39F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01C44D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789290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342DF6D2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C7AD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lastRenderedPageBreak/>
              <w:t>Hariram 2024 [22]</w:t>
            </w:r>
          </w:p>
        </w:tc>
        <w:tc>
          <w:tcPr>
            <w:tcW w:w="0" w:type="auto"/>
            <w:vAlign w:val="center"/>
            <w:hideMark/>
          </w:tcPr>
          <w:p w14:paraId="42C120B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611A0B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D5067B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40A70D3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3B343C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6F3B539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202100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</w:tr>
      <w:tr w:rsidR="00792262" w:rsidRPr="004C4315" w14:paraId="34D37B62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2B00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Salazar 2023 [13]</w:t>
            </w:r>
          </w:p>
        </w:tc>
        <w:tc>
          <w:tcPr>
            <w:tcW w:w="0" w:type="auto"/>
            <w:vAlign w:val="center"/>
            <w:hideMark/>
          </w:tcPr>
          <w:p w14:paraId="7F08D3C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0B1C9E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F9B240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DC2894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B18FCA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8A14B5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ED3223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</w:tr>
      <w:tr w:rsidR="00792262" w:rsidRPr="004C4315" w14:paraId="2214AC64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1207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Ravelo 2024 [14]</w:t>
            </w:r>
          </w:p>
        </w:tc>
        <w:tc>
          <w:tcPr>
            <w:tcW w:w="0" w:type="auto"/>
            <w:vAlign w:val="center"/>
            <w:hideMark/>
          </w:tcPr>
          <w:p w14:paraId="67B7421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C6FED9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CFA5CE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BCBA3D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E5A8FA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34509B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A92F02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6B7FFAF0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63B1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Kim 2021 [35]</w:t>
            </w:r>
          </w:p>
        </w:tc>
        <w:tc>
          <w:tcPr>
            <w:tcW w:w="0" w:type="auto"/>
            <w:vAlign w:val="center"/>
            <w:hideMark/>
          </w:tcPr>
          <w:p w14:paraId="6BB5B51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4F2695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52BEF01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20C730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2A5858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13001F1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6B511F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</w:tr>
      <w:tr w:rsidR="00792262" w:rsidRPr="004C4315" w14:paraId="6DACDCED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AB5D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Lu 2021 [36]</w:t>
            </w:r>
          </w:p>
        </w:tc>
        <w:tc>
          <w:tcPr>
            <w:tcW w:w="0" w:type="auto"/>
            <w:vAlign w:val="center"/>
            <w:hideMark/>
          </w:tcPr>
          <w:p w14:paraId="26AE94E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2934AA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7A4596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707027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2F54EB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7DA908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6E6C1F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6DC66CFE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45E0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Junaid 2022 [23]</w:t>
            </w:r>
          </w:p>
        </w:tc>
        <w:tc>
          <w:tcPr>
            <w:tcW w:w="0" w:type="auto"/>
            <w:vAlign w:val="center"/>
            <w:hideMark/>
          </w:tcPr>
          <w:p w14:paraId="0BB7AB4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03284E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D208D8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4E202B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D8F8A7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6C0AD1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8BBF58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</w:tr>
      <w:tr w:rsidR="00792262" w:rsidRPr="004C4315" w14:paraId="6B5D7C7A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0344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Monill-González 2021 [26]</w:t>
            </w:r>
          </w:p>
        </w:tc>
        <w:tc>
          <w:tcPr>
            <w:tcW w:w="0" w:type="auto"/>
            <w:vAlign w:val="center"/>
            <w:hideMark/>
          </w:tcPr>
          <w:p w14:paraId="4FF23FC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B85100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AC5B85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E3E820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F0E3F5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0A205A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2BF2E3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74ACC979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D358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Evangelista 2022 [27]</w:t>
            </w:r>
          </w:p>
        </w:tc>
        <w:tc>
          <w:tcPr>
            <w:tcW w:w="0" w:type="auto"/>
            <w:vAlign w:val="center"/>
            <w:hideMark/>
          </w:tcPr>
          <w:p w14:paraId="6A7A5FF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3C0794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9FA280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CDEA96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516915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DD383A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66ED34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3966F79A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A100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lastRenderedPageBreak/>
              <w:t>Smith 2022 [28]</w:t>
            </w:r>
          </w:p>
        </w:tc>
        <w:tc>
          <w:tcPr>
            <w:tcW w:w="0" w:type="auto"/>
            <w:vAlign w:val="center"/>
            <w:hideMark/>
          </w:tcPr>
          <w:p w14:paraId="3404E9A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B85809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BA30C8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0924718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6253E9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DDFC15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C08D1D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</w:tr>
      <w:tr w:rsidR="00792262" w:rsidRPr="004C4315" w14:paraId="2E8A3A40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5A84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Gupta 2022 [29]</w:t>
            </w:r>
          </w:p>
        </w:tc>
        <w:tc>
          <w:tcPr>
            <w:tcW w:w="0" w:type="auto"/>
            <w:vAlign w:val="center"/>
            <w:hideMark/>
          </w:tcPr>
          <w:p w14:paraId="2B84D99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29C927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BAB5E1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846163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3CEFEB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70F92C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B7F527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3C61D7CC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97F7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Luo 2022 [34]</w:t>
            </w:r>
          </w:p>
        </w:tc>
        <w:tc>
          <w:tcPr>
            <w:tcW w:w="0" w:type="auto"/>
            <w:vAlign w:val="center"/>
            <w:hideMark/>
          </w:tcPr>
          <w:p w14:paraId="23CCE13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5E99A2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DCCB95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1EE33C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A44A9D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7355DF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56204E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70742A5F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07F7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Silva 2023 [40]</w:t>
            </w:r>
          </w:p>
        </w:tc>
        <w:tc>
          <w:tcPr>
            <w:tcW w:w="0" w:type="auto"/>
            <w:vAlign w:val="center"/>
            <w:hideMark/>
          </w:tcPr>
          <w:p w14:paraId="784676E1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24B8B9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737622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2BCFF0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7919F3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895E6B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9C1876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</w:tr>
      <w:tr w:rsidR="00792262" w:rsidRPr="004C4315" w14:paraId="2964D813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A61F1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Patel 2024 [41]</w:t>
            </w:r>
          </w:p>
        </w:tc>
        <w:tc>
          <w:tcPr>
            <w:tcW w:w="0" w:type="auto"/>
            <w:vAlign w:val="center"/>
            <w:hideMark/>
          </w:tcPr>
          <w:p w14:paraId="5EDC35E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10C2F6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B83C935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9CAA59B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E4023B8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DA71FB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F78691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</w:tr>
      <w:tr w:rsidR="00792262" w:rsidRPr="004C4315" w14:paraId="3DDCF2D4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20B4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Zhang 2021</w:t>
            </w:r>
          </w:p>
        </w:tc>
        <w:tc>
          <w:tcPr>
            <w:tcW w:w="0" w:type="auto"/>
            <w:vAlign w:val="center"/>
            <w:hideMark/>
          </w:tcPr>
          <w:p w14:paraId="5B37430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212A7F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0C2EC2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60EA4ED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7DF4A3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C2E53E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8569D4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</w:tr>
      <w:tr w:rsidR="00792262" w:rsidRPr="004C4315" w14:paraId="71A077A3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C8BC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Lee 2022</w:t>
            </w:r>
          </w:p>
        </w:tc>
        <w:tc>
          <w:tcPr>
            <w:tcW w:w="0" w:type="auto"/>
            <w:vAlign w:val="center"/>
            <w:hideMark/>
          </w:tcPr>
          <w:p w14:paraId="596B262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7EA4D18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40837C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1A50F5F6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EF88CF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1045058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2F2A49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Unclear</w:t>
            </w:r>
          </w:p>
        </w:tc>
      </w:tr>
      <w:tr w:rsidR="00792262" w:rsidRPr="004C4315" w14:paraId="57A3D2D2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A990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Wang 2023</w:t>
            </w:r>
          </w:p>
        </w:tc>
        <w:tc>
          <w:tcPr>
            <w:tcW w:w="0" w:type="auto"/>
            <w:vAlign w:val="center"/>
            <w:hideMark/>
          </w:tcPr>
          <w:p w14:paraId="7B6E9D34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D91BC0A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AE7B80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68CC48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15D62C3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6A2B140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A76B8FF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</w:tr>
      <w:tr w:rsidR="00792262" w:rsidRPr="004C4315" w14:paraId="1B31B5C3" w14:textId="77777777" w:rsidTr="008613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BA75E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Kumar 2024</w:t>
            </w:r>
          </w:p>
        </w:tc>
        <w:tc>
          <w:tcPr>
            <w:tcW w:w="0" w:type="auto"/>
            <w:vAlign w:val="center"/>
            <w:hideMark/>
          </w:tcPr>
          <w:p w14:paraId="7FB09C4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5678B6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05B0EBC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0511DDD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2F35969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CB9FED7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67254F2" w14:textId="77777777" w:rsidR="00792262" w:rsidRPr="004C4315" w:rsidRDefault="00792262" w:rsidP="008613F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C4315">
              <w:rPr>
                <w:rFonts w:ascii="Times New Roman" w:hAnsi="Times New Roman" w:cs="Times New Roman"/>
              </w:rPr>
              <w:t>High</w:t>
            </w:r>
          </w:p>
        </w:tc>
      </w:tr>
    </w:tbl>
    <w:p w14:paraId="5D16B867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Notes</w:t>
      </w:r>
      <w:r w:rsidRPr="004C4315">
        <w:rPr>
          <w:rFonts w:ascii="Times New Roman" w:hAnsi="Times New Roman" w:cs="Times New Roman"/>
        </w:rPr>
        <w:t>: High risk in patient selection often due to small sample sizes (n&lt;50); unclear reference standards due to inconsistent reporting. External validation was assessed per STARD-AI [33].</w:t>
      </w:r>
    </w:p>
    <w:p w14:paraId="4BAD3AF5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  <w:b/>
          <w:bCs/>
        </w:rPr>
      </w:pPr>
      <w:r w:rsidRPr="004C4315">
        <w:rPr>
          <w:rFonts w:ascii="Times New Roman" w:hAnsi="Times New Roman" w:cs="Times New Roman"/>
          <w:b/>
          <w:bCs/>
        </w:rPr>
        <w:lastRenderedPageBreak/>
        <w:t>Figure S1: PRISMA Flow Diagram</w:t>
      </w:r>
    </w:p>
    <w:p w14:paraId="4FBBA64A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Description</w:t>
      </w:r>
      <w:r w:rsidRPr="004C4315">
        <w:rPr>
          <w:rFonts w:ascii="Times New Roman" w:hAnsi="Times New Roman" w:cs="Times New Roman"/>
        </w:rPr>
        <w:t>: The PRISMA flow diagram illustrates the study selection process. From 1,127 records identified, 987 remained after deduplication. Title/abstract screening excluded 895 records (irrelevance: n=650, duplicates: n=245). Full-text review of 92 articles resulted in 18 included studies, with 12 used in meta-analysis. Exclusions: lack of diagnostic metrics (n=42), non-orthognathic focus (n=20), non-AI interventions (n=12), insufficient data (n=8).</w:t>
      </w:r>
    </w:p>
    <w:p w14:paraId="6CE74430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Mock-up</w:t>
      </w:r>
      <w:r w:rsidRPr="004C4315">
        <w:rPr>
          <w:rFonts w:ascii="Times New Roman" w:hAnsi="Times New Roman" w:cs="Times New Roman"/>
        </w:rPr>
        <w:t>:</w:t>
      </w:r>
    </w:p>
    <w:p w14:paraId="7F2FE76F" w14:textId="77777777" w:rsidR="00792262" w:rsidRPr="004C4315" w:rsidRDefault="00792262" w:rsidP="0079226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Box 1</w:t>
      </w:r>
      <w:r w:rsidRPr="004C4315">
        <w:rPr>
          <w:rFonts w:ascii="Times New Roman" w:hAnsi="Times New Roman" w:cs="Times New Roman"/>
        </w:rPr>
        <w:t>: Records identified (n=1,127).</w:t>
      </w:r>
    </w:p>
    <w:p w14:paraId="6BCE9338" w14:textId="77777777" w:rsidR="00792262" w:rsidRPr="004C4315" w:rsidRDefault="00792262" w:rsidP="0079226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Box 2</w:t>
      </w:r>
      <w:r w:rsidRPr="004C4315">
        <w:rPr>
          <w:rFonts w:ascii="Times New Roman" w:hAnsi="Times New Roman" w:cs="Times New Roman"/>
        </w:rPr>
        <w:t>: Records after deduplication (n=987).</w:t>
      </w:r>
    </w:p>
    <w:p w14:paraId="6EF2BBF5" w14:textId="77777777" w:rsidR="00792262" w:rsidRPr="004C4315" w:rsidRDefault="00792262" w:rsidP="0079226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Box 3</w:t>
      </w:r>
      <w:r w:rsidRPr="004C4315">
        <w:rPr>
          <w:rFonts w:ascii="Times New Roman" w:hAnsi="Times New Roman" w:cs="Times New Roman"/>
        </w:rPr>
        <w:t>: Records screened (n=987); excluded (n=895).</w:t>
      </w:r>
    </w:p>
    <w:p w14:paraId="7121A681" w14:textId="77777777" w:rsidR="00792262" w:rsidRPr="004C4315" w:rsidRDefault="00792262" w:rsidP="0079226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Box 4</w:t>
      </w:r>
      <w:r w:rsidRPr="004C4315">
        <w:rPr>
          <w:rFonts w:ascii="Times New Roman" w:hAnsi="Times New Roman" w:cs="Times New Roman"/>
        </w:rPr>
        <w:t>: Full-texts assessed (n=92); excluded (n=74).</w:t>
      </w:r>
    </w:p>
    <w:p w14:paraId="32FD907C" w14:textId="77777777" w:rsidR="00792262" w:rsidRPr="004C4315" w:rsidRDefault="00792262" w:rsidP="0079226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Box 5</w:t>
      </w:r>
      <w:r w:rsidRPr="004C4315">
        <w:rPr>
          <w:rFonts w:ascii="Times New Roman" w:hAnsi="Times New Roman" w:cs="Times New Roman"/>
        </w:rPr>
        <w:t>: Studies included (n=18); meta-analysis (n=12).</w:t>
      </w:r>
    </w:p>
    <w:p w14:paraId="449CB4FF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  <w:b/>
          <w:bCs/>
        </w:rPr>
      </w:pPr>
      <w:r w:rsidRPr="004C4315">
        <w:rPr>
          <w:rFonts w:ascii="Times New Roman" w:hAnsi="Times New Roman" w:cs="Times New Roman"/>
          <w:b/>
          <w:bCs/>
        </w:rPr>
        <w:t>Figure S2: Forest Plot of Pooled Accuracy, Sensitivity, and Specificity</w:t>
      </w:r>
    </w:p>
    <w:p w14:paraId="4AD86D35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Description</w:t>
      </w:r>
      <w:r w:rsidRPr="004C4315">
        <w:rPr>
          <w:rFonts w:ascii="Times New Roman" w:hAnsi="Times New Roman" w:cs="Times New Roman"/>
        </w:rPr>
        <w:t>: Forest plots display pooled estimates for:</w:t>
      </w:r>
    </w:p>
    <w:p w14:paraId="6BE26A89" w14:textId="77777777" w:rsidR="00792262" w:rsidRPr="004C4315" w:rsidRDefault="00792262" w:rsidP="00792262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Accuracy</w:t>
      </w:r>
      <w:r w:rsidRPr="004C4315">
        <w:rPr>
          <w:rFonts w:ascii="Times New Roman" w:hAnsi="Times New Roman" w:cs="Times New Roman"/>
        </w:rPr>
        <w:t>: 91.8% (95% CI: 88.9–94.7%), I²=76%, 12 studies.</w:t>
      </w:r>
    </w:p>
    <w:p w14:paraId="681DF344" w14:textId="77777777" w:rsidR="00792262" w:rsidRPr="004C4315" w:rsidRDefault="00792262" w:rsidP="00792262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Sensitivity</w:t>
      </w:r>
      <w:r w:rsidRPr="004C4315">
        <w:rPr>
          <w:rFonts w:ascii="Times New Roman" w:hAnsi="Times New Roman" w:cs="Times New Roman"/>
        </w:rPr>
        <w:t>: 87.9% (95% CI: 84.3–91.5%), I²=74%, 12 studies.</w:t>
      </w:r>
    </w:p>
    <w:p w14:paraId="600A6E50" w14:textId="77777777" w:rsidR="00792262" w:rsidRPr="004C4315" w:rsidRDefault="00792262" w:rsidP="00792262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Specificity</w:t>
      </w:r>
      <w:r w:rsidRPr="004C4315">
        <w:rPr>
          <w:rFonts w:ascii="Times New Roman" w:hAnsi="Times New Roman" w:cs="Times New Roman"/>
        </w:rPr>
        <w:t>: 89.6% (95% CI: 86.5–92.7%), I²=75%, 12 studies.</w:t>
      </w:r>
    </w:p>
    <w:p w14:paraId="0B36E183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</w:rPr>
        <w:t>Each plot shows study-specific effect sizes, weights, and 95% CIs, with a diamond representing the pooled estimate. Heterogeneity (I²&gt;70%) reflects variability in algorithms and imaging.</w:t>
      </w:r>
    </w:p>
    <w:p w14:paraId="53760806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lastRenderedPageBreak/>
        <w:t>Mock-up</w:t>
      </w:r>
      <w:r w:rsidRPr="004C4315">
        <w:rPr>
          <w:rFonts w:ascii="Times New Roman" w:hAnsi="Times New Roman" w:cs="Times New Roman"/>
        </w:rPr>
        <w:t>:</w:t>
      </w:r>
    </w:p>
    <w:p w14:paraId="721EB92D" w14:textId="77777777" w:rsidR="00792262" w:rsidRPr="004C4315" w:rsidRDefault="00792262" w:rsidP="00792262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X-axis</w:t>
      </w:r>
      <w:r w:rsidRPr="004C4315">
        <w:rPr>
          <w:rFonts w:ascii="Times New Roman" w:hAnsi="Times New Roman" w:cs="Times New Roman"/>
        </w:rPr>
        <w:t>: Effect size (accuracy/sensitivity/specificity).</w:t>
      </w:r>
    </w:p>
    <w:p w14:paraId="1FB2DBE0" w14:textId="77777777" w:rsidR="00792262" w:rsidRPr="004C4315" w:rsidRDefault="00792262" w:rsidP="00792262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Y-axis</w:t>
      </w:r>
      <w:r w:rsidRPr="004C4315">
        <w:rPr>
          <w:rFonts w:ascii="Times New Roman" w:hAnsi="Times New Roman" w:cs="Times New Roman"/>
        </w:rPr>
        <w:t>: Study IDs (e.g., Choi 2021, Hariram 2024).</w:t>
      </w:r>
    </w:p>
    <w:p w14:paraId="2BA9E2D7" w14:textId="77777777" w:rsidR="00792262" w:rsidRPr="004C4315" w:rsidRDefault="00792262" w:rsidP="00792262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Symbols</w:t>
      </w:r>
      <w:r w:rsidRPr="004C4315">
        <w:rPr>
          <w:rFonts w:ascii="Times New Roman" w:hAnsi="Times New Roman" w:cs="Times New Roman"/>
        </w:rPr>
        <w:t>: Squares for study estimates, diamond for pooled estimate.</w:t>
      </w:r>
    </w:p>
    <w:p w14:paraId="2F700A01" w14:textId="77777777" w:rsidR="00792262" w:rsidRPr="004C4315" w:rsidRDefault="00792262" w:rsidP="00792262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Annotations</w:t>
      </w:r>
      <w:r w:rsidRPr="004C4315">
        <w:rPr>
          <w:rFonts w:ascii="Times New Roman" w:hAnsi="Times New Roman" w:cs="Times New Roman"/>
        </w:rPr>
        <w:t>: I², p-value, 95% CIs.</w:t>
      </w:r>
    </w:p>
    <w:p w14:paraId="783C8F2B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  <w:b/>
          <w:bCs/>
        </w:rPr>
      </w:pPr>
      <w:r w:rsidRPr="004C4315">
        <w:rPr>
          <w:rFonts w:ascii="Times New Roman" w:hAnsi="Times New Roman" w:cs="Times New Roman"/>
          <w:b/>
          <w:bCs/>
        </w:rPr>
        <w:t>Figure S3: Funnel Plot for Publication Bias</w:t>
      </w:r>
    </w:p>
    <w:p w14:paraId="464D5769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Description</w:t>
      </w:r>
      <w:r w:rsidRPr="004C4315">
        <w:rPr>
          <w:rFonts w:ascii="Times New Roman" w:hAnsi="Times New Roman" w:cs="Times New Roman"/>
        </w:rPr>
        <w:t>: Funnel plots for accuracy, sensitivity, and specificity show symmetrical distribution of log odds ratios against standard error across 12 studies. Egger’s test (p=0.21) and Harbord’s test (p=0.18) indicate minimal publication bias.</w:t>
      </w:r>
    </w:p>
    <w:p w14:paraId="201F3B7A" w14:textId="77777777" w:rsidR="00792262" w:rsidRPr="004C4315" w:rsidRDefault="00792262" w:rsidP="00792262">
      <w:p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Mock-up</w:t>
      </w:r>
      <w:r w:rsidRPr="004C4315">
        <w:rPr>
          <w:rFonts w:ascii="Times New Roman" w:hAnsi="Times New Roman" w:cs="Times New Roman"/>
        </w:rPr>
        <w:t>:</w:t>
      </w:r>
    </w:p>
    <w:p w14:paraId="6939731C" w14:textId="77777777" w:rsidR="00792262" w:rsidRPr="004C4315" w:rsidRDefault="00792262" w:rsidP="00792262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X-axis</w:t>
      </w:r>
      <w:r w:rsidRPr="004C4315">
        <w:rPr>
          <w:rFonts w:ascii="Times New Roman" w:hAnsi="Times New Roman" w:cs="Times New Roman"/>
        </w:rPr>
        <w:t>: Log odds ratio.</w:t>
      </w:r>
    </w:p>
    <w:p w14:paraId="5C01F76D" w14:textId="77777777" w:rsidR="00792262" w:rsidRPr="004C4315" w:rsidRDefault="00792262" w:rsidP="00792262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Y-axis</w:t>
      </w:r>
      <w:r w:rsidRPr="004C4315">
        <w:rPr>
          <w:rFonts w:ascii="Times New Roman" w:hAnsi="Times New Roman" w:cs="Times New Roman"/>
        </w:rPr>
        <w:t>: Standard error.</w:t>
      </w:r>
    </w:p>
    <w:p w14:paraId="527DECE9" w14:textId="77777777" w:rsidR="00792262" w:rsidRPr="004C4315" w:rsidRDefault="00792262" w:rsidP="00792262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Symbols</w:t>
      </w:r>
      <w:r w:rsidRPr="004C4315">
        <w:rPr>
          <w:rFonts w:ascii="Times New Roman" w:hAnsi="Times New Roman" w:cs="Times New Roman"/>
        </w:rPr>
        <w:t>: Dots for studies, centered around pooled estimate.</w:t>
      </w:r>
    </w:p>
    <w:p w14:paraId="43F67817" w14:textId="77777777" w:rsidR="00792262" w:rsidRPr="004C4315" w:rsidRDefault="00792262" w:rsidP="00792262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C4315">
        <w:rPr>
          <w:rFonts w:ascii="Times New Roman" w:hAnsi="Times New Roman" w:cs="Times New Roman"/>
          <w:b/>
          <w:bCs/>
        </w:rPr>
        <w:t>Annotations</w:t>
      </w:r>
      <w:r w:rsidRPr="004C4315">
        <w:rPr>
          <w:rFonts w:ascii="Times New Roman" w:hAnsi="Times New Roman" w:cs="Times New Roman"/>
        </w:rPr>
        <w:t>: Egger’s p=0.21, Harbord’s p=0.18.</w:t>
      </w:r>
    </w:p>
    <w:p w14:paraId="50E404A1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AEA"/>
    <w:multiLevelType w:val="multilevel"/>
    <w:tmpl w:val="6D32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F04F6"/>
    <w:multiLevelType w:val="multilevel"/>
    <w:tmpl w:val="09A0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D1C6B"/>
    <w:multiLevelType w:val="multilevel"/>
    <w:tmpl w:val="EA00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4147C1"/>
    <w:multiLevelType w:val="multilevel"/>
    <w:tmpl w:val="E60E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268416">
    <w:abstractNumId w:val="3"/>
  </w:num>
  <w:num w:numId="2" w16cid:durableId="1822504786">
    <w:abstractNumId w:val="2"/>
  </w:num>
  <w:num w:numId="3" w16cid:durableId="2103842728">
    <w:abstractNumId w:val="0"/>
  </w:num>
  <w:num w:numId="4" w16cid:durableId="1206597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62"/>
    <w:rsid w:val="002978F5"/>
    <w:rsid w:val="003852CF"/>
    <w:rsid w:val="004E780C"/>
    <w:rsid w:val="00792262"/>
    <w:rsid w:val="00A4355D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15E0"/>
  <w15:chartTrackingRefBased/>
  <w15:docId w15:val="{9D8C5F4E-411C-4B56-8237-795AD0C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262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2025-08-14T13:55:00Z</dcterms:created>
  <dcterms:modified xsi:type="dcterms:W3CDTF">2025-08-14T13:55:00Z</dcterms:modified>
</cp:coreProperties>
</file>