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2A63" w:rsidRPr="00391E92" w:rsidRDefault="00F32A63" w:rsidP="00F32A63">
      <w:pPr>
        <w:widowControl w:val="0"/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en-US"/>
        </w:rPr>
      </w:pPr>
      <w:r w:rsidRPr="00391E92">
        <w:rPr>
          <w:rFonts w:ascii="Times New Roman" w:hAnsi="Times New Roman" w:cs="Times New Roman" w:hint="eastAsia"/>
          <w:bCs/>
          <w:noProof/>
          <w:color w:val="000000" w:themeColor="text1"/>
          <w:sz w:val="20"/>
          <w:szCs w:val="20"/>
          <w:lang w:eastAsia="en-US"/>
        </w:rPr>
        <w:t>T</w:t>
      </w:r>
      <w:r w:rsidRPr="00391E92">
        <w:rPr>
          <w:rFonts w:ascii="Times New Roman" w:hAnsi="Times New Roman" w:cs="Times New Roman"/>
          <w:bCs/>
          <w:noProof/>
          <w:color w:val="000000" w:themeColor="text1"/>
          <w:sz w:val="20"/>
          <w:szCs w:val="20"/>
          <w:lang w:eastAsia="en-US"/>
        </w:rPr>
        <w:t>able S</w:t>
      </w:r>
      <w:r>
        <w:rPr>
          <w:rFonts w:ascii="Times New Roman" w:hAnsi="Times New Roman" w:cs="Times New Roman"/>
          <w:bCs/>
          <w:noProof/>
          <w:color w:val="000000" w:themeColor="text1"/>
          <w:sz w:val="20"/>
          <w:szCs w:val="20"/>
          <w:lang w:eastAsia="en-US"/>
        </w:rPr>
        <w:t>4</w:t>
      </w:r>
      <w:r w:rsidRPr="00391E92">
        <w:rPr>
          <w:rFonts w:ascii="Times New Roman" w:hAnsi="Times New Roman" w:cs="Times New Roman"/>
          <w:bCs/>
          <w:noProof/>
          <w:color w:val="000000" w:themeColor="text1"/>
          <w:sz w:val="20"/>
          <w:szCs w:val="20"/>
          <w:lang w:eastAsia="en-US"/>
        </w:rPr>
        <w:t>.</w:t>
      </w:r>
      <w:r w:rsidRPr="00391E92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en-US"/>
        </w:rPr>
        <w:t xml:space="preserve"> Univariate and multivariate analysis of factors associated with </w:t>
      </w:r>
      <w:r w:rsidRPr="00391E92">
        <w:rPr>
          <w:rFonts w:ascii="Times New Roman" w:hAnsi="Times New Roman" w:cs="Times New Roman" w:hint="eastAsia"/>
          <w:noProof/>
          <w:color w:val="000000" w:themeColor="text1"/>
          <w:sz w:val="20"/>
          <w:szCs w:val="20"/>
          <w:lang w:eastAsia="en-US"/>
        </w:rPr>
        <w:t>progression</w:t>
      </w:r>
      <w:r w:rsidRPr="00391E92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en-US"/>
        </w:rPr>
        <w:t xml:space="preserve"> free survival in </w:t>
      </w:r>
      <w:r w:rsidRPr="00391E92">
        <w:rPr>
          <w:rFonts w:ascii="Times New Roman" w:hAnsi="Times New Roman" w:cs="Times New Roman" w:hint="eastAsia"/>
          <w:noProof/>
          <w:color w:val="000000" w:themeColor="text1"/>
          <w:sz w:val="20"/>
          <w:szCs w:val="20"/>
          <w:lang w:eastAsia="en-US"/>
        </w:rPr>
        <w:t>metastatic</w:t>
      </w:r>
      <w:r w:rsidRPr="00391E92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en-US"/>
        </w:rPr>
        <w:t xml:space="preserve"> </w:t>
      </w:r>
      <w:r w:rsidRPr="00391E92">
        <w:rPr>
          <w:rFonts w:ascii="Times New Roman" w:hAnsi="Times New Roman" w:cs="Times New Roman" w:hint="eastAsia"/>
          <w:noProof/>
          <w:color w:val="000000" w:themeColor="text1"/>
          <w:sz w:val="20"/>
          <w:szCs w:val="20"/>
          <w:lang w:eastAsia="en-US"/>
        </w:rPr>
        <w:t>prostate cancer</w:t>
      </w:r>
      <w:r w:rsidRPr="00391E92">
        <w:rPr>
          <w:rFonts w:ascii="Times New Roman" w:hAnsi="Times New Roman" w:cs="Times New Roman"/>
          <w:noProof/>
          <w:color w:val="000000" w:themeColor="text1"/>
          <w:sz w:val="20"/>
          <w:szCs w:val="20"/>
          <w:lang w:eastAsia="en-US"/>
        </w:rPr>
        <w:t xml:space="preserve"> cohort</w:t>
      </w:r>
      <w:r w:rsidRPr="00391E92">
        <w:rPr>
          <w:rFonts w:ascii="Times New Roman" w:hAnsi="Times New Roman" w:cs="Times New Roman" w:hint="eastAsia"/>
          <w:noProof/>
          <w:color w:val="000000" w:themeColor="text1"/>
          <w:sz w:val="20"/>
          <w:szCs w:val="20"/>
          <w:lang w:eastAsia="en-US"/>
        </w:rPr>
        <w:t>.</w:t>
      </w:r>
      <w:bookmarkStart w:id="0" w:name="_GoBack"/>
      <w:bookmarkEnd w:id="0"/>
    </w:p>
    <w:tbl>
      <w:tblPr>
        <w:tblpPr w:leftFromText="180" w:rightFromText="180" w:vertAnchor="text" w:horzAnchor="margin" w:tblpXSpec="center" w:tblpY="194"/>
        <w:tblW w:w="11023" w:type="dxa"/>
        <w:tblLayout w:type="fixed"/>
        <w:tblLook w:val="04A0" w:firstRow="1" w:lastRow="0" w:firstColumn="1" w:lastColumn="0" w:noHBand="0" w:noVBand="1"/>
      </w:tblPr>
      <w:tblGrid>
        <w:gridCol w:w="250"/>
        <w:gridCol w:w="3485"/>
        <w:gridCol w:w="756"/>
        <w:gridCol w:w="1571"/>
        <w:gridCol w:w="970"/>
        <w:gridCol w:w="447"/>
        <w:gridCol w:w="993"/>
        <w:gridCol w:w="1559"/>
        <w:gridCol w:w="992"/>
      </w:tblGrid>
      <w:tr w:rsidR="00F32A63" w:rsidRPr="00391E92" w:rsidTr="000055CC">
        <w:trPr>
          <w:trHeight w:val="454"/>
        </w:trPr>
        <w:tc>
          <w:tcPr>
            <w:tcW w:w="3735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3297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 xml:space="preserve">     Univariate</w:t>
            </w:r>
          </w:p>
        </w:tc>
        <w:tc>
          <w:tcPr>
            <w:tcW w:w="447" w:type="dxa"/>
            <w:tcBorders>
              <w:top w:val="single" w:sz="12" w:space="0" w:color="auto"/>
              <w:left w:val="nil"/>
              <w:right w:val="nil"/>
            </w:tcBorders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354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 xml:space="preserve">    Multivariate</w:t>
            </w:r>
          </w:p>
        </w:tc>
      </w:tr>
      <w:tr w:rsidR="00F32A63" w:rsidRPr="00391E92" w:rsidTr="000055CC">
        <w:trPr>
          <w:trHeight w:val="454"/>
        </w:trPr>
        <w:tc>
          <w:tcPr>
            <w:tcW w:w="3735" w:type="dxa"/>
            <w:gridSpan w:val="2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Variable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vertAlign w:val="superscript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HR</w:t>
            </w:r>
          </w:p>
        </w:tc>
        <w:tc>
          <w:tcPr>
            <w:tcW w:w="15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95% CI</w:t>
            </w:r>
          </w:p>
        </w:tc>
        <w:tc>
          <w:tcPr>
            <w:tcW w:w="9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i/>
                <w:noProof/>
                <w:color w:val="000000" w:themeColor="text1"/>
                <w:sz w:val="20"/>
                <w:szCs w:val="20"/>
                <w:lang w:eastAsia="en-US"/>
              </w:rPr>
              <w:t>p</w:t>
            </w:r>
          </w:p>
        </w:tc>
        <w:tc>
          <w:tcPr>
            <w:tcW w:w="447" w:type="dxa"/>
            <w:tcBorders>
              <w:left w:val="nil"/>
              <w:bottom w:val="single" w:sz="12" w:space="0" w:color="auto"/>
              <w:right w:val="nil"/>
            </w:tcBorders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vertAlign w:val="superscript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HR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95% CI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 w:hint="eastAsia"/>
                <w:i/>
                <w:noProof/>
                <w:color w:val="000000" w:themeColor="text1"/>
                <w:sz w:val="20"/>
                <w:szCs w:val="20"/>
                <w:lang w:eastAsia="en-US"/>
              </w:rPr>
              <w:t xml:space="preserve">p </w:t>
            </w:r>
          </w:p>
        </w:tc>
      </w:tr>
      <w:tr w:rsidR="00F32A63" w:rsidRPr="00391E92" w:rsidTr="000055CC">
        <w:trPr>
          <w:trHeight w:val="559"/>
        </w:trPr>
        <w:tc>
          <w:tcPr>
            <w:tcW w:w="3735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Age, years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 xml:space="preserve"> (&gt;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7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0/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≤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7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0)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1.712</w:t>
            </w:r>
          </w:p>
        </w:tc>
        <w:tc>
          <w:tcPr>
            <w:tcW w:w="157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0.774–3.787</w:t>
            </w:r>
          </w:p>
        </w:tc>
        <w:tc>
          <w:tcPr>
            <w:tcW w:w="97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0.184</w:t>
            </w:r>
          </w:p>
        </w:tc>
        <w:tc>
          <w:tcPr>
            <w:tcW w:w="44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NA</w:t>
            </w:r>
          </w:p>
        </w:tc>
      </w:tr>
      <w:tr w:rsidR="00F32A63" w:rsidRPr="00391E92" w:rsidTr="000055CC">
        <w:trPr>
          <w:trHeight w:val="454"/>
        </w:trPr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Gleason Score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 xml:space="preserve"> (8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-10/6-7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2.055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0.768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-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5.497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0.151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NA</w:t>
            </w:r>
          </w:p>
        </w:tc>
      </w:tr>
      <w:tr w:rsidR="00F32A63" w:rsidRPr="00391E92" w:rsidTr="000055CC">
        <w:trPr>
          <w:trHeight w:val="454"/>
        </w:trPr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da-DK" w:eastAsia="en-US"/>
              </w:rPr>
              <w:t>Tumor stage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val="da-DK" w:eastAsia="en-US"/>
              </w:rPr>
              <w:t xml:space="preserve"> 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da-DK" w:eastAsia="en-US"/>
              </w:rPr>
              <w:t>(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T3-4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da-DK" w:eastAsia="en-US"/>
              </w:rPr>
              <w:t>/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T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1-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2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da-DK" w:eastAsia="en-US"/>
              </w:rPr>
              <w:t>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1.998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0.893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-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4.470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0.092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 w:hint="eastAsia"/>
                <w:bCs/>
                <w:noProof/>
                <w:color w:val="000000" w:themeColor="text1"/>
                <w:sz w:val="20"/>
                <w:szCs w:val="20"/>
                <w:lang w:eastAsia="en-US"/>
              </w:rPr>
              <w:t>NA</w:t>
            </w:r>
          </w:p>
        </w:tc>
      </w:tr>
      <w:tr w:rsidR="00F32A63" w:rsidRPr="00391E92" w:rsidTr="000055CC">
        <w:trPr>
          <w:trHeight w:val="454"/>
        </w:trPr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Nodal metastasis (N1/N0)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1.873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0.814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-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4.308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0.140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NA</w:t>
            </w:r>
          </w:p>
        </w:tc>
      </w:tr>
      <w:tr w:rsidR="00F32A63" w:rsidRPr="00391E92" w:rsidTr="000055CC">
        <w:trPr>
          <w:trHeight w:val="454"/>
        </w:trPr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Exosomal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 xml:space="preserve"> 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HOXD-AS1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 xml:space="preserve"> (high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/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low)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2.380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1.054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-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5.371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en-US"/>
              </w:rPr>
              <w:t>0.037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NA</w:t>
            </w:r>
          </w:p>
        </w:tc>
      </w:tr>
      <w:tr w:rsidR="00F32A63" w:rsidRPr="00391E92" w:rsidTr="000055CC">
        <w:trPr>
          <w:trHeight w:val="454"/>
        </w:trPr>
        <w:tc>
          <w:tcPr>
            <w:tcW w:w="25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vertAlign w:val="superscript"/>
                <w:lang w:eastAsia="en-US"/>
              </w:rPr>
            </w:pPr>
          </w:p>
        </w:tc>
        <w:tc>
          <w:tcPr>
            <w:tcW w:w="10773" w:type="dxa"/>
            <w:gridSpan w:val="8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:rsidR="00F32A63" w:rsidRPr="00391E92" w:rsidRDefault="00F32A63" w:rsidP="000055CC">
            <w:pPr>
              <w:widowControl w:val="0"/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</w:pP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Univariate and multivariate analysis. Cox proportional hazards regression model. Variables associated with survival by univariate analyses were adopted as covariates in multivariate analyses. Significant P-values are shown in bold font.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 xml:space="preserve"> 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 xml:space="preserve">HR &gt; 1, risk for death increased; HR &lt; 1, risk for death reduced.  Median 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relative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 xml:space="preserve"> 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 xml:space="preserve">expression 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 xml:space="preserve">of serum 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exosomal HOXD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-</w:t>
            </w:r>
            <w:r w:rsidRPr="00391E92">
              <w:rPr>
                <w:rFonts w:ascii="Times New Roman" w:hAnsi="Times New Roman" w:cs="Times New Roman" w:hint="eastAsia"/>
                <w:noProof/>
                <w:color w:val="000000" w:themeColor="text1"/>
                <w:sz w:val="20"/>
                <w:szCs w:val="20"/>
                <w:lang w:eastAsia="en-US"/>
              </w:rPr>
              <w:t>AS</w:t>
            </w:r>
            <w:r w:rsidRPr="00391E92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en-US"/>
              </w:rPr>
              <w:t>1 was used as cut-off value for analysis.</w:t>
            </w:r>
          </w:p>
        </w:tc>
      </w:tr>
    </w:tbl>
    <w:p w:rsidR="00DC30A4" w:rsidRPr="00F32A63" w:rsidRDefault="00DC30A4"/>
    <w:sectPr w:rsidR="00DC30A4" w:rsidRPr="00F32A63" w:rsidSect="00E616BD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A63"/>
    <w:rsid w:val="00004D54"/>
    <w:rsid w:val="000211B0"/>
    <w:rsid w:val="0003003A"/>
    <w:rsid w:val="00034287"/>
    <w:rsid w:val="00044A24"/>
    <w:rsid w:val="000471D5"/>
    <w:rsid w:val="000542BF"/>
    <w:rsid w:val="00054870"/>
    <w:rsid w:val="00063CFA"/>
    <w:rsid w:val="000645C8"/>
    <w:rsid w:val="00066D0C"/>
    <w:rsid w:val="0007540F"/>
    <w:rsid w:val="0008218F"/>
    <w:rsid w:val="0009216A"/>
    <w:rsid w:val="00093868"/>
    <w:rsid w:val="000A008A"/>
    <w:rsid w:val="000A0C64"/>
    <w:rsid w:val="000A1AE5"/>
    <w:rsid w:val="000A5422"/>
    <w:rsid w:val="000B0A33"/>
    <w:rsid w:val="000B2A4F"/>
    <w:rsid w:val="000B45E0"/>
    <w:rsid w:val="000C13AD"/>
    <w:rsid w:val="000C5D1B"/>
    <w:rsid w:val="000D2462"/>
    <w:rsid w:val="000D527F"/>
    <w:rsid w:val="000E035C"/>
    <w:rsid w:val="000E526C"/>
    <w:rsid w:val="000F3529"/>
    <w:rsid w:val="000F5F45"/>
    <w:rsid w:val="000F62E4"/>
    <w:rsid w:val="001030B0"/>
    <w:rsid w:val="00104B79"/>
    <w:rsid w:val="00111213"/>
    <w:rsid w:val="00111705"/>
    <w:rsid w:val="00117CC4"/>
    <w:rsid w:val="001243F8"/>
    <w:rsid w:val="001249EC"/>
    <w:rsid w:val="00126C3E"/>
    <w:rsid w:val="0013067B"/>
    <w:rsid w:val="00140119"/>
    <w:rsid w:val="00141A16"/>
    <w:rsid w:val="00141DE4"/>
    <w:rsid w:val="001430A7"/>
    <w:rsid w:val="00147748"/>
    <w:rsid w:val="00153A09"/>
    <w:rsid w:val="00154801"/>
    <w:rsid w:val="001569A0"/>
    <w:rsid w:val="0016323A"/>
    <w:rsid w:val="00167BA0"/>
    <w:rsid w:val="00167CAD"/>
    <w:rsid w:val="001734B8"/>
    <w:rsid w:val="00177DA7"/>
    <w:rsid w:val="00182D03"/>
    <w:rsid w:val="00184F38"/>
    <w:rsid w:val="00191B00"/>
    <w:rsid w:val="001920F0"/>
    <w:rsid w:val="001930E4"/>
    <w:rsid w:val="00195DEE"/>
    <w:rsid w:val="001A17DA"/>
    <w:rsid w:val="001A360B"/>
    <w:rsid w:val="001B63B2"/>
    <w:rsid w:val="001B6894"/>
    <w:rsid w:val="001B7054"/>
    <w:rsid w:val="001D7669"/>
    <w:rsid w:val="001F240F"/>
    <w:rsid w:val="001F679A"/>
    <w:rsid w:val="0020534D"/>
    <w:rsid w:val="00206C41"/>
    <w:rsid w:val="002103D8"/>
    <w:rsid w:val="00210569"/>
    <w:rsid w:val="00211163"/>
    <w:rsid w:val="002141FF"/>
    <w:rsid w:val="002152FC"/>
    <w:rsid w:val="00220790"/>
    <w:rsid w:val="00225A09"/>
    <w:rsid w:val="00226293"/>
    <w:rsid w:val="0023213E"/>
    <w:rsid w:val="002336E4"/>
    <w:rsid w:val="002367B7"/>
    <w:rsid w:val="00240A18"/>
    <w:rsid w:val="002552C6"/>
    <w:rsid w:val="00257007"/>
    <w:rsid w:val="00264CF7"/>
    <w:rsid w:val="002709E8"/>
    <w:rsid w:val="0027291C"/>
    <w:rsid w:val="00273059"/>
    <w:rsid w:val="002739ED"/>
    <w:rsid w:val="002915CD"/>
    <w:rsid w:val="0029413B"/>
    <w:rsid w:val="00297540"/>
    <w:rsid w:val="002B74F1"/>
    <w:rsid w:val="002D4958"/>
    <w:rsid w:val="002E7C88"/>
    <w:rsid w:val="002F5731"/>
    <w:rsid w:val="00304DD8"/>
    <w:rsid w:val="00306BD1"/>
    <w:rsid w:val="003079F2"/>
    <w:rsid w:val="00310DEE"/>
    <w:rsid w:val="003111EA"/>
    <w:rsid w:val="003142B8"/>
    <w:rsid w:val="00315B71"/>
    <w:rsid w:val="00317FDE"/>
    <w:rsid w:val="00330FC7"/>
    <w:rsid w:val="00332C02"/>
    <w:rsid w:val="0033621C"/>
    <w:rsid w:val="00337ED4"/>
    <w:rsid w:val="003400A2"/>
    <w:rsid w:val="00345031"/>
    <w:rsid w:val="003545C4"/>
    <w:rsid w:val="00360EAA"/>
    <w:rsid w:val="003619D2"/>
    <w:rsid w:val="00364C4E"/>
    <w:rsid w:val="00364EB5"/>
    <w:rsid w:val="003664E0"/>
    <w:rsid w:val="003811A0"/>
    <w:rsid w:val="00383CD3"/>
    <w:rsid w:val="003855E5"/>
    <w:rsid w:val="00393433"/>
    <w:rsid w:val="003B356F"/>
    <w:rsid w:val="003B4617"/>
    <w:rsid w:val="003B5C06"/>
    <w:rsid w:val="003B5C92"/>
    <w:rsid w:val="003B6AE6"/>
    <w:rsid w:val="003C086E"/>
    <w:rsid w:val="003C13B3"/>
    <w:rsid w:val="003C2863"/>
    <w:rsid w:val="003D028C"/>
    <w:rsid w:val="003D1FC0"/>
    <w:rsid w:val="003D21A6"/>
    <w:rsid w:val="003D4B1B"/>
    <w:rsid w:val="003E1A70"/>
    <w:rsid w:val="003E332C"/>
    <w:rsid w:val="003E3F2C"/>
    <w:rsid w:val="003E46E0"/>
    <w:rsid w:val="00402871"/>
    <w:rsid w:val="0041704F"/>
    <w:rsid w:val="00417C99"/>
    <w:rsid w:val="004233F2"/>
    <w:rsid w:val="004256AB"/>
    <w:rsid w:val="0044192C"/>
    <w:rsid w:val="00446B51"/>
    <w:rsid w:val="004474FF"/>
    <w:rsid w:val="00454028"/>
    <w:rsid w:val="0045636E"/>
    <w:rsid w:val="00461DA1"/>
    <w:rsid w:val="00470B8A"/>
    <w:rsid w:val="00471737"/>
    <w:rsid w:val="0049482B"/>
    <w:rsid w:val="00494B90"/>
    <w:rsid w:val="00495770"/>
    <w:rsid w:val="00496E15"/>
    <w:rsid w:val="004A7950"/>
    <w:rsid w:val="004B316A"/>
    <w:rsid w:val="004B7A69"/>
    <w:rsid w:val="004C3E2F"/>
    <w:rsid w:val="004C436C"/>
    <w:rsid w:val="004D46CD"/>
    <w:rsid w:val="004D6665"/>
    <w:rsid w:val="004E2AC3"/>
    <w:rsid w:val="004E6DE7"/>
    <w:rsid w:val="004E6FFC"/>
    <w:rsid w:val="004F0D71"/>
    <w:rsid w:val="004F2D76"/>
    <w:rsid w:val="005041C1"/>
    <w:rsid w:val="0050730D"/>
    <w:rsid w:val="00527F62"/>
    <w:rsid w:val="00540DEF"/>
    <w:rsid w:val="005413D9"/>
    <w:rsid w:val="00541AD1"/>
    <w:rsid w:val="005502BC"/>
    <w:rsid w:val="0055466C"/>
    <w:rsid w:val="00554B88"/>
    <w:rsid w:val="0056205A"/>
    <w:rsid w:val="0056391D"/>
    <w:rsid w:val="00570159"/>
    <w:rsid w:val="00572152"/>
    <w:rsid w:val="0058151D"/>
    <w:rsid w:val="00581DC4"/>
    <w:rsid w:val="00583049"/>
    <w:rsid w:val="00587F13"/>
    <w:rsid w:val="00591127"/>
    <w:rsid w:val="0059750D"/>
    <w:rsid w:val="005B196F"/>
    <w:rsid w:val="005B1B64"/>
    <w:rsid w:val="005B2DB7"/>
    <w:rsid w:val="005C2235"/>
    <w:rsid w:val="005C4590"/>
    <w:rsid w:val="005D0897"/>
    <w:rsid w:val="005D4EBB"/>
    <w:rsid w:val="005E330A"/>
    <w:rsid w:val="005E4975"/>
    <w:rsid w:val="005E5B58"/>
    <w:rsid w:val="005F3F27"/>
    <w:rsid w:val="005F7C5D"/>
    <w:rsid w:val="00610779"/>
    <w:rsid w:val="00611B41"/>
    <w:rsid w:val="0061294A"/>
    <w:rsid w:val="0061511F"/>
    <w:rsid w:val="00621775"/>
    <w:rsid w:val="006255C9"/>
    <w:rsid w:val="006334E5"/>
    <w:rsid w:val="0063363A"/>
    <w:rsid w:val="00650866"/>
    <w:rsid w:val="006554EC"/>
    <w:rsid w:val="00661EC7"/>
    <w:rsid w:val="00663109"/>
    <w:rsid w:val="00663CAF"/>
    <w:rsid w:val="006672F7"/>
    <w:rsid w:val="00674D18"/>
    <w:rsid w:val="006773E4"/>
    <w:rsid w:val="00677B23"/>
    <w:rsid w:val="006819EC"/>
    <w:rsid w:val="00682864"/>
    <w:rsid w:val="00682F65"/>
    <w:rsid w:val="00685976"/>
    <w:rsid w:val="0069188D"/>
    <w:rsid w:val="00692FA3"/>
    <w:rsid w:val="00693FD0"/>
    <w:rsid w:val="0069532A"/>
    <w:rsid w:val="00695A66"/>
    <w:rsid w:val="00695ADD"/>
    <w:rsid w:val="006A2C9C"/>
    <w:rsid w:val="006A5F58"/>
    <w:rsid w:val="006A6A47"/>
    <w:rsid w:val="006A70ED"/>
    <w:rsid w:val="006B0B9E"/>
    <w:rsid w:val="006B1FD2"/>
    <w:rsid w:val="006C7750"/>
    <w:rsid w:val="006D33D7"/>
    <w:rsid w:val="006D6897"/>
    <w:rsid w:val="006D6ECF"/>
    <w:rsid w:val="006D762C"/>
    <w:rsid w:val="006D7C43"/>
    <w:rsid w:val="006E4909"/>
    <w:rsid w:val="006E5C58"/>
    <w:rsid w:val="006F0B86"/>
    <w:rsid w:val="006F1652"/>
    <w:rsid w:val="006F76F3"/>
    <w:rsid w:val="00700C74"/>
    <w:rsid w:val="00700D96"/>
    <w:rsid w:val="00703EC5"/>
    <w:rsid w:val="0071729C"/>
    <w:rsid w:val="00720F18"/>
    <w:rsid w:val="00721288"/>
    <w:rsid w:val="00735CE3"/>
    <w:rsid w:val="007370E3"/>
    <w:rsid w:val="00746858"/>
    <w:rsid w:val="00747EE0"/>
    <w:rsid w:val="00752186"/>
    <w:rsid w:val="007547BE"/>
    <w:rsid w:val="007549CD"/>
    <w:rsid w:val="00760075"/>
    <w:rsid w:val="00773ADE"/>
    <w:rsid w:val="00783ADD"/>
    <w:rsid w:val="00796DB3"/>
    <w:rsid w:val="007A2326"/>
    <w:rsid w:val="007A36F9"/>
    <w:rsid w:val="007B1684"/>
    <w:rsid w:val="007B6DA2"/>
    <w:rsid w:val="007C0288"/>
    <w:rsid w:val="007C1A5B"/>
    <w:rsid w:val="007D2421"/>
    <w:rsid w:val="007D49B1"/>
    <w:rsid w:val="007E68D5"/>
    <w:rsid w:val="007F5F49"/>
    <w:rsid w:val="00801204"/>
    <w:rsid w:val="0080758B"/>
    <w:rsid w:val="008218BF"/>
    <w:rsid w:val="008242A9"/>
    <w:rsid w:val="00832DAA"/>
    <w:rsid w:val="0084464A"/>
    <w:rsid w:val="008456CF"/>
    <w:rsid w:val="00847F6C"/>
    <w:rsid w:val="008506E1"/>
    <w:rsid w:val="0085121C"/>
    <w:rsid w:val="00853C41"/>
    <w:rsid w:val="008560FE"/>
    <w:rsid w:val="008568EC"/>
    <w:rsid w:val="00857343"/>
    <w:rsid w:val="008610B5"/>
    <w:rsid w:val="00873771"/>
    <w:rsid w:val="00876969"/>
    <w:rsid w:val="0087782E"/>
    <w:rsid w:val="00880BAC"/>
    <w:rsid w:val="00881F07"/>
    <w:rsid w:val="00887A54"/>
    <w:rsid w:val="008912A4"/>
    <w:rsid w:val="00894F2E"/>
    <w:rsid w:val="008A71EC"/>
    <w:rsid w:val="008A75A9"/>
    <w:rsid w:val="008B1B63"/>
    <w:rsid w:val="008D3617"/>
    <w:rsid w:val="008E1E7B"/>
    <w:rsid w:val="008E580C"/>
    <w:rsid w:val="008E6035"/>
    <w:rsid w:val="008E6856"/>
    <w:rsid w:val="008E7D1A"/>
    <w:rsid w:val="00903246"/>
    <w:rsid w:val="0090430D"/>
    <w:rsid w:val="00904B48"/>
    <w:rsid w:val="00905A12"/>
    <w:rsid w:val="00907AE9"/>
    <w:rsid w:val="00911E96"/>
    <w:rsid w:val="00912639"/>
    <w:rsid w:val="00915D17"/>
    <w:rsid w:val="009167B7"/>
    <w:rsid w:val="0091799F"/>
    <w:rsid w:val="00927849"/>
    <w:rsid w:val="00930236"/>
    <w:rsid w:val="00935529"/>
    <w:rsid w:val="00936FDD"/>
    <w:rsid w:val="00937216"/>
    <w:rsid w:val="00940A55"/>
    <w:rsid w:val="00941427"/>
    <w:rsid w:val="00941D7A"/>
    <w:rsid w:val="00942395"/>
    <w:rsid w:val="009515F4"/>
    <w:rsid w:val="00952080"/>
    <w:rsid w:val="009524E9"/>
    <w:rsid w:val="00953F15"/>
    <w:rsid w:val="009551CA"/>
    <w:rsid w:val="00964AC4"/>
    <w:rsid w:val="00982AA9"/>
    <w:rsid w:val="00983BCB"/>
    <w:rsid w:val="00993403"/>
    <w:rsid w:val="009942D5"/>
    <w:rsid w:val="00995694"/>
    <w:rsid w:val="009962FC"/>
    <w:rsid w:val="009A041E"/>
    <w:rsid w:val="009B2645"/>
    <w:rsid w:val="009B3548"/>
    <w:rsid w:val="009B4EE5"/>
    <w:rsid w:val="009B5FBC"/>
    <w:rsid w:val="009C226F"/>
    <w:rsid w:val="009C3684"/>
    <w:rsid w:val="009D1E1A"/>
    <w:rsid w:val="009D2536"/>
    <w:rsid w:val="009D770C"/>
    <w:rsid w:val="009D7B92"/>
    <w:rsid w:val="009E1C2E"/>
    <w:rsid w:val="009E7B15"/>
    <w:rsid w:val="009F2838"/>
    <w:rsid w:val="00A00B89"/>
    <w:rsid w:val="00A01625"/>
    <w:rsid w:val="00A0184A"/>
    <w:rsid w:val="00A02259"/>
    <w:rsid w:val="00A02C40"/>
    <w:rsid w:val="00A03623"/>
    <w:rsid w:val="00A122E3"/>
    <w:rsid w:val="00A146FD"/>
    <w:rsid w:val="00A157FC"/>
    <w:rsid w:val="00A15D90"/>
    <w:rsid w:val="00A15DAD"/>
    <w:rsid w:val="00A17000"/>
    <w:rsid w:val="00A2124F"/>
    <w:rsid w:val="00A22F12"/>
    <w:rsid w:val="00A260C9"/>
    <w:rsid w:val="00A34271"/>
    <w:rsid w:val="00A36F41"/>
    <w:rsid w:val="00A37434"/>
    <w:rsid w:val="00A40659"/>
    <w:rsid w:val="00A411F0"/>
    <w:rsid w:val="00A440CB"/>
    <w:rsid w:val="00A46E28"/>
    <w:rsid w:val="00A51718"/>
    <w:rsid w:val="00A54F1A"/>
    <w:rsid w:val="00A63192"/>
    <w:rsid w:val="00A64818"/>
    <w:rsid w:val="00A65365"/>
    <w:rsid w:val="00A73C6D"/>
    <w:rsid w:val="00A82CF7"/>
    <w:rsid w:val="00A86AC8"/>
    <w:rsid w:val="00A87952"/>
    <w:rsid w:val="00A9551C"/>
    <w:rsid w:val="00A97C25"/>
    <w:rsid w:val="00AA0B90"/>
    <w:rsid w:val="00AA1713"/>
    <w:rsid w:val="00AA532F"/>
    <w:rsid w:val="00AB49AD"/>
    <w:rsid w:val="00AB7894"/>
    <w:rsid w:val="00AC0607"/>
    <w:rsid w:val="00AC24B9"/>
    <w:rsid w:val="00AC4A49"/>
    <w:rsid w:val="00AC6A97"/>
    <w:rsid w:val="00AE7731"/>
    <w:rsid w:val="00AF57DD"/>
    <w:rsid w:val="00B017D5"/>
    <w:rsid w:val="00B0366D"/>
    <w:rsid w:val="00B05C0B"/>
    <w:rsid w:val="00B11C46"/>
    <w:rsid w:val="00B20C4F"/>
    <w:rsid w:val="00B2297D"/>
    <w:rsid w:val="00B23B2D"/>
    <w:rsid w:val="00B33284"/>
    <w:rsid w:val="00B42A8D"/>
    <w:rsid w:val="00B43B21"/>
    <w:rsid w:val="00B440F3"/>
    <w:rsid w:val="00B474EB"/>
    <w:rsid w:val="00B51438"/>
    <w:rsid w:val="00B57930"/>
    <w:rsid w:val="00B625A5"/>
    <w:rsid w:val="00B822C3"/>
    <w:rsid w:val="00B959B4"/>
    <w:rsid w:val="00B975AA"/>
    <w:rsid w:val="00BA26D4"/>
    <w:rsid w:val="00BA4143"/>
    <w:rsid w:val="00BB5134"/>
    <w:rsid w:val="00BC105F"/>
    <w:rsid w:val="00BC4EE3"/>
    <w:rsid w:val="00BC505F"/>
    <w:rsid w:val="00BC57C4"/>
    <w:rsid w:val="00BC6F42"/>
    <w:rsid w:val="00BD335F"/>
    <w:rsid w:val="00BE1F07"/>
    <w:rsid w:val="00BF1800"/>
    <w:rsid w:val="00BF497C"/>
    <w:rsid w:val="00C01056"/>
    <w:rsid w:val="00C064B8"/>
    <w:rsid w:val="00C07916"/>
    <w:rsid w:val="00C11DCE"/>
    <w:rsid w:val="00C2172F"/>
    <w:rsid w:val="00C2178C"/>
    <w:rsid w:val="00C34092"/>
    <w:rsid w:val="00C47623"/>
    <w:rsid w:val="00C53247"/>
    <w:rsid w:val="00C53B58"/>
    <w:rsid w:val="00C55EFE"/>
    <w:rsid w:val="00C60F72"/>
    <w:rsid w:val="00C622A6"/>
    <w:rsid w:val="00C65282"/>
    <w:rsid w:val="00C7419D"/>
    <w:rsid w:val="00C84A3D"/>
    <w:rsid w:val="00C95BEB"/>
    <w:rsid w:val="00CB0330"/>
    <w:rsid w:val="00CB0E80"/>
    <w:rsid w:val="00CC0384"/>
    <w:rsid w:val="00CC2E0D"/>
    <w:rsid w:val="00CC54E4"/>
    <w:rsid w:val="00CC7485"/>
    <w:rsid w:val="00CD0DB7"/>
    <w:rsid w:val="00CE0BAA"/>
    <w:rsid w:val="00CE22B3"/>
    <w:rsid w:val="00D00016"/>
    <w:rsid w:val="00D0037F"/>
    <w:rsid w:val="00D05FD1"/>
    <w:rsid w:val="00D20A6D"/>
    <w:rsid w:val="00D21A35"/>
    <w:rsid w:val="00D25C7F"/>
    <w:rsid w:val="00D42A87"/>
    <w:rsid w:val="00D45903"/>
    <w:rsid w:val="00D45DD1"/>
    <w:rsid w:val="00D50B9A"/>
    <w:rsid w:val="00D557CD"/>
    <w:rsid w:val="00D74D58"/>
    <w:rsid w:val="00D804D9"/>
    <w:rsid w:val="00D85111"/>
    <w:rsid w:val="00D90D98"/>
    <w:rsid w:val="00D966F3"/>
    <w:rsid w:val="00DA6EA0"/>
    <w:rsid w:val="00DB00BA"/>
    <w:rsid w:val="00DB2CB6"/>
    <w:rsid w:val="00DB402C"/>
    <w:rsid w:val="00DC07E7"/>
    <w:rsid w:val="00DC0B01"/>
    <w:rsid w:val="00DC2D23"/>
    <w:rsid w:val="00DC30A4"/>
    <w:rsid w:val="00DC4B7A"/>
    <w:rsid w:val="00DC506F"/>
    <w:rsid w:val="00DD77DB"/>
    <w:rsid w:val="00DE4F1C"/>
    <w:rsid w:val="00DE5485"/>
    <w:rsid w:val="00DE680E"/>
    <w:rsid w:val="00DF2603"/>
    <w:rsid w:val="00DF3DA5"/>
    <w:rsid w:val="00E06604"/>
    <w:rsid w:val="00E06E86"/>
    <w:rsid w:val="00E1025C"/>
    <w:rsid w:val="00E10AB4"/>
    <w:rsid w:val="00E10FB2"/>
    <w:rsid w:val="00E133E0"/>
    <w:rsid w:val="00E2211D"/>
    <w:rsid w:val="00E24B04"/>
    <w:rsid w:val="00E2501A"/>
    <w:rsid w:val="00E259DB"/>
    <w:rsid w:val="00E272A7"/>
    <w:rsid w:val="00E272D7"/>
    <w:rsid w:val="00E301D1"/>
    <w:rsid w:val="00E475AE"/>
    <w:rsid w:val="00E51040"/>
    <w:rsid w:val="00E5518C"/>
    <w:rsid w:val="00E57116"/>
    <w:rsid w:val="00E60B91"/>
    <w:rsid w:val="00E616BD"/>
    <w:rsid w:val="00E65D38"/>
    <w:rsid w:val="00E773C5"/>
    <w:rsid w:val="00E82175"/>
    <w:rsid w:val="00E85D4F"/>
    <w:rsid w:val="00E87A14"/>
    <w:rsid w:val="00E87C49"/>
    <w:rsid w:val="00E92912"/>
    <w:rsid w:val="00E94AC7"/>
    <w:rsid w:val="00EA7800"/>
    <w:rsid w:val="00EB0E6A"/>
    <w:rsid w:val="00EB3673"/>
    <w:rsid w:val="00EB57AB"/>
    <w:rsid w:val="00EB7CCB"/>
    <w:rsid w:val="00EC1C06"/>
    <w:rsid w:val="00EE256C"/>
    <w:rsid w:val="00EE79D5"/>
    <w:rsid w:val="00F20095"/>
    <w:rsid w:val="00F22F64"/>
    <w:rsid w:val="00F30905"/>
    <w:rsid w:val="00F32A63"/>
    <w:rsid w:val="00F32AD9"/>
    <w:rsid w:val="00F40AB2"/>
    <w:rsid w:val="00F56979"/>
    <w:rsid w:val="00F70885"/>
    <w:rsid w:val="00F72BA6"/>
    <w:rsid w:val="00F75CB6"/>
    <w:rsid w:val="00F769A3"/>
    <w:rsid w:val="00F76D5F"/>
    <w:rsid w:val="00F8253E"/>
    <w:rsid w:val="00F8388C"/>
    <w:rsid w:val="00F871A3"/>
    <w:rsid w:val="00F921F4"/>
    <w:rsid w:val="00F93258"/>
    <w:rsid w:val="00F94635"/>
    <w:rsid w:val="00F94C25"/>
    <w:rsid w:val="00F9590F"/>
    <w:rsid w:val="00F9675D"/>
    <w:rsid w:val="00F96BAE"/>
    <w:rsid w:val="00FA7F82"/>
    <w:rsid w:val="00FB2FC5"/>
    <w:rsid w:val="00FB6969"/>
    <w:rsid w:val="00FB6A20"/>
    <w:rsid w:val="00FB7980"/>
    <w:rsid w:val="00FC0F37"/>
    <w:rsid w:val="00FC275C"/>
    <w:rsid w:val="00FC3048"/>
    <w:rsid w:val="00FC4CDB"/>
    <w:rsid w:val="00FC7D82"/>
    <w:rsid w:val="00FE0ED8"/>
    <w:rsid w:val="00FE253B"/>
    <w:rsid w:val="00FE2834"/>
    <w:rsid w:val="00FE2DE2"/>
    <w:rsid w:val="00FE5F70"/>
    <w:rsid w:val="00FF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519A64"/>
  <w14:defaultImageDpi w14:val="32767"/>
  <w15:chartTrackingRefBased/>
  <w15:docId w15:val="{4F4871F9-10A6-C745-B4A5-A771D88BD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F32A63"/>
    <w:pPr>
      <w:jc w:val="both"/>
    </w:pPr>
    <w:rPr>
      <w:rFonts w:eastAsia="宋体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 Peng</dc:creator>
  <cp:keywords/>
  <dc:description/>
  <cp:lastModifiedBy>Gu Peng</cp:lastModifiedBy>
  <cp:revision>1</cp:revision>
  <dcterms:created xsi:type="dcterms:W3CDTF">2021-07-20T12:49:00Z</dcterms:created>
  <dcterms:modified xsi:type="dcterms:W3CDTF">2021-07-20T12:50:00Z</dcterms:modified>
</cp:coreProperties>
</file>