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F2D90E" w14:textId="77777777" w:rsidR="00D814FE" w:rsidRPr="00983D2F" w:rsidRDefault="00D814FE" w:rsidP="00D814FE">
      <w:pPr>
        <w:spacing w:line="480" w:lineRule="auto"/>
        <w:jc w:val="both"/>
        <w:rPr>
          <w:rFonts w:ascii="Times New Roman" w:hAnsi="Times New Roman" w:cs="Times New Roman"/>
          <w:b/>
          <w:bCs/>
          <w:noProof/>
          <w:sz w:val="28"/>
          <w:szCs w:val="28"/>
        </w:rPr>
      </w:pPr>
      <w:r w:rsidRPr="00983D2F">
        <w:rPr>
          <w:rFonts w:ascii="Times New Roman" w:hAnsi="Times New Roman" w:cs="Times New Roman"/>
          <w:b/>
          <w:bCs/>
          <w:sz w:val="28"/>
          <w:szCs w:val="28"/>
        </w:rPr>
        <w:t>The isomerization characteristics and fundamental physicochemical properties of the molecule</w:t>
      </w:r>
    </w:p>
    <w:p w14:paraId="4F7DA741" w14:textId="77777777" w:rsidR="00D814FE" w:rsidRPr="00983D2F" w:rsidRDefault="00D814FE" w:rsidP="00D814FE">
      <w:pPr>
        <w:spacing w:line="480" w:lineRule="auto"/>
        <w:jc w:val="center"/>
        <w:rPr>
          <w:rFonts w:ascii="Times New Roman" w:hAnsi="Times New Roman" w:cs="Times New Roman"/>
          <w:b/>
          <w:bCs/>
          <w:noProof/>
          <w:sz w:val="24"/>
          <w:szCs w:val="24"/>
        </w:rPr>
      </w:pPr>
      <w:r w:rsidRPr="00983D2F">
        <w:rPr>
          <w:rFonts w:ascii="Times New Roman" w:hAnsi="Times New Roman" w:cs="Times New Roman"/>
          <w:b/>
          <w:bCs/>
          <w:noProof/>
          <w:sz w:val="24"/>
          <w:szCs w:val="24"/>
        </w:rPr>
        <w:drawing>
          <wp:inline distT="0" distB="0" distL="0" distR="0" wp14:anchorId="3C58BAEB" wp14:editId="33079E44">
            <wp:extent cx="5572760" cy="4725035"/>
            <wp:effectExtent l="0" t="0" r="8890" b="0"/>
            <wp:docPr id="209815037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150374" name="图片 3"/>
                    <pic:cNvPicPr>
                      <a:picLocks noChangeAspect="1" noChangeArrowheads="1"/>
                    </pic:cNvPicPr>
                  </pic:nvPicPr>
                  <pic:blipFill>
                    <a:blip r:embed="rId4"/>
                    <a:stretch>
                      <a:fillRect/>
                    </a:stretch>
                  </pic:blipFill>
                  <pic:spPr bwMode="auto">
                    <a:xfrm>
                      <a:off x="0" y="0"/>
                      <a:ext cx="5572760" cy="4725035"/>
                    </a:xfrm>
                    <a:prstGeom prst="rect">
                      <a:avLst/>
                    </a:prstGeom>
                    <a:noFill/>
                    <a:ln>
                      <a:noFill/>
                    </a:ln>
                  </pic:spPr>
                </pic:pic>
              </a:graphicData>
            </a:graphic>
          </wp:inline>
        </w:drawing>
      </w:r>
    </w:p>
    <w:p w14:paraId="22865928" w14:textId="77777777" w:rsidR="00D814FE" w:rsidRPr="00983D2F" w:rsidRDefault="00D814FE" w:rsidP="00D814FE">
      <w:pPr>
        <w:spacing w:after="200" w:line="240" w:lineRule="auto"/>
        <w:jc w:val="both"/>
        <w:rPr>
          <w:rFonts w:ascii="Times New Roman" w:hAnsi="Times New Roman" w:cs="Times New Roman"/>
          <w:sz w:val="24"/>
          <w:szCs w:val="24"/>
        </w:rPr>
      </w:pPr>
      <w:r w:rsidRPr="00983D2F">
        <w:rPr>
          <w:rFonts w:ascii="Times New Roman" w:hAnsi="Times New Roman" w:cs="Times New Roman"/>
          <w:b/>
          <w:bCs/>
          <w:sz w:val="24"/>
          <w:szCs w:val="24"/>
        </w:rPr>
        <w:t>Extended Data Fig. 1 | The spectral and photoisomerization property of DASAs. a</w:t>
      </w:r>
      <w:r w:rsidRPr="00983D2F">
        <w:rPr>
          <w:rFonts w:ascii="Times New Roman" w:hAnsi="Times New Roman" w:cs="Times New Roman"/>
          <w:sz w:val="24"/>
          <w:szCs w:val="24"/>
        </w:rPr>
        <w:t xml:space="preserve"> Schematic illustration of typical isomerization process between </w:t>
      </w:r>
      <w:r w:rsidRPr="00983D2F">
        <w:rPr>
          <w:rFonts w:ascii="Times New Roman" w:hAnsi="Times New Roman" w:cs="Times New Roman"/>
          <w:i/>
          <w:sz w:val="24"/>
          <w:szCs w:val="24"/>
        </w:rPr>
        <w:t>linear</w:t>
      </w:r>
      <w:r w:rsidRPr="00983D2F">
        <w:rPr>
          <w:rFonts w:ascii="Times New Roman" w:hAnsi="Times New Roman" w:cs="Times New Roman"/>
          <w:sz w:val="24"/>
          <w:szCs w:val="24"/>
        </w:rPr>
        <w:t xml:space="preserve"> and </w:t>
      </w:r>
      <w:r w:rsidRPr="00983D2F">
        <w:rPr>
          <w:rFonts w:ascii="Times New Roman" w:hAnsi="Times New Roman" w:cs="Times New Roman"/>
          <w:i/>
          <w:sz w:val="24"/>
          <w:szCs w:val="24"/>
        </w:rPr>
        <w:t>cyclic</w:t>
      </w:r>
      <w:r w:rsidRPr="00983D2F">
        <w:rPr>
          <w:rFonts w:ascii="Times New Roman" w:hAnsi="Times New Roman" w:cs="Times New Roman"/>
          <w:sz w:val="24"/>
          <w:szCs w:val="24"/>
        </w:rPr>
        <w:t xml:space="preserve"> DASAs. </w:t>
      </w:r>
      <w:r w:rsidRPr="00983D2F">
        <w:rPr>
          <w:rFonts w:ascii="Times New Roman" w:hAnsi="Times New Roman" w:cs="Times New Roman"/>
          <w:b/>
          <w:bCs/>
          <w:sz w:val="24"/>
          <w:szCs w:val="24"/>
        </w:rPr>
        <w:t>b</w:t>
      </w:r>
      <w:r w:rsidRPr="00983D2F">
        <w:rPr>
          <w:rFonts w:ascii="Times New Roman" w:hAnsi="Times New Roman" w:cs="Times New Roman"/>
          <w:sz w:val="24"/>
          <w:szCs w:val="24"/>
        </w:rPr>
        <w:t xml:space="preserve"> Calculated energy landscape for the DASAs through the </w:t>
      </w:r>
      <w:r w:rsidRPr="00983D2F">
        <w:rPr>
          <w:rFonts w:ascii="Times New Roman" w:hAnsi="Times New Roman" w:cs="Times New Roman"/>
          <w:i/>
          <w:iCs/>
          <w:sz w:val="24"/>
          <w:szCs w:val="24"/>
        </w:rPr>
        <w:t>linear</w:t>
      </w:r>
      <w:r w:rsidRPr="00983D2F">
        <w:rPr>
          <w:rFonts w:ascii="Times New Roman" w:hAnsi="Times New Roman" w:cs="Times New Roman"/>
          <w:sz w:val="24"/>
          <w:szCs w:val="24"/>
        </w:rPr>
        <w:t>-to-</w:t>
      </w:r>
      <w:r w:rsidRPr="00983D2F">
        <w:rPr>
          <w:rFonts w:ascii="Times New Roman" w:hAnsi="Times New Roman" w:cs="Times New Roman"/>
          <w:i/>
          <w:iCs/>
          <w:sz w:val="24"/>
          <w:szCs w:val="24"/>
        </w:rPr>
        <w:t>cyclic</w:t>
      </w:r>
      <w:r w:rsidRPr="00983D2F">
        <w:rPr>
          <w:rFonts w:ascii="Times New Roman" w:hAnsi="Times New Roman" w:cs="Times New Roman"/>
          <w:sz w:val="24"/>
          <w:szCs w:val="24"/>
        </w:rPr>
        <w:t xml:space="preserve"> isomerization based on M06-2X/6-311G(d) (Grimme’s D3 dispersion model using the SMD solvent model in TCB (Eps=2.25))</w:t>
      </w:r>
      <w:r w:rsidRPr="00983D2F">
        <w:rPr>
          <w:rFonts w:ascii="Times New Roman" w:hAnsi="Times New Roman" w:cs="Times New Roman"/>
          <w:sz w:val="24"/>
          <w:szCs w:val="24"/>
        </w:rPr>
        <w:fldChar w:fldCharType="begin">
          <w:fldData xml:space="preserve">PEVuZE5vdGU+PENpdGU+PEF1dGhvcj5GcmlzY2g8L0F1dGhvcj48WWVhcj4yMDE2PC9ZZWFyPjxS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</w:fldData>
        </w:fldChar>
      </w:r>
      <w:r w:rsidRPr="00983D2F">
        <w:rPr>
          <w:rFonts w:ascii="Times New Roman" w:hAnsi="Times New Roman" w:cs="Times New Roman"/>
          <w:sz w:val="24"/>
          <w:szCs w:val="24"/>
        </w:rPr>
        <w:instrText xml:space="preserve"> ADDIN EN.CITE </w:instrText>
      </w:r>
      <w:r w:rsidRPr="00983D2F">
        <w:rPr>
          <w:rFonts w:ascii="Times New Roman" w:hAnsi="Times New Roman" w:cs="Times New Roman"/>
          <w:sz w:val="24"/>
          <w:szCs w:val="24"/>
        </w:rPr>
        <w:fldChar w:fldCharType="begin">
          <w:fldData xml:space="preserve">PEVuZE5vdGU+PENpdGU+PEF1dGhvcj5GcmlzY2g8L0F1dGhvcj48WWVhcj4yMDE2PC9ZZWFyPjxS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</w:fldData>
        </w:fldChar>
      </w:r>
      <w:r w:rsidRPr="00983D2F">
        <w:rPr>
          <w:rFonts w:ascii="Times New Roman" w:hAnsi="Times New Roman" w:cs="Times New Roman"/>
          <w:sz w:val="24"/>
          <w:szCs w:val="24"/>
        </w:rPr>
        <w:instrText xml:space="preserve"> ADDIN EN.CITE.DATA </w:instrText>
      </w:r>
      <w:r w:rsidRPr="00983D2F">
        <w:rPr>
          <w:rFonts w:ascii="Times New Roman" w:hAnsi="Times New Roman" w:cs="Times New Roman"/>
          <w:sz w:val="24"/>
          <w:szCs w:val="24"/>
        </w:rPr>
      </w:r>
      <w:r w:rsidRPr="00983D2F">
        <w:rPr>
          <w:rFonts w:ascii="Times New Roman" w:hAnsi="Times New Roman" w:cs="Times New Roman"/>
          <w:sz w:val="24"/>
          <w:szCs w:val="24"/>
        </w:rPr>
        <w:fldChar w:fldCharType="end"/>
      </w:r>
      <w:r w:rsidRPr="00983D2F">
        <w:rPr>
          <w:rFonts w:ascii="Times New Roman" w:hAnsi="Times New Roman" w:cs="Times New Roman"/>
          <w:sz w:val="24"/>
          <w:szCs w:val="24"/>
        </w:rPr>
      </w:r>
      <w:r w:rsidRPr="00983D2F">
        <w:rPr>
          <w:rFonts w:ascii="Times New Roman" w:hAnsi="Times New Roman" w:cs="Times New Roman"/>
          <w:sz w:val="24"/>
          <w:szCs w:val="24"/>
        </w:rPr>
        <w:fldChar w:fldCharType="separate"/>
      </w:r>
      <w:r w:rsidRPr="00983D2F">
        <w:rPr>
          <w:rFonts w:ascii="Times New Roman" w:hAnsi="Times New Roman" w:cs="Times New Roman"/>
          <w:noProof/>
          <w:sz w:val="24"/>
          <w:szCs w:val="24"/>
          <w:vertAlign w:val="superscript"/>
        </w:rPr>
        <w:t>58-62</w:t>
      </w:r>
      <w:r w:rsidRPr="00983D2F">
        <w:rPr>
          <w:rFonts w:ascii="Times New Roman" w:hAnsi="Times New Roman" w:cs="Times New Roman"/>
          <w:sz w:val="24"/>
          <w:szCs w:val="24"/>
        </w:rPr>
        <w:fldChar w:fldCharType="end"/>
      </w:r>
      <w:r w:rsidRPr="00983D2F">
        <w:rPr>
          <w:rFonts w:ascii="Times New Roman" w:hAnsi="Times New Roman" w:cs="Times New Roman"/>
          <w:sz w:val="24"/>
          <w:szCs w:val="24"/>
        </w:rPr>
        <w:t>.</w:t>
      </w:r>
      <w:r w:rsidRPr="00983D2F">
        <w:rPr>
          <w:rFonts w:ascii="Times New Roman" w:hAnsi="Times New Roman" w:cs="Times New Roman" w:hint="eastAsia"/>
          <w:sz w:val="24"/>
          <w:szCs w:val="24"/>
        </w:rPr>
        <w:t xml:space="preserve"> </w:t>
      </w:r>
      <w:r w:rsidRPr="00983D2F">
        <w:rPr>
          <w:rFonts w:ascii="Times New Roman" w:hAnsi="Times New Roman" w:cs="Times New Roman" w:hint="eastAsia"/>
          <w:b/>
          <w:bCs/>
          <w:sz w:val="24"/>
          <w:szCs w:val="24"/>
        </w:rPr>
        <w:t>c</w:t>
      </w:r>
      <w:r w:rsidRPr="00983D2F">
        <w:rPr>
          <w:rFonts w:ascii="Times New Roman" w:hAnsi="Times New Roman" w:cs="Times New Roman" w:hint="eastAsia"/>
          <w:sz w:val="24"/>
          <w:szCs w:val="24"/>
        </w:rPr>
        <w:t xml:space="preserve"> </w:t>
      </w:r>
      <w:r w:rsidRPr="00983D2F">
        <w:rPr>
          <w:rFonts w:ascii="Times New Roman" w:hAnsi="Times New Roman" w:cs="Times New Roman"/>
          <w:sz w:val="24"/>
          <w:szCs w:val="24"/>
        </w:rPr>
        <w:t xml:space="preserve">Normalized absorption spectra of </w:t>
      </w:r>
      <w:r w:rsidRPr="00983D2F">
        <w:rPr>
          <w:rFonts w:ascii="Times New Roman" w:hAnsi="Times New Roman" w:cs="Times New Roman"/>
          <w:b/>
          <w:bCs/>
          <w:sz w:val="24"/>
          <w:szCs w:val="24"/>
        </w:rPr>
        <w:t>DAS</w:t>
      </w:r>
      <w:r w:rsidRPr="00983D2F">
        <w:rPr>
          <w:rFonts w:ascii="Times New Roman" w:hAnsi="Times New Roman" w:cs="Times New Roman"/>
          <w:sz w:val="24"/>
          <w:szCs w:val="24"/>
        </w:rPr>
        <w:t xml:space="preserve">, </w:t>
      </w:r>
      <w:r w:rsidRPr="00983D2F">
        <w:rPr>
          <w:rFonts w:ascii="Times New Roman" w:hAnsi="Times New Roman" w:cs="Times New Roman"/>
          <w:b/>
          <w:bCs/>
          <w:sz w:val="24"/>
          <w:szCs w:val="24"/>
        </w:rPr>
        <w:t>SDA</w:t>
      </w:r>
      <w:r w:rsidRPr="00983D2F">
        <w:rPr>
          <w:rFonts w:ascii="Times New Roman" w:hAnsi="Times New Roman" w:cs="Times New Roman"/>
          <w:sz w:val="24"/>
          <w:szCs w:val="24"/>
        </w:rPr>
        <w:t xml:space="preserve">, </w:t>
      </w:r>
      <w:r w:rsidRPr="00983D2F">
        <w:rPr>
          <w:rFonts w:ascii="Times New Roman" w:hAnsi="Times New Roman" w:cs="Times New Roman"/>
          <w:b/>
          <w:bCs/>
          <w:sz w:val="24"/>
          <w:szCs w:val="24"/>
        </w:rPr>
        <w:t>SDAS</w:t>
      </w:r>
      <w:r w:rsidRPr="00983D2F">
        <w:rPr>
          <w:rFonts w:ascii="Times New Roman" w:hAnsi="Times New Roman" w:cs="Times New Roman"/>
          <w:sz w:val="24"/>
          <w:szCs w:val="24"/>
        </w:rPr>
        <w:t xml:space="preserve">, </w:t>
      </w:r>
      <w:r w:rsidRPr="00983D2F">
        <w:rPr>
          <w:rFonts w:ascii="Times New Roman" w:hAnsi="Times New Roman" w:cs="Times New Roman"/>
          <w:b/>
          <w:bCs/>
          <w:sz w:val="24"/>
          <w:szCs w:val="24"/>
        </w:rPr>
        <w:t>SSDA</w:t>
      </w:r>
      <w:r w:rsidRPr="00983D2F">
        <w:rPr>
          <w:rFonts w:ascii="Times New Roman" w:hAnsi="Times New Roman" w:cs="Times New Roman"/>
          <w:sz w:val="24"/>
          <w:szCs w:val="24"/>
        </w:rPr>
        <w:t xml:space="preserve">, and </w:t>
      </w:r>
      <w:r w:rsidRPr="00983D2F">
        <w:rPr>
          <w:rFonts w:ascii="Times New Roman" w:hAnsi="Times New Roman" w:cs="Times New Roman"/>
          <w:b/>
          <w:bCs/>
          <w:sz w:val="24"/>
          <w:szCs w:val="24"/>
        </w:rPr>
        <w:t>SSDAS</w:t>
      </w:r>
      <w:r w:rsidRPr="00983D2F">
        <w:rPr>
          <w:rFonts w:ascii="Times New Roman" w:hAnsi="Times New Roman" w:cs="Times New Roman"/>
          <w:sz w:val="24"/>
          <w:szCs w:val="24"/>
        </w:rPr>
        <w:t xml:space="preserve"> in TCB. The corresponding maximum absorption wavelengths and full width at half maximum (FWHM) values are labelled above each curve.</w:t>
      </w:r>
      <w:r w:rsidRPr="00983D2F">
        <w:rPr>
          <w:rFonts w:ascii="Times New Roman" w:hAnsi="Times New Roman" w:cs="Times New Roman" w:hint="eastAsia"/>
          <w:sz w:val="24"/>
          <w:szCs w:val="24"/>
        </w:rPr>
        <w:t xml:space="preserve"> </w:t>
      </w:r>
      <w:r w:rsidRPr="00983D2F">
        <w:rPr>
          <w:rFonts w:ascii="Times New Roman" w:hAnsi="Times New Roman" w:cs="Times New Roman" w:hint="eastAsia"/>
          <w:b/>
          <w:bCs/>
          <w:sz w:val="24"/>
          <w:szCs w:val="24"/>
        </w:rPr>
        <w:t>d</w:t>
      </w:r>
      <w:r w:rsidRPr="00983D2F">
        <w:rPr>
          <w:rFonts w:ascii="Times New Roman" w:hAnsi="Times New Roman" w:cs="Times New Roman"/>
          <w:sz w:val="24"/>
          <w:szCs w:val="24"/>
        </w:rPr>
        <w:t xml:space="preserve"> Calculated molecular polarity index (MPI, green axis on the left), molar absorption coefficient (red axis on the left) and </w:t>
      </w:r>
      <w:r w:rsidRPr="00983D2F">
        <w:rPr>
          <w:rFonts w:ascii="Times New Roman" w:hAnsi="Times New Roman" w:cs="Times New Roman"/>
          <w:i/>
          <w:sz w:val="24"/>
          <w:szCs w:val="24"/>
        </w:rPr>
        <w:t>cyclic</w:t>
      </w:r>
      <w:r w:rsidRPr="00983D2F">
        <w:rPr>
          <w:rFonts w:ascii="Times New Roman" w:hAnsi="Times New Roman" w:cs="Times New Roman"/>
          <w:sz w:val="24"/>
          <w:szCs w:val="24"/>
        </w:rPr>
        <w:t>-to-</w:t>
      </w:r>
      <w:r w:rsidRPr="00983D2F">
        <w:rPr>
          <w:rFonts w:ascii="Times New Roman" w:hAnsi="Times New Roman" w:cs="Times New Roman"/>
          <w:i/>
          <w:sz w:val="24"/>
          <w:szCs w:val="24"/>
        </w:rPr>
        <w:t>linear</w:t>
      </w:r>
      <w:r w:rsidRPr="00983D2F">
        <w:rPr>
          <w:rFonts w:ascii="Times New Roman" w:hAnsi="Times New Roman" w:cs="Times New Roman"/>
          <w:sz w:val="24"/>
          <w:szCs w:val="24"/>
        </w:rPr>
        <w:t xml:space="preserve"> isomerization rate constants for the DASAs (blue axis on the right).</w:t>
      </w:r>
    </w:p>
    <w:p w14:paraId="171726A1" w14:textId="77777777" w:rsidR="00D814FE" w:rsidRPr="00983D2F" w:rsidRDefault="00D814FE" w:rsidP="00D814FE">
      <w:pPr>
        <w:spacing w:line="480" w:lineRule="auto"/>
        <w:jc w:val="both"/>
        <w:rPr>
          <w:rFonts w:ascii="Times New Roman" w:hAnsi="Times New Roman" w:cs="Times New Roman"/>
          <w:b/>
          <w:bCs/>
          <w:sz w:val="24"/>
          <w:szCs w:val="24"/>
        </w:rPr>
      </w:pPr>
    </w:p>
    <w:p w14:paraId="6E31B2D2" w14:textId="77777777" w:rsidR="00D814FE" w:rsidRPr="00983D2F" w:rsidRDefault="00D814FE" w:rsidP="00D814FE">
      <w:pPr>
        <w:spacing w:line="360" w:lineRule="auto"/>
        <w:jc w:val="both"/>
        <w:rPr>
          <w:rFonts w:ascii="Times New Roman" w:hAnsi="Times New Roman" w:cs="Times New Roman"/>
          <w:sz w:val="24"/>
          <w:szCs w:val="24"/>
        </w:rPr>
      </w:pPr>
      <w:r w:rsidRPr="00983D2F">
        <w:rPr>
          <w:rFonts w:ascii="Times New Roman" w:hAnsi="Times New Roman" w:cs="Times New Roman"/>
          <w:sz w:val="24"/>
          <w:szCs w:val="24"/>
        </w:rPr>
        <w:lastRenderedPageBreak/>
        <w:t>The photoisomerization of DASAs was studied before integrating into STM-BJ. Due to the push-pull nature, all the DASAs exhibit strong absorption bands in the visible light region beyond 620 nm (Extended Data Fig. 1</w:t>
      </w:r>
      <w:r w:rsidRPr="00983D2F">
        <w:rPr>
          <w:rFonts w:ascii="Times New Roman" w:hAnsi="Times New Roman" w:cs="Times New Roman" w:hint="eastAsia"/>
          <w:sz w:val="24"/>
          <w:szCs w:val="24"/>
        </w:rPr>
        <w:t>c</w:t>
      </w:r>
      <w:r w:rsidRPr="00983D2F">
        <w:rPr>
          <w:rFonts w:ascii="Times New Roman" w:hAnsi="Times New Roman" w:cs="Times New Roman"/>
          <w:sz w:val="24"/>
          <w:szCs w:val="24"/>
        </w:rPr>
        <w:t>). The high molar absorption coefficients (~0.08 cm</w:t>
      </w:r>
      <w:r w:rsidRPr="00983D2F">
        <w:rPr>
          <w:rFonts w:ascii="Times New Roman" w:hAnsi="Times New Roman" w:cs="Times New Roman"/>
          <w:sz w:val="24"/>
          <w:szCs w:val="24"/>
          <w:vertAlign w:val="superscript"/>
        </w:rPr>
        <w:t>-1</w:t>
      </w:r>
      <w:r w:rsidRPr="00983D2F">
        <w:rPr>
          <w:rFonts w:ascii="Times New Roman" w:hAnsi="Times New Roman" w:cs="Times New Roman"/>
          <w:sz w:val="24"/>
          <w:szCs w:val="24"/>
        </w:rPr>
        <w:t>μm</w:t>
      </w:r>
      <w:r w:rsidRPr="00983D2F">
        <w:rPr>
          <w:rFonts w:ascii="Times New Roman" w:hAnsi="Times New Roman" w:cs="Times New Roman"/>
          <w:sz w:val="24"/>
          <w:szCs w:val="24"/>
          <w:vertAlign w:val="superscript"/>
        </w:rPr>
        <w:t>-1</w:t>
      </w:r>
      <w:r w:rsidRPr="00983D2F">
        <w:rPr>
          <w:rFonts w:ascii="Times New Roman" w:hAnsi="Times New Roman" w:cs="Times New Roman"/>
          <w:sz w:val="24"/>
          <w:szCs w:val="24"/>
        </w:rPr>
        <w:t>) indicates excellent color-developing ability of DASAs, suggesting their potential applications in the dye industry (Supplementary Fig</w:t>
      </w:r>
      <w:r w:rsidRPr="00983D2F">
        <w:rPr>
          <w:rFonts w:ascii="Times New Roman" w:hAnsi="Times New Roman" w:cs="Times New Roman" w:hint="eastAsia"/>
          <w:sz w:val="24"/>
          <w:szCs w:val="24"/>
        </w:rPr>
        <w:t>s</w:t>
      </w:r>
      <w:r w:rsidRPr="00983D2F">
        <w:rPr>
          <w:rFonts w:ascii="Times New Roman" w:hAnsi="Times New Roman" w:cs="Times New Roman"/>
          <w:sz w:val="24"/>
          <w:szCs w:val="24"/>
        </w:rPr>
        <w:t xml:space="preserve">. </w:t>
      </w:r>
      <w:r w:rsidRPr="00983D2F">
        <w:rPr>
          <w:rFonts w:ascii="Times New Roman" w:hAnsi="Times New Roman" w:cs="Times New Roman" w:hint="eastAsia"/>
          <w:sz w:val="24"/>
          <w:szCs w:val="24"/>
        </w:rPr>
        <w:t>17-22</w:t>
      </w:r>
      <w:r w:rsidRPr="00983D2F">
        <w:rPr>
          <w:rFonts w:ascii="Times New Roman" w:hAnsi="Times New Roman" w:cs="Times New Roman"/>
          <w:sz w:val="24"/>
          <w:szCs w:val="24"/>
        </w:rPr>
        <w:t xml:space="preserve">). Under irradiation of 635 nm red light, the </w:t>
      </w:r>
      <w:r w:rsidRPr="00983D2F">
        <w:rPr>
          <w:rFonts w:ascii="Times New Roman" w:hAnsi="Times New Roman" w:cs="Times New Roman"/>
          <w:i/>
          <w:iCs/>
          <w:sz w:val="24"/>
          <w:szCs w:val="24"/>
        </w:rPr>
        <w:t>linear</w:t>
      </w:r>
      <w:r w:rsidRPr="00983D2F">
        <w:rPr>
          <w:rFonts w:ascii="Times New Roman" w:hAnsi="Times New Roman" w:cs="Times New Roman"/>
          <w:sz w:val="24"/>
          <w:szCs w:val="24"/>
        </w:rPr>
        <w:t>-to-</w:t>
      </w:r>
      <w:r w:rsidRPr="00983D2F">
        <w:rPr>
          <w:rFonts w:ascii="Times New Roman" w:hAnsi="Times New Roman" w:cs="Times New Roman"/>
          <w:i/>
          <w:iCs/>
          <w:sz w:val="24"/>
          <w:szCs w:val="24"/>
        </w:rPr>
        <w:t>cyclic</w:t>
      </w:r>
      <w:r w:rsidRPr="00983D2F">
        <w:rPr>
          <w:rFonts w:ascii="Times New Roman" w:hAnsi="Times New Roman" w:cs="Times New Roman"/>
          <w:sz w:val="24"/>
          <w:szCs w:val="24"/>
        </w:rPr>
        <w:t xml:space="preserve"> isomerization of DASAs dramatically drops the absorption bands, which induces a colored-to-colorless transition and is generally recognized as a typical characteristic of negative photochromism (Supplementary Figs. 17-21). Typical </w:t>
      </w:r>
      <w:r w:rsidRPr="00983D2F">
        <w:rPr>
          <w:rFonts w:ascii="Times New Roman" w:hAnsi="Times New Roman" w:cs="Times New Roman"/>
          <w:i/>
          <w:iCs/>
          <w:sz w:val="24"/>
          <w:szCs w:val="24"/>
        </w:rPr>
        <w:t>linear</w:t>
      </w:r>
      <w:r w:rsidRPr="00983D2F">
        <w:rPr>
          <w:rFonts w:ascii="Times New Roman" w:hAnsi="Times New Roman" w:cs="Times New Roman"/>
          <w:sz w:val="24"/>
          <w:szCs w:val="24"/>
        </w:rPr>
        <w:t>-to-</w:t>
      </w:r>
      <w:r w:rsidRPr="00983D2F">
        <w:rPr>
          <w:rFonts w:ascii="Times New Roman" w:hAnsi="Times New Roman" w:cs="Times New Roman"/>
          <w:i/>
          <w:iCs/>
          <w:sz w:val="24"/>
          <w:szCs w:val="24"/>
        </w:rPr>
        <w:t>cyclic</w:t>
      </w:r>
      <w:r w:rsidRPr="00983D2F">
        <w:rPr>
          <w:rFonts w:ascii="Times New Roman" w:hAnsi="Times New Roman" w:cs="Times New Roman"/>
          <w:sz w:val="24"/>
          <w:szCs w:val="24"/>
        </w:rPr>
        <w:t xml:space="preserve"> isomerization of DASAs could be briefly resolved into three transition steps (Extended Data Fig. 1a): (1) A-B transition is a light-dominated process that includes the C2-C3 inversion, the energy barrier for the transition state (TS) determines the thermodynamical favorability of this step; (2) B-B` transition with the C3-C4 rotation is generally regarded as a spontaneous process, while B` is a relatively stable intermediate which could be observed during the isomerization; (3) B`-C transition includes intramolecular proton transfer is critical for the generation of </w:t>
      </w:r>
      <w:r w:rsidRPr="00983D2F">
        <w:rPr>
          <w:rFonts w:ascii="Times New Roman" w:hAnsi="Times New Roman" w:cs="Times New Roman"/>
          <w:i/>
          <w:iCs/>
          <w:sz w:val="24"/>
          <w:szCs w:val="24"/>
        </w:rPr>
        <w:t>cyclic</w:t>
      </w:r>
      <w:r w:rsidRPr="00983D2F">
        <w:rPr>
          <w:rFonts w:ascii="Times New Roman" w:hAnsi="Times New Roman" w:cs="Times New Roman"/>
          <w:sz w:val="24"/>
          <w:szCs w:val="24"/>
        </w:rPr>
        <w:t xml:space="preserve"> isomer, it should be notably the intermediate C with the enolate structure is unstable and spontaneously switches to </w:t>
      </w:r>
      <w:r w:rsidRPr="00983D2F">
        <w:rPr>
          <w:rFonts w:ascii="Times New Roman" w:hAnsi="Times New Roman" w:cs="Times New Roman"/>
          <w:i/>
          <w:iCs/>
          <w:sz w:val="24"/>
          <w:szCs w:val="24"/>
        </w:rPr>
        <w:t>cyclic</w:t>
      </w:r>
      <w:r w:rsidRPr="00983D2F">
        <w:rPr>
          <w:rFonts w:ascii="Times New Roman" w:hAnsi="Times New Roman" w:cs="Times New Roman"/>
          <w:sz w:val="24"/>
          <w:szCs w:val="24"/>
        </w:rPr>
        <w:t xml:space="preserve"> via tautomerization. </w:t>
      </w:r>
    </w:p>
    <w:p w14:paraId="03A6154F" w14:textId="77777777" w:rsidR="00D814FE" w:rsidRPr="00983D2F" w:rsidRDefault="00D814FE" w:rsidP="00D814FE">
      <w:pPr>
        <w:spacing w:line="360" w:lineRule="auto"/>
        <w:ind w:firstLineChars="200" w:firstLine="480"/>
        <w:jc w:val="both"/>
        <w:rPr>
          <w:rFonts w:ascii="Times New Roman" w:hAnsi="Times New Roman" w:cs="Times New Roman"/>
          <w:sz w:val="24"/>
          <w:szCs w:val="24"/>
        </w:rPr>
      </w:pPr>
      <w:r w:rsidRPr="00983D2F">
        <w:rPr>
          <w:rFonts w:ascii="Times New Roman" w:hAnsi="Times New Roman" w:cs="Times New Roman"/>
          <w:sz w:val="24"/>
          <w:szCs w:val="24"/>
        </w:rPr>
        <w:t>Interestingly, the introduced thiomethylic groups significantly affect the isomerization behavior of DASAs by altering the absorption spectra and molecular energy during the isomerization process. The computed energy landscapes show that the energy barrier for the C2-C3 inversion (TS of A-B transition) is significantly increased after introducing two thiomethylic groups</w:t>
      </w:r>
      <w:r w:rsidRPr="00983D2F" w:rsidDel="00020EB7">
        <w:rPr>
          <w:rFonts w:ascii="Times New Roman" w:hAnsi="Times New Roman" w:cs="Times New Roman"/>
          <w:sz w:val="24"/>
          <w:szCs w:val="24"/>
        </w:rPr>
        <w:t xml:space="preserve"> </w:t>
      </w:r>
      <w:r w:rsidRPr="00983D2F">
        <w:rPr>
          <w:rFonts w:ascii="Times New Roman" w:hAnsi="Times New Roman" w:cs="Times New Roman"/>
          <w:sz w:val="24"/>
          <w:szCs w:val="24"/>
        </w:rPr>
        <w:t>on the donor (</w:t>
      </w:r>
      <w:r w:rsidRPr="00983D2F">
        <w:rPr>
          <w:rFonts w:ascii="Times New Roman" w:hAnsi="Times New Roman" w:cs="Times New Roman"/>
          <w:b/>
          <w:bCs/>
          <w:sz w:val="24"/>
          <w:szCs w:val="24"/>
        </w:rPr>
        <w:t>SSDA</w:t>
      </w:r>
      <w:r w:rsidRPr="00983D2F">
        <w:rPr>
          <w:rFonts w:ascii="Times New Roman" w:hAnsi="Times New Roman" w:cs="Times New Roman"/>
          <w:sz w:val="24"/>
          <w:szCs w:val="24"/>
        </w:rPr>
        <w:t xml:space="preserve"> and </w:t>
      </w:r>
      <w:r w:rsidRPr="00983D2F">
        <w:rPr>
          <w:rFonts w:ascii="Times New Roman" w:hAnsi="Times New Roman" w:cs="Times New Roman"/>
          <w:b/>
          <w:bCs/>
          <w:sz w:val="24"/>
          <w:szCs w:val="24"/>
        </w:rPr>
        <w:t>SSDAS</w:t>
      </w:r>
      <w:r w:rsidRPr="00983D2F">
        <w:rPr>
          <w:rFonts w:ascii="Times New Roman" w:hAnsi="Times New Roman" w:cs="Times New Roman"/>
          <w:sz w:val="24"/>
          <w:szCs w:val="24"/>
        </w:rPr>
        <w:t xml:space="preserve">), which sharply increases the time required for the backward </w:t>
      </w:r>
      <w:r w:rsidRPr="00983D2F">
        <w:rPr>
          <w:rFonts w:ascii="Times New Roman" w:hAnsi="Times New Roman" w:cs="Times New Roman"/>
          <w:i/>
          <w:iCs/>
          <w:sz w:val="24"/>
          <w:szCs w:val="24"/>
        </w:rPr>
        <w:t>cyclic</w:t>
      </w:r>
      <w:r w:rsidRPr="00983D2F">
        <w:rPr>
          <w:rFonts w:ascii="Times New Roman" w:hAnsi="Times New Roman" w:cs="Times New Roman"/>
          <w:sz w:val="24"/>
          <w:szCs w:val="24"/>
        </w:rPr>
        <w:t>-to-</w:t>
      </w:r>
      <w:r w:rsidRPr="00983D2F">
        <w:rPr>
          <w:rFonts w:ascii="Times New Roman" w:hAnsi="Times New Roman" w:cs="Times New Roman"/>
          <w:i/>
          <w:iCs/>
          <w:sz w:val="24"/>
          <w:szCs w:val="24"/>
        </w:rPr>
        <w:t>linear</w:t>
      </w:r>
      <w:r w:rsidRPr="00983D2F">
        <w:rPr>
          <w:rFonts w:ascii="Times New Roman" w:hAnsi="Times New Roman" w:cs="Times New Roman"/>
          <w:sz w:val="24"/>
          <w:szCs w:val="24"/>
        </w:rPr>
        <w:t xml:space="preserve"> isomerization by one order of magnitude from tens of seconds to hundreds of seconds (Extended Data Fig. 1b and </w:t>
      </w:r>
      <w:r w:rsidRPr="00983D2F">
        <w:rPr>
          <w:rFonts w:ascii="Times New Roman" w:hAnsi="Times New Roman" w:cs="Times New Roman" w:hint="eastAsia"/>
          <w:sz w:val="24"/>
          <w:szCs w:val="24"/>
        </w:rPr>
        <w:t>1</w:t>
      </w:r>
      <w:r w:rsidRPr="00983D2F">
        <w:rPr>
          <w:rFonts w:ascii="Times New Roman" w:hAnsi="Times New Roman" w:cs="Times New Roman"/>
          <w:sz w:val="24"/>
          <w:szCs w:val="24"/>
        </w:rPr>
        <w:t xml:space="preserve">d, Supplementary Figs. 17-21). These indicate the thermodynamics and kinetics of the isomerization between </w:t>
      </w:r>
      <w:r w:rsidRPr="00983D2F">
        <w:rPr>
          <w:rFonts w:ascii="Times New Roman" w:hAnsi="Times New Roman" w:cs="Times New Roman"/>
          <w:i/>
          <w:iCs/>
          <w:sz w:val="24"/>
          <w:szCs w:val="24"/>
        </w:rPr>
        <w:t>linear</w:t>
      </w:r>
      <w:r w:rsidRPr="00983D2F">
        <w:rPr>
          <w:rFonts w:ascii="Times New Roman" w:hAnsi="Times New Roman" w:cs="Times New Roman"/>
          <w:sz w:val="24"/>
          <w:szCs w:val="24"/>
        </w:rPr>
        <w:t xml:space="preserve"> and </w:t>
      </w:r>
      <w:r w:rsidRPr="00983D2F">
        <w:rPr>
          <w:rFonts w:ascii="Times New Roman" w:hAnsi="Times New Roman" w:cs="Times New Roman"/>
          <w:i/>
          <w:iCs/>
          <w:sz w:val="24"/>
          <w:szCs w:val="24"/>
        </w:rPr>
        <w:t>cyclic</w:t>
      </w:r>
      <w:r w:rsidRPr="00983D2F">
        <w:rPr>
          <w:rFonts w:ascii="Times New Roman" w:hAnsi="Times New Roman" w:cs="Times New Roman"/>
          <w:sz w:val="24"/>
          <w:szCs w:val="24"/>
        </w:rPr>
        <w:t xml:space="preserve"> DASAs could be modulated by controlling the substituted groups on the electron donor and acceptor. Moreover, </w:t>
      </w:r>
      <w:r w:rsidRPr="00983D2F">
        <w:rPr>
          <w:rFonts w:ascii="Times New Roman" w:hAnsi="Times New Roman" w:cs="Times New Roman"/>
          <w:b/>
          <w:bCs/>
          <w:sz w:val="24"/>
          <w:szCs w:val="24"/>
        </w:rPr>
        <w:t>SSDA</w:t>
      </w:r>
      <w:r w:rsidRPr="00983D2F">
        <w:rPr>
          <w:rFonts w:ascii="Times New Roman" w:hAnsi="Times New Roman" w:cs="Times New Roman"/>
          <w:sz w:val="24"/>
          <w:szCs w:val="24"/>
        </w:rPr>
        <w:t xml:space="preserve"> and </w:t>
      </w:r>
      <w:r w:rsidRPr="00983D2F">
        <w:rPr>
          <w:rFonts w:ascii="Times New Roman" w:hAnsi="Times New Roman" w:cs="Times New Roman"/>
          <w:b/>
          <w:bCs/>
          <w:sz w:val="24"/>
          <w:szCs w:val="24"/>
        </w:rPr>
        <w:t>SSDAS</w:t>
      </w:r>
      <w:r w:rsidRPr="00983D2F">
        <w:rPr>
          <w:rFonts w:ascii="Times New Roman" w:hAnsi="Times New Roman" w:cs="Times New Roman"/>
          <w:sz w:val="24"/>
          <w:szCs w:val="24"/>
        </w:rPr>
        <w:t xml:space="preserve"> exhibit much red-shifted and broadened absorption spectra compared with the single-anchored DASAs (</w:t>
      </w:r>
      <w:r w:rsidRPr="00983D2F">
        <w:rPr>
          <w:rFonts w:ascii="Times New Roman" w:hAnsi="Times New Roman" w:cs="Times New Roman"/>
          <w:b/>
          <w:bCs/>
          <w:sz w:val="24"/>
          <w:szCs w:val="24"/>
        </w:rPr>
        <w:t>DAS</w:t>
      </w:r>
      <w:r w:rsidRPr="00983D2F">
        <w:rPr>
          <w:rFonts w:ascii="Times New Roman" w:hAnsi="Times New Roman" w:cs="Times New Roman"/>
          <w:sz w:val="24"/>
          <w:szCs w:val="24"/>
        </w:rPr>
        <w:t xml:space="preserve"> and </w:t>
      </w:r>
      <w:r w:rsidRPr="00983D2F">
        <w:rPr>
          <w:rFonts w:ascii="Times New Roman" w:hAnsi="Times New Roman" w:cs="Times New Roman"/>
          <w:b/>
          <w:bCs/>
          <w:sz w:val="24"/>
          <w:szCs w:val="24"/>
        </w:rPr>
        <w:t>SDA</w:t>
      </w:r>
      <w:r w:rsidRPr="00983D2F">
        <w:rPr>
          <w:rFonts w:ascii="Times New Roman" w:hAnsi="Times New Roman" w:cs="Times New Roman"/>
          <w:sz w:val="24"/>
          <w:szCs w:val="24"/>
        </w:rPr>
        <w:t xml:space="preserve">) and </w:t>
      </w:r>
      <w:r w:rsidRPr="00983D2F">
        <w:rPr>
          <w:rFonts w:ascii="Times New Roman" w:hAnsi="Times New Roman" w:cs="Times New Roman"/>
          <w:b/>
          <w:bCs/>
          <w:sz w:val="24"/>
          <w:szCs w:val="24"/>
        </w:rPr>
        <w:t xml:space="preserve">SDAS </w:t>
      </w:r>
      <w:r w:rsidRPr="00983D2F">
        <w:rPr>
          <w:rFonts w:ascii="Times New Roman" w:hAnsi="Times New Roman" w:cs="Times New Roman"/>
          <w:sz w:val="24"/>
          <w:szCs w:val="24"/>
        </w:rPr>
        <w:t>(Extended Data Fig. 1c and Supplementary Fig. 15). The absorption maxima progressively shift from 628 nm (</w:t>
      </w:r>
      <w:r w:rsidRPr="00983D2F">
        <w:rPr>
          <w:rFonts w:ascii="Times New Roman" w:hAnsi="Times New Roman" w:cs="Times New Roman"/>
          <w:b/>
          <w:bCs/>
          <w:sz w:val="24"/>
          <w:szCs w:val="24"/>
        </w:rPr>
        <w:t>DAS</w:t>
      </w:r>
      <w:r w:rsidRPr="00983D2F">
        <w:rPr>
          <w:rFonts w:ascii="Times New Roman" w:hAnsi="Times New Roman" w:cs="Times New Roman"/>
          <w:sz w:val="24"/>
          <w:szCs w:val="24"/>
        </w:rPr>
        <w:t>) to 657 nm (</w:t>
      </w:r>
      <w:r w:rsidRPr="00983D2F">
        <w:rPr>
          <w:rFonts w:ascii="Times New Roman" w:hAnsi="Times New Roman" w:cs="Times New Roman"/>
          <w:b/>
          <w:bCs/>
          <w:sz w:val="24"/>
          <w:szCs w:val="24"/>
        </w:rPr>
        <w:t>SSDAS</w:t>
      </w:r>
      <w:r w:rsidRPr="00983D2F">
        <w:rPr>
          <w:rFonts w:ascii="Times New Roman" w:hAnsi="Times New Roman" w:cs="Times New Roman"/>
          <w:sz w:val="24"/>
          <w:szCs w:val="24"/>
        </w:rPr>
        <w:t>), while the full width at half maximum (FWHM) increases from 78.4 nm to 89.3 nm. This trend suggests enhanced overlap of π-π* and n-π* transitions with stronger push-pull effects. The red-</w:t>
      </w:r>
      <w:r w:rsidRPr="00983D2F">
        <w:rPr>
          <w:rFonts w:ascii="Times New Roman" w:hAnsi="Times New Roman" w:cs="Times New Roman"/>
          <w:sz w:val="24"/>
          <w:szCs w:val="24"/>
        </w:rPr>
        <w:lastRenderedPageBreak/>
        <w:t xml:space="preserve">shift and spectral broadening thus directly reflect the electronic structural modifications introduced by thiomethylic group substitution. </w:t>
      </w:r>
    </w:p>
    <w:p w14:paraId="158C2449" w14:textId="77777777" w:rsidR="00D814FE" w:rsidRPr="00983D2F" w:rsidRDefault="00D814FE" w:rsidP="00D814FE">
      <w:pPr>
        <w:spacing w:line="360" w:lineRule="auto"/>
        <w:ind w:firstLineChars="200" w:firstLine="480"/>
        <w:jc w:val="both"/>
        <w:rPr>
          <w:rFonts w:ascii="Times New Roman" w:hAnsi="Times New Roman" w:cs="Times New Roman"/>
          <w:sz w:val="24"/>
          <w:szCs w:val="24"/>
        </w:rPr>
      </w:pPr>
      <w:r w:rsidRPr="00983D2F">
        <w:rPr>
          <w:rFonts w:ascii="Times New Roman" w:hAnsi="Times New Roman" w:cs="Times New Roman"/>
          <w:sz w:val="24"/>
          <w:szCs w:val="24"/>
        </w:rPr>
        <w:t xml:space="preserve">Notably, it was found that a consistent trend emerges when comparing the spectral shifts and broadening, </w:t>
      </w:r>
      <w:r w:rsidRPr="00983D2F">
        <w:rPr>
          <w:rFonts w:ascii="Times New Roman" w:hAnsi="Times New Roman" w:cs="Times New Roman"/>
          <w:i/>
          <w:iCs/>
          <w:sz w:val="24"/>
          <w:szCs w:val="24"/>
        </w:rPr>
        <w:t>cyclic</w:t>
      </w:r>
      <w:r w:rsidRPr="00983D2F">
        <w:rPr>
          <w:rFonts w:ascii="Times New Roman" w:hAnsi="Times New Roman" w:cs="Times New Roman"/>
          <w:sz w:val="24"/>
          <w:szCs w:val="24"/>
        </w:rPr>
        <w:t>-to-</w:t>
      </w:r>
      <w:r w:rsidRPr="00983D2F">
        <w:rPr>
          <w:rFonts w:ascii="Times New Roman" w:hAnsi="Times New Roman" w:cs="Times New Roman"/>
          <w:i/>
          <w:iCs/>
          <w:sz w:val="24"/>
          <w:szCs w:val="24"/>
        </w:rPr>
        <w:t>linear</w:t>
      </w:r>
      <w:r w:rsidRPr="00983D2F">
        <w:rPr>
          <w:rFonts w:ascii="Times New Roman" w:hAnsi="Times New Roman" w:cs="Times New Roman"/>
          <w:sz w:val="24"/>
          <w:szCs w:val="24"/>
        </w:rPr>
        <w:t xml:space="preserve"> isomerization kinetics, and molar extinction coefficients of DASAs, where a clear boundary was noticed between the DASAs with two thiomethylic groups on the donor (</w:t>
      </w:r>
      <w:r w:rsidRPr="00983D2F">
        <w:rPr>
          <w:rFonts w:ascii="Times New Roman" w:hAnsi="Times New Roman" w:cs="Times New Roman"/>
          <w:b/>
          <w:bCs/>
          <w:sz w:val="24"/>
          <w:szCs w:val="24"/>
        </w:rPr>
        <w:t>SSDA</w:t>
      </w:r>
      <w:r w:rsidRPr="00983D2F">
        <w:rPr>
          <w:rFonts w:ascii="Times New Roman" w:hAnsi="Times New Roman" w:cs="Times New Roman"/>
          <w:sz w:val="24"/>
          <w:szCs w:val="24"/>
        </w:rPr>
        <w:t xml:space="preserve"> and </w:t>
      </w:r>
      <w:r w:rsidRPr="00983D2F">
        <w:rPr>
          <w:rFonts w:ascii="Times New Roman" w:hAnsi="Times New Roman" w:cs="Times New Roman"/>
          <w:b/>
          <w:bCs/>
          <w:sz w:val="24"/>
          <w:szCs w:val="24"/>
        </w:rPr>
        <w:t>SSDAS</w:t>
      </w:r>
      <w:r w:rsidRPr="00983D2F">
        <w:rPr>
          <w:rFonts w:ascii="Times New Roman" w:hAnsi="Times New Roman" w:cs="Times New Roman"/>
          <w:sz w:val="24"/>
          <w:szCs w:val="24"/>
        </w:rPr>
        <w:t xml:space="preserve">) and the others (Extended Data Fig. 1c and </w:t>
      </w:r>
      <w:r w:rsidRPr="00983D2F">
        <w:rPr>
          <w:rFonts w:ascii="Times New Roman" w:hAnsi="Times New Roman" w:cs="Times New Roman" w:hint="eastAsia"/>
          <w:sz w:val="24"/>
          <w:szCs w:val="24"/>
        </w:rPr>
        <w:t>1</w:t>
      </w:r>
      <w:r w:rsidRPr="00983D2F">
        <w:rPr>
          <w:rFonts w:ascii="Times New Roman" w:hAnsi="Times New Roman" w:cs="Times New Roman"/>
          <w:sz w:val="24"/>
          <w:szCs w:val="24"/>
        </w:rPr>
        <w:t xml:space="preserve">e, Supplementary Fig. 16). To understand the interrelationships, the molecular polarity indices (MPI) for the </w:t>
      </w:r>
      <w:r w:rsidRPr="00983D2F">
        <w:rPr>
          <w:rFonts w:ascii="Times New Roman" w:hAnsi="Times New Roman" w:cs="Times New Roman"/>
          <w:i/>
          <w:iCs/>
          <w:sz w:val="24"/>
          <w:szCs w:val="24"/>
        </w:rPr>
        <w:t>linear</w:t>
      </w:r>
      <w:r w:rsidRPr="00983D2F">
        <w:rPr>
          <w:rFonts w:ascii="Times New Roman" w:hAnsi="Times New Roman" w:cs="Times New Roman"/>
          <w:sz w:val="24"/>
          <w:szCs w:val="24"/>
        </w:rPr>
        <w:t xml:space="preserve"> isomers are calculated, which demonstrates the lowest molecular polarity for </w:t>
      </w:r>
      <w:r w:rsidRPr="00983D2F">
        <w:rPr>
          <w:rFonts w:ascii="Times New Roman" w:hAnsi="Times New Roman" w:cs="Times New Roman"/>
          <w:b/>
          <w:bCs/>
          <w:sz w:val="24"/>
          <w:szCs w:val="24"/>
        </w:rPr>
        <w:t>SSDA</w:t>
      </w:r>
      <w:r w:rsidRPr="00983D2F">
        <w:rPr>
          <w:rFonts w:ascii="Times New Roman" w:hAnsi="Times New Roman" w:cs="Times New Roman"/>
          <w:sz w:val="24"/>
          <w:szCs w:val="24"/>
        </w:rPr>
        <w:t xml:space="preserve"> and </w:t>
      </w:r>
      <w:r w:rsidRPr="00983D2F">
        <w:rPr>
          <w:rFonts w:ascii="Times New Roman" w:hAnsi="Times New Roman" w:cs="Times New Roman"/>
          <w:b/>
          <w:bCs/>
          <w:sz w:val="24"/>
          <w:szCs w:val="24"/>
        </w:rPr>
        <w:t>SSDAS</w:t>
      </w:r>
      <w:r w:rsidRPr="00983D2F">
        <w:rPr>
          <w:rFonts w:ascii="Times New Roman" w:hAnsi="Times New Roman" w:cs="Times New Roman"/>
          <w:sz w:val="24"/>
          <w:szCs w:val="24"/>
        </w:rPr>
        <w:t xml:space="preserve"> (Extended Data Fig. 1e). Therefore, while the molecular structure is systematically modified, the electronic distribution on the π-bridge might be the essential factor governing the spectral property and isomerization behavior of DASAs. These findings indicate that the rational tuning of DASAs structure can modulate both spectral response and isomerization performance, offering a predictive framework for the design of photoresponsive molecules.</w:t>
      </w:r>
    </w:p>
    <w:p w14:paraId="0BF4BCF4"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4FE"/>
    <w:rsid w:val="003C2EF4"/>
    <w:rsid w:val="00446799"/>
    <w:rsid w:val="006A7E07"/>
    <w:rsid w:val="00701021"/>
    <w:rsid w:val="00B74216"/>
    <w:rsid w:val="00CF60B2"/>
    <w:rsid w:val="00D62F8C"/>
    <w:rsid w:val="00D814FE"/>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5948E"/>
  <w15:chartTrackingRefBased/>
  <w15:docId w15:val="{BC6D5B28-5FA5-4B94-8D61-694235A1F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14FE"/>
    <w:pPr>
      <w:spacing w:line="259" w:lineRule="auto"/>
    </w:pPr>
    <w:rPr>
      <w:rFonts w:eastAsiaTheme="minorEastAsia"/>
      <w:sz w:val="22"/>
      <w:szCs w:val="22"/>
      <w:lang w:eastAsia="zh-CN"/>
    </w:rPr>
  </w:style>
  <w:style w:type="paragraph" w:styleId="Heading1">
    <w:name w:val="heading 1"/>
    <w:basedOn w:val="Normal"/>
    <w:next w:val="Normal"/>
    <w:link w:val="Heading1Char"/>
    <w:uiPriority w:val="9"/>
    <w:qFormat/>
    <w:rsid w:val="00D814FE"/>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D814FE"/>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D814FE"/>
    <w:pPr>
      <w:keepNext/>
      <w:keepLines/>
      <w:spacing w:before="160" w:after="80" w:line="278" w:lineRule="auto"/>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D814FE"/>
    <w:pPr>
      <w:keepNext/>
      <w:keepLines/>
      <w:spacing w:before="80" w:after="40" w:line="278" w:lineRule="auto"/>
      <w:outlineLvl w:val="3"/>
    </w:pPr>
    <w:rPr>
      <w:rFonts w:eastAsiaTheme="majorEastAsia" w:cstheme="majorBidi"/>
      <w:i/>
      <w:iCs/>
      <w:color w:val="0F4761" w:themeColor="accent1" w:themeShade="BF"/>
      <w:sz w:val="24"/>
      <w:szCs w:val="24"/>
      <w:lang w:eastAsia="en-US"/>
    </w:rPr>
  </w:style>
  <w:style w:type="paragraph" w:styleId="Heading5">
    <w:name w:val="heading 5"/>
    <w:basedOn w:val="Normal"/>
    <w:next w:val="Normal"/>
    <w:link w:val="Heading5Char"/>
    <w:uiPriority w:val="9"/>
    <w:semiHidden/>
    <w:unhideWhenUsed/>
    <w:qFormat/>
    <w:rsid w:val="00D814FE"/>
    <w:pPr>
      <w:keepNext/>
      <w:keepLines/>
      <w:spacing w:before="80" w:after="40" w:line="278" w:lineRule="auto"/>
      <w:outlineLvl w:val="4"/>
    </w:pPr>
    <w:rPr>
      <w:rFonts w:eastAsiaTheme="majorEastAsia" w:cstheme="majorBidi"/>
      <w:color w:val="0F4761" w:themeColor="accent1" w:themeShade="BF"/>
      <w:sz w:val="24"/>
      <w:szCs w:val="24"/>
      <w:lang w:eastAsia="en-US"/>
    </w:rPr>
  </w:style>
  <w:style w:type="paragraph" w:styleId="Heading6">
    <w:name w:val="heading 6"/>
    <w:basedOn w:val="Normal"/>
    <w:next w:val="Normal"/>
    <w:link w:val="Heading6Char"/>
    <w:uiPriority w:val="9"/>
    <w:semiHidden/>
    <w:unhideWhenUsed/>
    <w:qFormat/>
    <w:rsid w:val="00D814FE"/>
    <w:pPr>
      <w:keepNext/>
      <w:keepLines/>
      <w:spacing w:before="40" w:after="0" w:line="278" w:lineRule="auto"/>
      <w:outlineLvl w:val="5"/>
    </w:pPr>
    <w:rPr>
      <w:rFonts w:eastAsiaTheme="majorEastAsia" w:cstheme="majorBidi"/>
      <w:i/>
      <w:iCs/>
      <w:color w:val="595959" w:themeColor="text1" w:themeTint="A6"/>
      <w:sz w:val="24"/>
      <w:szCs w:val="24"/>
      <w:lang w:eastAsia="en-US"/>
    </w:rPr>
  </w:style>
  <w:style w:type="paragraph" w:styleId="Heading7">
    <w:name w:val="heading 7"/>
    <w:basedOn w:val="Normal"/>
    <w:next w:val="Normal"/>
    <w:link w:val="Heading7Char"/>
    <w:uiPriority w:val="9"/>
    <w:semiHidden/>
    <w:unhideWhenUsed/>
    <w:qFormat/>
    <w:rsid w:val="00D814FE"/>
    <w:pPr>
      <w:keepNext/>
      <w:keepLines/>
      <w:spacing w:before="40" w:after="0" w:line="278" w:lineRule="auto"/>
      <w:outlineLvl w:val="6"/>
    </w:pPr>
    <w:rPr>
      <w:rFonts w:eastAsiaTheme="majorEastAsia" w:cstheme="majorBidi"/>
      <w:color w:val="595959" w:themeColor="text1" w:themeTint="A6"/>
      <w:sz w:val="24"/>
      <w:szCs w:val="24"/>
      <w:lang w:eastAsia="en-US"/>
    </w:rPr>
  </w:style>
  <w:style w:type="paragraph" w:styleId="Heading8">
    <w:name w:val="heading 8"/>
    <w:basedOn w:val="Normal"/>
    <w:next w:val="Normal"/>
    <w:link w:val="Heading8Char"/>
    <w:uiPriority w:val="9"/>
    <w:semiHidden/>
    <w:unhideWhenUsed/>
    <w:qFormat/>
    <w:rsid w:val="00D814FE"/>
    <w:pPr>
      <w:keepNext/>
      <w:keepLines/>
      <w:spacing w:after="0" w:line="278" w:lineRule="auto"/>
      <w:outlineLvl w:val="7"/>
    </w:pPr>
    <w:rPr>
      <w:rFonts w:eastAsiaTheme="majorEastAsia" w:cstheme="majorBidi"/>
      <w:i/>
      <w:iCs/>
      <w:color w:val="272727" w:themeColor="text1" w:themeTint="D8"/>
      <w:sz w:val="24"/>
      <w:szCs w:val="24"/>
      <w:lang w:eastAsia="en-US"/>
    </w:rPr>
  </w:style>
  <w:style w:type="paragraph" w:styleId="Heading9">
    <w:name w:val="heading 9"/>
    <w:basedOn w:val="Normal"/>
    <w:next w:val="Normal"/>
    <w:link w:val="Heading9Char"/>
    <w:uiPriority w:val="9"/>
    <w:semiHidden/>
    <w:unhideWhenUsed/>
    <w:qFormat/>
    <w:rsid w:val="00D814FE"/>
    <w:pPr>
      <w:keepNext/>
      <w:keepLines/>
      <w:spacing w:after="0" w:line="278" w:lineRule="auto"/>
      <w:outlineLvl w:val="8"/>
    </w:pPr>
    <w:rPr>
      <w:rFonts w:eastAsiaTheme="majorEastAsia" w:cstheme="majorBidi"/>
      <w:color w:val="272727" w:themeColor="text1" w:themeTint="D8"/>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14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14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14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14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14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14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14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14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14FE"/>
    <w:rPr>
      <w:rFonts w:eastAsiaTheme="majorEastAsia" w:cstheme="majorBidi"/>
      <w:color w:val="272727" w:themeColor="text1" w:themeTint="D8"/>
    </w:rPr>
  </w:style>
  <w:style w:type="paragraph" w:styleId="Title">
    <w:name w:val="Title"/>
    <w:basedOn w:val="Normal"/>
    <w:next w:val="Normal"/>
    <w:link w:val="TitleChar"/>
    <w:uiPriority w:val="10"/>
    <w:qFormat/>
    <w:rsid w:val="00D814FE"/>
    <w:pPr>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D814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14FE"/>
    <w:pPr>
      <w:numPr>
        <w:ilvl w:val="1"/>
      </w:numPr>
      <w:spacing w:line="278" w:lineRule="auto"/>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D814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14FE"/>
    <w:pPr>
      <w:spacing w:before="160" w:line="278" w:lineRule="auto"/>
      <w:jc w:val="center"/>
    </w:pPr>
    <w:rPr>
      <w:rFonts w:eastAsiaTheme="minorHAnsi"/>
      <w:i/>
      <w:iCs/>
      <w:color w:val="404040" w:themeColor="text1" w:themeTint="BF"/>
      <w:sz w:val="24"/>
      <w:szCs w:val="24"/>
      <w:lang w:eastAsia="en-US"/>
    </w:rPr>
  </w:style>
  <w:style w:type="character" w:customStyle="1" w:styleId="QuoteChar">
    <w:name w:val="Quote Char"/>
    <w:basedOn w:val="DefaultParagraphFont"/>
    <w:link w:val="Quote"/>
    <w:uiPriority w:val="29"/>
    <w:rsid w:val="00D814FE"/>
    <w:rPr>
      <w:i/>
      <w:iCs/>
      <w:color w:val="404040" w:themeColor="text1" w:themeTint="BF"/>
    </w:rPr>
  </w:style>
  <w:style w:type="paragraph" w:styleId="ListParagraph">
    <w:name w:val="List Paragraph"/>
    <w:basedOn w:val="Normal"/>
    <w:uiPriority w:val="34"/>
    <w:qFormat/>
    <w:rsid w:val="00D814FE"/>
    <w:pPr>
      <w:spacing w:line="278" w:lineRule="auto"/>
      <w:ind w:left="720"/>
      <w:contextualSpacing/>
    </w:pPr>
    <w:rPr>
      <w:rFonts w:eastAsiaTheme="minorHAnsi"/>
      <w:sz w:val="24"/>
      <w:szCs w:val="24"/>
      <w:lang w:eastAsia="en-US"/>
    </w:rPr>
  </w:style>
  <w:style w:type="character" w:styleId="IntenseEmphasis">
    <w:name w:val="Intense Emphasis"/>
    <w:basedOn w:val="DefaultParagraphFont"/>
    <w:uiPriority w:val="21"/>
    <w:qFormat/>
    <w:rsid w:val="00D814FE"/>
    <w:rPr>
      <w:i/>
      <w:iCs/>
      <w:color w:val="0F4761" w:themeColor="accent1" w:themeShade="BF"/>
    </w:rPr>
  </w:style>
  <w:style w:type="paragraph" w:styleId="IntenseQuote">
    <w:name w:val="Intense Quote"/>
    <w:basedOn w:val="Normal"/>
    <w:next w:val="Normal"/>
    <w:link w:val="IntenseQuoteChar"/>
    <w:uiPriority w:val="30"/>
    <w:qFormat/>
    <w:rsid w:val="00D814F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rPr>
  </w:style>
  <w:style w:type="character" w:customStyle="1" w:styleId="IntenseQuoteChar">
    <w:name w:val="Intense Quote Char"/>
    <w:basedOn w:val="DefaultParagraphFont"/>
    <w:link w:val="IntenseQuote"/>
    <w:uiPriority w:val="30"/>
    <w:rsid w:val="00D814FE"/>
    <w:rPr>
      <w:i/>
      <w:iCs/>
      <w:color w:val="0F4761" w:themeColor="accent1" w:themeShade="BF"/>
    </w:rPr>
  </w:style>
  <w:style w:type="character" w:styleId="IntenseReference">
    <w:name w:val="Intense Reference"/>
    <w:basedOn w:val="DefaultParagraphFont"/>
    <w:uiPriority w:val="32"/>
    <w:qFormat/>
    <w:rsid w:val="00D814F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714</Words>
  <Characters>4074</Characters>
  <Application>Microsoft Office Word</Application>
  <DocSecurity>0</DocSecurity>
  <Lines>33</Lines>
  <Paragraphs>9</Paragraphs>
  <ScaleCrop>false</ScaleCrop>
  <Company>Springer Nature</Company>
  <LinksUpToDate>false</LinksUpToDate>
  <CharactersWithSpaces>4779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2025-09-16T08:24:00Z</dcterms:created>
  <dcterms:modified xsi:type="dcterms:W3CDTF">2025-09-16T08:24:00Z</dcterms:modified>
</cp:coreProperties>
</file>