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6B831" w14:textId="132D3A4B" w:rsidR="00AA5490" w:rsidRPr="00607F32" w:rsidRDefault="00AA5490" w:rsidP="00AA5490">
      <w:pPr>
        <w:rPr>
          <w:b/>
          <w:bCs/>
          <w:sz w:val="32"/>
          <w:szCs w:val="32"/>
          <w:lang w:val="en-US"/>
        </w:rPr>
      </w:pPr>
      <w:r w:rsidRPr="00607F32">
        <w:rPr>
          <w:b/>
          <w:bCs/>
          <w:sz w:val="32"/>
          <w:szCs w:val="32"/>
          <w:lang w:val="en-US"/>
        </w:rPr>
        <w:t xml:space="preserve">Supplementary </w:t>
      </w:r>
      <w:r w:rsidR="00607F32">
        <w:rPr>
          <w:b/>
          <w:bCs/>
          <w:sz w:val="32"/>
          <w:szCs w:val="32"/>
          <w:lang w:val="en-US"/>
        </w:rPr>
        <w:t>D</w:t>
      </w:r>
      <w:r w:rsidRPr="00607F32">
        <w:rPr>
          <w:b/>
          <w:bCs/>
          <w:sz w:val="32"/>
          <w:szCs w:val="32"/>
          <w:lang w:val="en-US"/>
        </w:rPr>
        <w:t xml:space="preserve">ata: </w:t>
      </w:r>
    </w:p>
    <w:p w14:paraId="28B03BC0" w14:textId="219CCB5F" w:rsidR="00607F32" w:rsidRPr="00607F32" w:rsidRDefault="00AA5490" w:rsidP="00607F32">
      <w:pPr>
        <w:pStyle w:val="Heading3"/>
        <w:keepNext w:val="0"/>
        <w:keepLines w:val="0"/>
        <w:shd w:val="clear" w:color="auto" w:fill="FFFFFF"/>
        <w:spacing w:before="0" w:line="240" w:lineRule="auto"/>
        <w:rPr>
          <w:rFonts w:asciiTheme="majorBidi" w:eastAsia="Segoe UI" w:hAnsiTheme="majorBidi"/>
          <w:b/>
          <w:bCs/>
          <w:color w:val="000000" w:themeColor="text1"/>
          <w:shd w:val="clear" w:color="auto" w:fill="FFFFFF"/>
        </w:rPr>
      </w:pPr>
      <w:r w:rsidRPr="00607F32">
        <w:rPr>
          <w:rFonts w:asciiTheme="majorBidi" w:hAnsiTheme="majorBidi"/>
          <w:b/>
          <w:bCs/>
          <w:color w:val="000000" w:themeColor="text1"/>
          <w:lang w:val="en-US"/>
        </w:rPr>
        <w:t>Table S</w:t>
      </w:r>
      <w:r w:rsidR="004C2FE3" w:rsidRPr="00607F32">
        <w:rPr>
          <w:rStyle w:val="Strong"/>
          <w:rFonts w:asciiTheme="majorBidi" w:eastAsia="Segoe UI" w:hAnsiTheme="majorBidi"/>
          <w:b w:val="0"/>
          <w:bCs w:val="0"/>
          <w:color w:val="000000" w:themeColor="text1"/>
          <w:shd w:val="clear" w:color="auto" w:fill="FFFFFF"/>
        </w:rPr>
        <w:t xml:space="preserve">: </w:t>
      </w:r>
      <w:r w:rsidR="004C2FE3" w:rsidRPr="00607F32">
        <w:rPr>
          <w:rStyle w:val="Strong"/>
          <w:rFonts w:asciiTheme="majorBidi" w:eastAsia="Segoe UI" w:hAnsiTheme="majorBidi"/>
          <w:color w:val="000000" w:themeColor="text1"/>
          <w:shd w:val="clear" w:color="auto" w:fill="FFFFFF"/>
        </w:rPr>
        <w:t>Patient Demographics and Comorbidities</w:t>
      </w:r>
      <w:r w:rsidR="00607F32">
        <w:rPr>
          <w:rStyle w:val="Strong"/>
          <w:rFonts w:asciiTheme="majorBidi" w:eastAsia="Segoe UI" w:hAnsiTheme="majorBidi"/>
          <w:color w:val="000000" w:themeColor="text1"/>
          <w:shd w:val="clear" w:color="auto" w:fill="FFFFFF"/>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2"/>
        <w:gridCol w:w="1184"/>
        <w:gridCol w:w="1060"/>
        <w:gridCol w:w="1106"/>
        <w:gridCol w:w="1037"/>
        <w:gridCol w:w="1167"/>
        <w:gridCol w:w="1040"/>
        <w:gridCol w:w="1210"/>
      </w:tblGrid>
      <w:tr w:rsidR="004C2FE3" w14:paraId="69A217BD" w14:textId="77777777" w:rsidTr="00C32DD2">
        <w:tc>
          <w:tcPr>
            <w:tcW w:w="1052" w:type="dxa"/>
            <w:vAlign w:val="center"/>
          </w:tcPr>
          <w:p w14:paraId="1EAD23A7"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b/>
                <w:bCs/>
                <w:color w:val="404040"/>
                <w:kern w:val="0"/>
                <w:sz w:val="15"/>
                <w:szCs w:val="15"/>
                <w:lang w:val="en-US" w:eastAsia="zh-CN" w:bidi="ar"/>
              </w:rPr>
              <w:t>Study ID</w:t>
            </w:r>
          </w:p>
        </w:tc>
        <w:tc>
          <w:tcPr>
            <w:tcW w:w="1184" w:type="dxa"/>
            <w:vAlign w:val="center"/>
          </w:tcPr>
          <w:p w14:paraId="733D8D17"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b/>
                <w:bCs/>
                <w:color w:val="404040"/>
                <w:kern w:val="0"/>
                <w:sz w:val="15"/>
                <w:szCs w:val="15"/>
                <w:lang w:val="en-US" w:eastAsia="zh-CN" w:bidi="ar"/>
              </w:rPr>
              <w:t>Mean Age (Years)</w:t>
            </w:r>
          </w:p>
        </w:tc>
        <w:tc>
          <w:tcPr>
            <w:tcW w:w="1060" w:type="dxa"/>
            <w:vAlign w:val="center"/>
          </w:tcPr>
          <w:p w14:paraId="1B5A99E1"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b/>
                <w:bCs/>
                <w:color w:val="404040"/>
                <w:kern w:val="0"/>
                <w:sz w:val="15"/>
                <w:szCs w:val="15"/>
                <w:lang w:val="en-US" w:eastAsia="zh-CN" w:bidi="ar"/>
              </w:rPr>
              <w:t>Age Range/SD</w:t>
            </w:r>
          </w:p>
        </w:tc>
        <w:tc>
          <w:tcPr>
            <w:tcW w:w="1106" w:type="dxa"/>
            <w:vAlign w:val="center"/>
          </w:tcPr>
          <w:p w14:paraId="7DCDFD37"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b/>
                <w:bCs/>
                <w:color w:val="404040"/>
                <w:kern w:val="0"/>
                <w:sz w:val="15"/>
                <w:szCs w:val="15"/>
                <w:lang w:val="en-US" w:eastAsia="zh-CN" w:bidi="ar"/>
              </w:rPr>
              <w:t>BMI (Mean ± SD or Range)</w:t>
            </w:r>
          </w:p>
        </w:tc>
        <w:tc>
          <w:tcPr>
            <w:tcW w:w="1037" w:type="dxa"/>
            <w:vAlign w:val="center"/>
          </w:tcPr>
          <w:p w14:paraId="627814D3"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b/>
                <w:bCs/>
                <w:color w:val="404040"/>
                <w:kern w:val="0"/>
                <w:sz w:val="15"/>
                <w:szCs w:val="15"/>
                <w:lang w:val="en-US" w:eastAsia="zh-CN" w:bidi="ar"/>
              </w:rPr>
              <w:t>Diabetes Mellitus (%)</w:t>
            </w:r>
          </w:p>
        </w:tc>
        <w:tc>
          <w:tcPr>
            <w:tcW w:w="1167" w:type="dxa"/>
            <w:vAlign w:val="center"/>
          </w:tcPr>
          <w:p w14:paraId="33C3C76F" w14:textId="77777777" w:rsidR="004C2FE3" w:rsidRDefault="004C2FE3" w:rsidP="00C32DD2">
            <w:pPr>
              <w:spacing w:after="0" w:line="240" w:lineRule="auto"/>
              <w:rPr>
                <w:rFonts w:ascii="Calibri" w:eastAsia="Segoe UI" w:hAnsi="Calibri" w:cs="Calibri"/>
                <w:b/>
                <w:bCs/>
                <w:color w:val="404040"/>
                <w:sz w:val="15"/>
                <w:szCs w:val="15"/>
                <w:lang w:eastAsia="zh-CN" w:bidi="ar"/>
              </w:rPr>
            </w:pPr>
            <w:r>
              <w:rPr>
                <w:rFonts w:ascii="Calibri" w:eastAsia="Segoe UI" w:hAnsi="Calibri" w:cs="Calibri"/>
                <w:b/>
                <w:bCs/>
                <w:color w:val="404040"/>
                <w:kern w:val="0"/>
                <w:sz w:val="15"/>
                <w:szCs w:val="15"/>
                <w:lang w:val="en-US" w:eastAsia="zh-CN" w:bidi="ar"/>
              </w:rPr>
              <w:t>Hypertension (%)</w:t>
            </w:r>
          </w:p>
        </w:tc>
        <w:tc>
          <w:tcPr>
            <w:tcW w:w="1040" w:type="dxa"/>
            <w:vAlign w:val="center"/>
          </w:tcPr>
          <w:p w14:paraId="78C6AC90" w14:textId="77777777" w:rsidR="004C2FE3" w:rsidRDefault="004C2FE3" w:rsidP="00C32DD2">
            <w:pPr>
              <w:spacing w:after="0" w:line="240" w:lineRule="auto"/>
              <w:rPr>
                <w:rFonts w:ascii="Calibri" w:eastAsia="Segoe UI" w:hAnsi="Calibri" w:cs="Calibri"/>
                <w:b/>
                <w:bCs/>
                <w:color w:val="404040"/>
                <w:sz w:val="15"/>
                <w:szCs w:val="15"/>
                <w:lang w:eastAsia="zh-CN" w:bidi="ar"/>
              </w:rPr>
            </w:pPr>
            <w:r>
              <w:rPr>
                <w:rFonts w:ascii="Calibri" w:eastAsia="Segoe UI" w:hAnsi="Calibri" w:cs="Calibri"/>
                <w:b/>
                <w:bCs/>
                <w:color w:val="404040"/>
                <w:kern w:val="0"/>
                <w:sz w:val="15"/>
                <w:szCs w:val="15"/>
                <w:lang w:val="en-US" w:eastAsia="zh-CN" w:bidi="ar"/>
              </w:rPr>
              <w:t>Smoking (%)</w:t>
            </w:r>
          </w:p>
        </w:tc>
        <w:tc>
          <w:tcPr>
            <w:tcW w:w="1210" w:type="dxa"/>
            <w:vAlign w:val="center"/>
          </w:tcPr>
          <w:p w14:paraId="78D6F5D6" w14:textId="77777777" w:rsidR="004C2FE3" w:rsidRDefault="004C2FE3" w:rsidP="00C32DD2">
            <w:pPr>
              <w:spacing w:after="0" w:line="240" w:lineRule="auto"/>
              <w:rPr>
                <w:rFonts w:ascii="Calibri" w:eastAsia="Segoe UI" w:hAnsi="Calibri" w:cs="Calibri"/>
                <w:b/>
                <w:bCs/>
                <w:color w:val="404040"/>
                <w:sz w:val="15"/>
                <w:szCs w:val="15"/>
                <w:lang w:eastAsia="zh-CN" w:bidi="ar"/>
              </w:rPr>
            </w:pPr>
            <w:r>
              <w:rPr>
                <w:rFonts w:ascii="Calibri" w:eastAsia="Segoe UI" w:hAnsi="Calibri" w:cs="Calibri"/>
                <w:b/>
                <w:bCs/>
                <w:color w:val="404040"/>
                <w:kern w:val="0"/>
                <w:sz w:val="15"/>
                <w:szCs w:val="15"/>
                <w:lang w:val="en-US" w:eastAsia="zh-CN" w:bidi="ar"/>
              </w:rPr>
              <w:t>Notes on Comorbidities</w:t>
            </w:r>
          </w:p>
        </w:tc>
      </w:tr>
      <w:tr w:rsidR="004C2FE3" w14:paraId="74B74910" w14:textId="77777777" w:rsidTr="00C32DD2">
        <w:tc>
          <w:tcPr>
            <w:tcW w:w="1052" w:type="dxa"/>
            <w:vAlign w:val="center"/>
          </w:tcPr>
          <w:p w14:paraId="0A759763"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Chen et al 2005</w:t>
            </w:r>
          </w:p>
        </w:tc>
        <w:tc>
          <w:tcPr>
            <w:tcW w:w="1184" w:type="dxa"/>
            <w:vAlign w:val="center"/>
          </w:tcPr>
          <w:p w14:paraId="5C3D6FC1"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51.1 ± 10.452</w:t>
            </w:r>
          </w:p>
        </w:tc>
        <w:tc>
          <w:tcPr>
            <w:tcW w:w="1060" w:type="dxa"/>
            <w:vAlign w:val="center"/>
          </w:tcPr>
          <w:p w14:paraId="3BF52132"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N/A</w:t>
            </w:r>
          </w:p>
        </w:tc>
        <w:tc>
          <w:tcPr>
            <w:tcW w:w="1106" w:type="dxa"/>
            <w:vAlign w:val="center"/>
          </w:tcPr>
          <w:p w14:paraId="46074C16"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N/A</w:t>
            </w:r>
          </w:p>
        </w:tc>
        <w:tc>
          <w:tcPr>
            <w:tcW w:w="1037" w:type="dxa"/>
            <w:vAlign w:val="center"/>
          </w:tcPr>
          <w:p w14:paraId="20FEC86D"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N/A</w:t>
            </w:r>
          </w:p>
        </w:tc>
        <w:tc>
          <w:tcPr>
            <w:tcW w:w="1167" w:type="dxa"/>
            <w:vAlign w:val="center"/>
          </w:tcPr>
          <w:p w14:paraId="695BCEAB"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40" w:type="dxa"/>
            <w:vAlign w:val="center"/>
          </w:tcPr>
          <w:p w14:paraId="0214647F"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210" w:type="dxa"/>
            <w:vAlign w:val="center"/>
          </w:tcPr>
          <w:p w14:paraId="635FFE9A"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r>
      <w:tr w:rsidR="004C2FE3" w14:paraId="7C497795" w14:textId="77777777" w:rsidTr="00C32DD2">
        <w:tc>
          <w:tcPr>
            <w:tcW w:w="1052" w:type="dxa"/>
            <w:vAlign w:val="center"/>
          </w:tcPr>
          <w:p w14:paraId="367AE9F7"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Cheng et al 2018</w:t>
            </w:r>
          </w:p>
        </w:tc>
        <w:tc>
          <w:tcPr>
            <w:tcW w:w="1184" w:type="dxa"/>
            <w:vAlign w:val="center"/>
          </w:tcPr>
          <w:p w14:paraId="246E8C03"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54.9 ± 5.2</w:t>
            </w:r>
          </w:p>
        </w:tc>
        <w:tc>
          <w:tcPr>
            <w:tcW w:w="1060" w:type="dxa"/>
            <w:vAlign w:val="center"/>
          </w:tcPr>
          <w:p w14:paraId="3FFE1C6B"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N/A</w:t>
            </w:r>
          </w:p>
        </w:tc>
        <w:tc>
          <w:tcPr>
            <w:tcW w:w="1106" w:type="dxa"/>
            <w:vAlign w:val="center"/>
          </w:tcPr>
          <w:p w14:paraId="1294F9BC"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21.3 ± 2.665</w:t>
            </w:r>
          </w:p>
        </w:tc>
        <w:tc>
          <w:tcPr>
            <w:tcW w:w="1037" w:type="dxa"/>
            <w:vAlign w:val="center"/>
          </w:tcPr>
          <w:p w14:paraId="783D51FF"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10%</w:t>
            </w:r>
          </w:p>
        </w:tc>
        <w:tc>
          <w:tcPr>
            <w:tcW w:w="1167" w:type="dxa"/>
            <w:vAlign w:val="center"/>
          </w:tcPr>
          <w:p w14:paraId="637FA662"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10%</w:t>
            </w:r>
          </w:p>
        </w:tc>
        <w:tc>
          <w:tcPr>
            <w:tcW w:w="1040" w:type="dxa"/>
            <w:vAlign w:val="center"/>
          </w:tcPr>
          <w:p w14:paraId="331EFC75"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0%</w:t>
            </w:r>
          </w:p>
        </w:tc>
        <w:tc>
          <w:tcPr>
            <w:tcW w:w="1210" w:type="dxa"/>
            <w:vAlign w:val="center"/>
          </w:tcPr>
          <w:p w14:paraId="46C7DBD6"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r>
      <w:tr w:rsidR="004C2FE3" w14:paraId="4596B46A" w14:textId="77777777" w:rsidTr="00C32DD2">
        <w:tc>
          <w:tcPr>
            <w:tcW w:w="1052" w:type="dxa"/>
            <w:vAlign w:val="center"/>
          </w:tcPr>
          <w:p w14:paraId="297D7CFA"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Deng et al 2018</w:t>
            </w:r>
          </w:p>
        </w:tc>
        <w:tc>
          <w:tcPr>
            <w:tcW w:w="1184" w:type="dxa"/>
            <w:vAlign w:val="center"/>
          </w:tcPr>
          <w:p w14:paraId="4E30413C"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42 ± 11.256</w:t>
            </w:r>
          </w:p>
        </w:tc>
        <w:tc>
          <w:tcPr>
            <w:tcW w:w="1060" w:type="dxa"/>
            <w:vAlign w:val="center"/>
          </w:tcPr>
          <w:p w14:paraId="2C438067"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N/A</w:t>
            </w:r>
          </w:p>
        </w:tc>
        <w:tc>
          <w:tcPr>
            <w:tcW w:w="1106" w:type="dxa"/>
            <w:vAlign w:val="center"/>
          </w:tcPr>
          <w:p w14:paraId="34A1AE95"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N/A</w:t>
            </w:r>
          </w:p>
        </w:tc>
        <w:tc>
          <w:tcPr>
            <w:tcW w:w="1037" w:type="dxa"/>
            <w:vAlign w:val="center"/>
          </w:tcPr>
          <w:p w14:paraId="39B368B0"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N/A</w:t>
            </w:r>
          </w:p>
        </w:tc>
        <w:tc>
          <w:tcPr>
            <w:tcW w:w="1167" w:type="dxa"/>
            <w:vAlign w:val="center"/>
          </w:tcPr>
          <w:p w14:paraId="32C40A9F"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40" w:type="dxa"/>
            <w:vAlign w:val="center"/>
          </w:tcPr>
          <w:p w14:paraId="25D831B5"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210" w:type="dxa"/>
            <w:vAlign w:val="center"/>
          </w:tcPr>
          <w:p w14:paraId="71F7AC37"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r>
      <w:tr w:rsidR="004C2FE3" w14:paraId="786BA504" w14:textId="77777777" w:rsidTr="00C32DD2">
        <w:tc>
          <w:tcPr>
            <w:tcW w:w="1052" w:type="dxa"/>
            <w:vAlign w:val="center"/>
          </w:tcPr>
          <w:p w14:paraId="419418B4"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Wade et al 2021</w:t>
            </w:r>
          </w:p>
        </w:tc>
        <w:tc>
          <w:tcPr>
            <w:tcW w:w="1184" w:type="dxa"/>
            <w:vAlign w:val="center"/>
          </w:tcPr>
          <w:p w14:paraId="69849531"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42.6 ± 16.4</w:t>
            </w:r>
          </w:p>
        </w:tc>
        <w:tc>
          <w:tcPr>
            <w:tcW w:w="1060" w:type="dxa"/>
            <w:vAlign w:val="center"/>
          </w:tcPr>
          <w:p w14:paraId="1E5C76E8"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N/A</w:t>
            </w:r>
          </w:p>
        </w:tc>
        <w:tc>
          <w:tcPr>
            <w:tcW w:w="1106" w:type="dxa"/>
            <w:vAlign w:val="center"/>
          </w:tcPr>
          <w:p w14:paraId="5C4A70A8"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29.1 ± 3.6</w:t>
            </w:r>
          </w:p>
        </w:tc>
        <w:tc>
          <w:tcPr>
            <w:tcW w:w="1037" w:type="dxa"/>
            <w:vAlign w:val="center"/>
          </w:tcPr>
          <w:p w14:paraId="2ED0B6B9"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N/A</w:t>
            </w:r>
          </w:p>
        </w:tc>
        <w:tc>
          <w:tcPr>
            <w:tcW w:w="1167" w:type="dxa"/>
            <w:vAlign w:val="center"/>
          </w:tcPr>
          <w:p w14:paraId="17FE9AF2"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40" w:type="dxa"/>
            <w:vAlign w:val="center"/>
          </w:tcPr>
          <w:p w14:paraId="1D8AF12F"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210" w:type="dxa"/>
            <w:vAlign w:val="center"/>
          </w:tcPr>
          <w:p w14:paraId="7653658C"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r>
      <w:tr w:rsidR="004C2FE3" w14:paraId="22425686" w14:textId="77777777" w:rsidTr="00C32DD2">
        <w:tc>
          <w:tcPr>
            <w:tcW w:w="1052" w:type="dxa"/>
            <w:vAlign w:val="center"/>
          </w:tcPr>
          <w:p w14:paraId="54A67FB7"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Shieh et al 2000</w:t>
            </w:r>
          </w:p>
        </w:tc>
        <w:tc>
          <w:tcPr>
            <w:tcW w:w="1184" w:type="dxa"/>
            <w:vAlign w:val="center"/>
          </w:tcPr>
          <w:p w14:paraId="127E73AA"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52.2 ± NR</w:t>
            </w:r>
          </w:p>
        </w:tc>
        <w:tc>
          <w:tcPr>
            <w:tcW w:w="1060" w:type="dxa"/>
            <w:vAlign w:val="center"/>
          </w:tcPr>
          <w:p w14:paraId="1827EE9E"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N/A</w:t>
            </w:r>
          </w:p>
        </w:tc>
        <w:tc>
          <w:tcPr>
            <w:tcW w:w="1106" w:type="dxa"/>
            <w:vAlign w:val="center"/>
          </w:tcPr>
          <w:p w14:paraId="4EF9DD2B"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N/A</w:t>
            </w:r>
          </w:p>
        </w:tc>
        <w:tc>
          <w:tcPr>
            <w:tcW w:w="1037" w:type="dxa"/>
            <w:vAlign w:val="center"/>
          </w:tcPr>
          <w:p w14:paraId="62A6962F"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N/A</w:t>
            </w:r>
          </w:p>
        </w:tc>
        <w:tc>
          <w:tcPr>
            <w:tcW w:w="1167" w:type="dxa"/>
            <w:vAlign w:val="center"/>
          </w:tcPr>
          <w:p w14:paraId="2BDC6191"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40" w:type="dxa"/>
            <w:vAlign w:val="center"/>
          </w:tcPr>
          <w:p w14:paraId="4097BF02"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86.1%</w:t>
            </w:r>
          </w:p>
        </w:tc>
        <w:tc>
          <w:tcPr>
            <w:tcW w:w="1210" w:type="dxa"/>
            <w:vAlign w:val="center"/>
          </w:tcPr>
          <w:p w14:paraId="18878692"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r>
      <w:tr w:rsidR="004C2FE3" w14:paraId="48E451EF" w14:textId="77777777" w:rsidTr="00C32DD2">
        <w:tc>
          <w:tcPr>
            <w:tcW w:w="1052" w:type="dxa"/>
            <w:vAlign w:val="center"/>
          </w:tcPr>
          <w:p w14:paraId="65FE1118"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Schmidt et al 1997</w:t>
            </w:r>
          </w:p>
        </w:tc>
        <w:tc>
          <w:tcPr>
            <w:tcW w:w="1184" w:type="dxa"/>
            <w:vAlign w:val="center"/>
          </w:tcPr>
          <w:p w14:paraId="5EE2AB52"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43</w:t>
            </w:r>
          </w:p>
        </w:tc>
        <w:tc>
          <w:tcPr>
            <w:tcW w:w="1060" w:type="dxa"/>
            <w:vAlign w:val="center"/>
          </w:tcPr>
          <w:p w14:paraId="38D34E51"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106" w:type="dxa"/>
            <w:vAlign w:val="center"/>
          </w:tcPr>
          <w:p w14:paraId="1D7057FD"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37" w:type="dxa"/>
            <w:vAlign w:val="center"/>
          </w:tcPr>
          <w:p w14:paraId="79EC4139"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167" w:type="dxa"/>
            <w:vAlign w:val="center"/>
          </w:tcPr>
          <w:p w14:paraId="778F3060"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40" w:type="dxa"/>
            <w:vAlign w:val="center"/>
          </w:tcPr>
          <w:p w14:paraId="4B3FB8B4"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210" w:type="dxa"/>
            <w:vAlign w:val="center"/>
          </w:tcPr>
          <w:p w14:paraId="669DA588"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r>
      <w:tr w:rsidR="004C2FE3" w14:paraId="20A834D9" w14:textId="77777777" w:rsidTr="00C32DD2">
        <w:tc>
          <w:tcPr>
            <w:tcW w:w="1052" w:type="dxa"/>
            <w:vAlign w:val="center"/>
          </w:tcPr>
          <w:p w14:paraId="7A281D81"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De Vicente et al 2008</w:t>
            </w:r>
          </w:p>
        </w:tc>
        <w:tc>
          <w:tcPr>
            <w:tcW w:w="1184" w:type="dxa"/>
            <w:vAlign w:val="center"/>
          </w:tcPr>
          <w:p w14:paraId="7000DC57"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62.3 ± 10.452</w:t>
            </w:r>
          </w:p>
        </w:tc>
        <w:tc>
          <w:tcPr>
            <w:tcW w:w="1060" w:type="dxa"/>
            <w:vAlign w:val="center"/>
          </w:tcPr>
          <w:p w14:paraId="6C11E6D2"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106" w:type="dxa"/>
            <w:vAlign w:val="center"/>
          </w:tcPr>
          <w:p w14:paraId="05D0F1D1"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37" w:type="dxa"/>
            <w:vAlign w:val="center"/>
          </w:tcPr>
          <w:p w14:paraId="3BD98537"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167" w:type="dxa"/>
            <w:vAlign w:val="center"/>
          </w:tcPr>
          <w:p w14:paraId="22D861DA"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40" w:type="dxa"/>
            <w:vAlign w:val="center"/>
          </w:tcPr>
          <w:p w14:paraId="622EBDFD"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210" w:type="dxa"/>
            <w:vAlign w:val="center"/>
          </w:tcPr>
          <w:p w14:paraId="363B6BED"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r>
      <w:tr w:rsidR="004C2FE3" w14:paraId="211D12AD" w14:textId="77777777" w:rsidTr="00C32DD2">
        <w:tc>
          <w:tcPr>
            <w:tcW w:w="1052" w:type="dxa"/>
            <w:vAlign w:val="center"/>
          </w:tcPr>
          <w:p w14:paraId="700022D3"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Farace et al 2006</w:t>
            </w:r>
          </w:p>
        </w:tc>
        <w:tc>
          <w:tcPr>
            <w:tcW w:w="1184" w:type="dxa"/>
            <w:vAlign w:val="center"/>
          </w:tcPr>
          <w:p w14:paraId="5044E91E"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66.5 ± 5.888</w:t>
            </w:r>
          </w:p>
        </w:tc>
        <w:tc>
          <w:tcPr>
            <w:tcW w:w="1060" w:type="dxa"/>
            <w:vAlign w:val="center"/>
          </w:tcPr>
          <w:p w14:paraId="7EB01676"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106" w:type="dxa"/>
            <w:vAlign w:val="center"/>
          </w:tcPr>
          <w:p w14:paraId="445AA2A8"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37" w:type="dxa"/>
            <w:vAlign w:val="center"/>
          </w:tcPr>
          <w:p w14:paraId="641ECF2F"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167" w:type="dxa"/>
            <w:vAlign w:val="center"/>
          </w:tcPr>
          <w:p w14:paraId="0CFF3B35"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40" w:type="dxa"/>
            <w:vAlign w:val="center"/>
          </w:tcPr>
          <w:p w14:paraId="368F20C5"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210" w:type="dxa"/>
            <w:vAlign w:val="center"/>
          </w:tcPr>
          <w:p w14:paraId="2BE8E81B"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r>
      <w:tr w:rsidR="004C2FE3" w14:paraId="631763BC" w14:textId="77777777" w:rsidTr="00C32DD2">
        <w:tc>
          <w:tcPr>
            <w:tcW w:w="1052" w:type="dxa"/>
            <w:vAlign w:val="center"/>
          </w:tcPr>
          <w:p w14:paraId="73623988"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Felici et al 2006</w:t>
            </w:r>
          </w:p>
        </w:tc>
        <w:tc>
          <w:tcPr>
            <w:tcW w:w="1184" w:type="dxa"/>
            <w:vAlign w:val="center"/>
          </w:tcPr>
          <w:p w14:paraId="1A460993"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~30*</w:t>
            </w:r>
          </w:p>
        </w:tc>
        <w:tc>
          <w:tcPr>
            <w:tcW w:w="1060" w:type="dxa"/>
            <w:vAlign w:val="center"/>
          </w:tcPr>
          <w:p w14:paraId="0BEA06ED"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27–33</w:t>
            </w:r>
          </w:p>
        </w:tc>
        <w:tc>
          <w:tcPr>
            <w:tcW w:w="1106" w:type="dxa"/>
            <w:vAlign w:val="center"/>
          </w:tcPr>
          <w:p w14:paraId="2C186041"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37" w:type="dxa"/>
            <w:vAlign w:val="center"/>
          </w:tcPr>
          <w:p w14:paraId="3E317342"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167" w:type="dxa"/>
            <w:vAlign w:val="center"/>
          </w:tcPr>
          <w:p w14:paraId="0A1F760F"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40" w:type="dxa"/>
            <w:vAlign w:val="center"/>
          </w:tcPr>
          <w:p w14:paraId="7400D112"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71.4%</w:t>
            </w:r>
          </w:p>
        </w:tc>
        <w:tc>
          <w:tcPr>
            <w:tcW w:w="1210" w:type="dxa"/>
            <w:vAlign w:val="center"/>
          </w:tcPr>
          <w:p w14:paraId="5E61A582"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r>
      <w:tr w:rsidR="004C2FE3" w14:paraId="25733586" w14:textId="77777777" w:rsidTr="00C32DD2">
        <w:tc>
          <w:tcPr>
            <w:tcW w:w="1052" w:type="dxa"/>
            <w:vAlign w:val="center"/>
          </w:tcPr>
          <w:p w14:paraId="135A18A3"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Kimata 2000</w:t>
            </w:r>
          </w:p>
        </w:tc>
        <w:tc>
          <w:tcPr>
            <w:tcW w:w="1184" w:type="dxa"/>
            <w:vAlign w:val="center"/>
          </w:tcPr>
          <w:p w14:paraId="026FE9EE"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PDC:56.1±NR</w:t>
            </w:r>
            <w:r>
              <w:rPr>
                <w:rFonts w:ascii="Calibri" w:eastAsia="Segoe UI" w:hAnsi="Calibri" w:cs="Calibri"/>
                <w:color w:val="404040"/>
                <w:kern w:val="0"/>
                <w:sz w:val="15"/>
                <w:szCs w:val="15"/>
                <w:lang w:val="en-US" w:eastAsia="zh-CN" w:bidi="ar"/>
              </w:rPr>
              <w:br/>
              <w:t>STG:38.8±NR</w:t>
            </w:r>
          </w:p>
        </w:tc>
        <w:tc>
          <w:tcPr>
            <w:tcW w:w="1060" w:type="dxa"/>
            <w:vAlign w:val="center"/>
          </w:tcPr>
          <w:p w14:paraId="1A6DF23B"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106" w:type="dxa"/>
            <w:vAlign w:val="center"/>
          </w:tcPr>
          <w:p w14:paraId="06F27FB5"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37" w:type="dxa"/>
            <w:vAlign w:val="center"/>
          </w:tcPr>
          <w:p w14:paraId="2019E4B3"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167" w:type="dxa"/>
            <w:vAlign w:val="center"/>
          </w:tcPr>
          <w:p w14:paraId="1C67655F"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40" w:type="dxa"/>
            <w:vAlign w:val="center"/>
          </w:tcPr>
          <w:p w14:paraId="45A8A5C8"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210" w:type="dxa"/>
            <w:vAlign w:val="center"/>
          </w:tcPr>
          <w:p w14:paraId="71ECD34D"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r>
      <w:tr w:rsidR="004C2FE3" w14:paraId="186B28E5" w14:textId="77777777" w:rsidTr="00C32DD2">
        <w:tc>
          <w:tcPr>
            <w:tcW w:w="1052" w:type="dxa"/>
            <w:vAlign w:val="center"/>
          </w:tcPr>
          <w:p w14:paraId="4FD91598"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Kuo et al 2002</w:t>
            </w:r>
          </w:p>
        </w:tc>
        <w:tc>
          <w:tcPr>
            <w:tcW w:w="1184" w:type="dxa"/>
            <w:vAlign w:val="center"/>
          </w:tcPr>
          <w:p w14:paraId="561E3FBC"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45</w:t>
            </w:r>
          </w:p>
        </w:tc>
        <w:tc>
          <w:tcPr>
            <w:tcW w:w="1060" w:type="dxa"/>
            <w:vAlign w:val="center"/>
          </w:tcPr>
          <w:p w14:paraId="617FEF21"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19–85</w:t>
            </w:r>
          </w:p>
        </w:tc>
        <w:tc>
          <w:tcPr>
            <w:tcW w:w="1106" w:type="dxa"/>
            <w:vAlign w:val="center"/>
          </w:tcPr>
          <w:p w14:paraId="0405AB0B"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37" w:type="dxa"/>
            <w:vAlign w:val="center"/>
          </w:tcPr>
          <w:p w14:paraId="687F879B"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167" w:type="dxa"/>
            <w:vAlign w:val="center"/>
          </w:tcPr>
          <w:p w14:paraId="7F823180"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40" w:type="dxa"/>
            <w:vAlign w:val="center"/>
          </w:tcPr>
          <w:p w14:paraId="40B206CB"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210" w:type="dxa"/>
            <w:vAlign w:val="center"/>
          </w:tcPr>
          <w:p w14:paraId="08BB6700"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r>
      <w:tr w:rsidR="004C2FE3" w14:paraId="019D8C47" w14:textId="77777777" w:rsidTr="00C32DD2">
        <w:tc>
          <w:tcPr>
            <w:tcW w:w="1052" w:type="dxa"/>
            <w:vAlign w:val="center"/>
          </w:tcPr>
          <w:p w14:paraId="620C8E04"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Lee 2010</w:t>
            </w:r>
          </w:p>
        </w:tc>
        <w:tc>
          <w:tcPr>
            <w:tcW w:w="1184" w:type="dxa"/>
            <w:vAlign w:val="center"/>
          </w:tcPr>
          <w:p w14:paraId="16B10B78"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37</w:t>
            </w:r>
          </w:p>
        </w:tc>
        <w:tc>
          <w:tcPr>
            <w:tcW w:w="1060" w:type="dxa"/>
            <w:vAlign w:val="center"/>
          </w:tcPr>
          <w:p w14:paraId="2111B02B"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13–74</w:t>
            </w:r>
          </w:p>
        </w:tc>
        <w:tc>
          <w:tcPr>
            <w:tcW w:w="1106" w:type="dxa"/>
            <w:vAlign w:val="center"/>
          </w:tcPr>
          <w:p w14:paraId="3EA03697"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37" w:type="dxa"/>
            <w:vAlign w:val="center"/>
          </w:tcPr>
          <w:p w14:paraId="235B17F3"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167" w:type="dxa"/>
            <w:vAlign w:val="center"/>
          </w:tcPr>
          <w:p w14:paraId="78B277A0"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40" w:type="dxa"/>
            <w:vAlign w:val="center"/>
          </w:tcPr>
          <w:p w14:paraId="71A437B9"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210" w:type="dxa"/>
            <w:vAlign w:val="center"/>
          </w:tcPr>
          <w:p w14:paraId="43FAA520"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r>
      <w:tr w:rsidR="004C2FE3" w14:paraId="3D242D4A" w14:textId="77777777" w:rsidTr="00C32DD2">
        <w:tc>
          <w:tcPr>
            <w:tcW w:w="1052" w:type="dxa"/>
            <w:vAlign w:val="center"/>
          </w:tcPr>
          <w:p w14:paraId="141B367E"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Lee et al 2012</w:t>
            </w:r>
          </w:p>
        </w:tc>
        <w:tc>
          <w:tcPr>
            <w:tcW w:w="1184" w:type="dxa"/>
            <w:vAlign w:val="center"/>
          </w:tcPr>
          <w:p w14:paraId="73064A2D"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ALT-FC:41.92</w:t>
            </w:r>
            <w:r>
              <w:rPr>
                <w:rFonts w:ascii="Calibri" w:eastAsia="Segoe UI" w:hAnsi="Calibri" w:cs="Calibri"/>
                <w:color w:val="404040"/>
                <w:kern w:val="0"/>
                <w:sz w:val="15"/>
                <w:szCs w:val="15"/>
                <w:lang w:val="en-US" w:eastAsia="zh-CN" w:bidi="ar"/>
              </w:rPr>
              <w:br/>
              <w:t>VL-MC:51.42</w:t>
            </w:r>
          </w:p>
        </w:tc>
        <w:tc>
          <w:tcPr>
            <w:tcW w:w="1060" w:type="dxa"/>
            <w:vAlign w:val="center"/>
          </w:tcPr>
          <w:p w14:paraId="535893D9"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106" w:type="dxa"/>
            <w:vAlign w:val="center"/>
          </w:tcPr>
          <w:p w14:paraId="082CD8DB"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37" w:type="dxa"/>
            <w:vAlign w:val="center"/>
          </w:tcPr>
          <w:p w14:paraId="3B88080D"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167" w:type="dxa"/>
            <w:vAlign w:val="center"/>
          </w:tcPr>
          <w:p w14:paraId="6CA9A0EE"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40" w:type="dxa"/>
            <w:vAlign w:val="center"/>
          </w:tcPr>
          <w:p w14:paraId="428FABDE"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210" w:type="dxa"/>
            <w:vAlign w:val="center"/>
          </w:tcPr>
          <w:p w14:paraId="1CC14296"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r>
      <w:tr w:rsidR="004C2FE3" w14:paraId="5C1ECE86" w14:textId="77777777" w:rsidTr="00C32DD2">
        <w:tc>
          <w:tcPr>
            <w:tcW w:w="1052" w:type="dxa"/>
            <w:vAlign w:val="center"/>
          </w:tcPr>
          <w:p w14:paraId="2FEA3D96"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Lipa et al 2005</w:t>
            </w:r>
          </w:p>
        </w:tc>
        <w:tc>
          <w:tcPr>
            <w:tcW w:w="1184" w:type="dxa"/>
            <w:vAlign w:val="center"/>
          </w:tcPr>
          <w:p w14:paraId="484964D4"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45 ± 4</w:t>
            </w:r>
          </w:p>
        </w:tc>
        <w:tc>
          <w:tcPr>
            <w:tcW w:w="1060" w:type="dxa"/>
            <w:vAlign w:val="center"/>
          </w:tcPr>
          <w:p w14:paraId="42AE01D7"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20–72</w:t>
            </w:r>
          </w:p>
        </w:tc>
        <w:tc>
          <w:tcPr>
            <w:tcW w:w="1106" w:type="dxa"/>
            <w:vAlign w:val="center"/>
          </w:tcPr>
          <w:p w14:paraId="2889735E"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37" w:type="dxa"/>
            <w:vAlign w:val="center"/>
          </w:tcPr>
          <w:p w14:paraId="3C1BA3F5"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167" w:type="dxa"/>
            <w:vAlign w:val="center"/>
          </w:tcPr>
          <w:p w14:paraId="0B6DBA6F"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40" w:type="dxa"/>
            <w:vAlign w:val="center"/>
          </w:tcPr>
          <w:p w14:paraId="0B95F24B"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210" w:type="dxa"/>
            <w:vAlign w:val="center"/>
          </w:tcPr>
          <w:p w14:paraId="127CE30B"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r>
      <w:tr w:rsidR="004C2FE3" w14:paraId="11923366" w14:textId="77777777" w:rsidTr="00C32DD2">
        <w:tc>
          <w:tcPr>
            <w:tcW w:w="1052" w:type="dxa"/>
            <w:vAlign w:val="center"/>
          </w:tcPr>
          <w:p w14:paraId="24E5C6FE"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Özkan et al 2005</w:t>
            </w:r>
          </w:p>
        </w:tc>
        <w:tc>
          <w:tcPr>
            <w:tcW w:w="1184" w:type="dxa"/>
            <w:vAlign w:val="center"/>
          </w:tcPr>
          <w:p w14:paraId="1E0FCFB9"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52.5 ± 16</w:t>
            </w:r>
          </w:p>
        </w:tc>
        <w:tc>
          <w:tcPr>
            <w:tcW w:w="1060" w:type="dxa"/>
            <w:vAlign w:val="center"/>
          </w:tcPr>
          <w:p w14:paraId="5FA0B0B1"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106" w:type="dxa"/>
            <w:vAlign w:val="center"/>
          </w:tcPr>
          <w:p w14:paraId="32A750E4"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37" w:type="dxa"/>
            <w:vAlign w:val="center"/>
          </w:tcPr>
          <w:p w14:paraId="57D70575"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167" w:type="dxa"/>
            <w:vAlign w:val="center"/>
          </w:tcPr>
          <w:p w14:paraId="6EF9300B"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40" w:type="dxa"/>
            <w:vAlign w:val="center"/>
          </w:tcPr>
          <w:p w14:paraId="68B50E54"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210" w:type="dxa"/>
            <w:vAlign w:val="center"/>
          </w:tcPr>
          <w:p w14:paraId="04F3A1C8"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6 cancer, 4 trauma, 1 burn</w:t>
            </w:r>
          </w:p>
        </w:tc>
      </w:tr>
      <w:tr w:rsidR="004C2FE3" w14:paraId="6B81E747" w14:textId="77777777" w:rsidTr="00C32DD2">
        <w:tc>
          <w:tcPr>
            <w:tcW w:w="1052" w:type="dxa"/>
            <w:vAlign w:val="center"/>
          </w:tcPr>
          <w:p w14:paraId="30CA9D4F"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Rodriguez et al 2007</w:t>
            </w:r>
          </w:p>
        </w:tc>
        <w:tc>
          <w:tcPr>
            <w:tcW w:w="1184" w:type="dxa"/>
            <w:vAlign w:val="center"/>
          </w:tcPr>
          <w:p w14:paraId="68019D96"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PDC:38.8±16.0</w:t>
            </w:r>
            <w:r>
              <w:rPr>
                <w:rFonts w:ascii="Calibri" w:eastAsia="Segoe UI" w:hAnsi="Calibri" w:cs="Calibri"/>
                <w:color w:val="404040"/>
                <w:kern w:val="0"/>
                <w:sz w:val="15"/>
                <w:szCs w:val="15"/>
                <w:lang w:val="en-US" w:eastAsia="zh-CN" w:bidi="ar"/>
              </w:rPr>
              <w:br/>
              <w:t>STG:40.1±7.8</w:t>
            </w:r>
          </w:p>
        </w:tc>
        <w:tc>
          <w:tcPr>
            <w:tcW w:w="1060" w:type="dxa"/>
            <w:vAlign w:val="center"/>
          </w:tcPr>
          <w:p w14:paraId="2107850C"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106" w:type="dxa"/>
            <w:vAlign w:val="center"/>
          </w:tcPr>
          <w:p w14:paraId="3887D302"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PDC:27.0±6.1</w:t>
            </w:r>
            <w:r>
              <w:rPr>
                <w:rFonts w:ascii="Calibri" w:eastAsia="Segoe UI" w:hAnsi="Calibri" w:cs="Calibri"/>
                <w:color w:val="404040"/>
                <w:kern w:val="0"/>
                <w:sz w:val="15"/>
                <w:szCs w:val="15"/>
                <w:lang w:val="en-US" w:eastAsia="zh-CN" w:bidi="ar"/>
              </w:rPr>
              <w:br/>
              <w:t>STG:27.3±3.6</w:t>
            </w:r>
          </w:p>
        </w:tc>
        <w:tc>
          <w:tcPr>
            <w:tcW w:w="1037" w:type="dxa"/>
            <w:vAlign w:val="center"/>
          </w:tcPr>
          <w:p w14:paraId="4DB6CFAA"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167" w:type="dxa"/>
            <w:vAlign w:val="center"/>
          </w:tcPr>
          <w:p w14:paraId="794981B9"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40" w:type="dxa"/>
            <w:vAlign w:val="center"/>
          </w:tcPr>
          <w:p w14:paraId="140295AA"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210" w:type="dxa"/>
            <w:vAlign w:val="center"/>
          </w:tcPr>
          <w:p w14:paraId="42344D2F"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r>
      <w:tr w:rsidR="004C2FE3" w14:paraId="269C34A4" w14:textId="77777777" w:rsidTr="00C32DD2">
        <w:tc>
          <w:tcPr>
            <w:tcW w:w="1052" w:type="dxa"/>
            <w:vAlign w:val="center"/>
          </w:tcPr>
          <w:p w14:paraId="71927B83"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Black et al 2020</w:t>
            </w:r>
          </w:p>
        </w:tc>
        <w:tc>
          <w:tcPr>
            <w:tcW w:w="1184" w:type="dxa"/>
            <w:vAlign w:val="center"/>
          </w:tcPr>
          <w:p w14:paraId="1B994003"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58.5</w:t>
            </w:r>
          </w:p>
        </w:tc>
        <w:tc>
          <w:tcPr>
            <w:tcW w:w="1060" w:type="dxa"/>
            <w:vAlign w:val="center"/>
          </w:tcPr>
          <w:p w14:paraId="61396A76"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51.2–69.0</w:t>
            </w:r>
          </w:p>
        </w:tc>
        <w:tc>
          <w:tcPr>
            <w:tcW w:w="1106" w:type="dxa"/>
            <w:vAlign w:val="center"/>
          </w:tcPr>
          <w:p w14:paraId="72B6139F"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26.8 (25.0–30.1)</w:t>
            </w:r>
          </w:p>
        </w:tc>
        <w:tc>
          <w:tcPr>
            <w:tcW w:w="1037" w:type="dxa"/>
            <w:vAlign w:val="center"/>
          </w:tcPr>
          <w:p w14:paraId="4E1BA409"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42%</w:t>
            </w:r>
          </w:p>
        </w:tc>
        <w:tc>
          <w:tcPr>
            <w:tcW w:w="1167" w:type="dxa"/>
            <w:vAlign w:val="center"/>
          </w:tcPr>
          <w:p w14:paraId="1570CF0E"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54%</w:t>
            </w:r>
          </w:p>
        </w:tc>
        <w:tc>
          <w:tcPr>
            <w:tcW w:w="1040" w:type="dxa"/>
            <w:vAlign w:val="center"/>
          </w:tcPr>
          <w:p w14:paraId="23C40123"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46%</w:t>
            </w:r>
          </w:p>
        </w:tc>
        <w:tc>
          <w:tcPr>
            <w:tcW w:w="1210" w:type="dxa"/>
            <w:vAlign w:val="center"/>
          </w:tcPr>
          <w:p w14:paraId="316C6645"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r>
      <w:tr w:rsidR="004C2FE3" w14:paraId="6F80B8BC" w14:textId="77777777" w:rsidTr="00C32DD2">
        <w:tc>
          <w:tcPr>
            <w:tcW w:w="1052" w:type="dxa"/>
            <w:vAlign w:val="center"/>
          </w:tcPr>
          <w:p w14:paraId="519C4DAC"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He et al 2022</w:t>
            </w:r>
          </w:p>
        </w:tc>
        <w:tc>
          <w:tcPr>
            <w:tcW w:w="1184" w:type="dxa"/>
            <w:vAlign w:val="center"/>
          </w:tcPr>
          <w:p w14:paraId="745C8E02"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40.9 ± 12.0</w:t>
            </w:r>
          </w:p>
        </w:tc>
        <w:tc>
          <w:tcPr>
            <w:tcW w:w="1060" w:type="dxa"/>
            <w:vAlign w:val="center"/>
          </w:tcPr>
          <w:p w14:paraId="1DC0CA5B"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106" w:type="dxa"/>
            <w:vAlign w:val="center"/>
          </w:tcPr>
          <w:p w14:paraId="081FC0A1"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37" w:type="dxa"/>
            <w:vAlign w:val="center"/>
          </w:tcPr>
          <w:p w14:paraId="452DA379"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29.4%</w:t>
            </w:r>
          </w:p>
        </w:tc>
        <w:tc>
          <w:tcPr>
            <w:tcW w:w="1167" w:type="dxa"/>
            <w:vAlign w:val="center"/>
          </w:tcPr>
          <w:p w14:paraId="02E541A3"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40" w:type="dxa"/>
            <w:vAlign w:val="center"/>
          </w:tcPr>
          <w:p w14:paraId="3013B42D"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38.2%</w:t>
            </w:r>
          </w:p>
        </w:tc>
        <w:tc>
          <w:tcPr>
            <w:tcW w:w="1210" w:type="dxa"/>
            <w:vAlign w:val="center"/>
          </w:tcPr>
          <w:p w14:paraId="7EF3F165"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r>
      <w:tr w:rsidR="004C2FE3" w14:paraId="6AB8024F" w14:textId="77777777" w:rsidTr="00C32DD2">
        <w:tc>
          <w:tcPr>
            <w:tcW w:w="1052" w:type="dxa"/>
            <w:vAlign w:val="center"/>
          </w:tcPr>
          <w:p w14:paraId="383BE6AE"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Hanasono et al 2010</w:t>
            </w:r>
          </w:p>
        </w:tc>
        <w:tc>
          <w:tcPr>
            <w:tcW w:w="1184" w:type="dxa"/>
            <w:vAlign w:val="center"/>
          </w:tcPr>
          <w:p w14:paraId="6D0D67B7"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60 ± 15</w:t>
            </w:r>
          </w:p>
        </w:tc>
        <w:tc>
          <w:tcPr>
            <w:tcW w:w="1060" w:type="dxa"/>
            <w:vAlign w:val="center"/>
          </w:tcPr>
          <w:p w14:paraId="3650D4C3"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106" w:type="dxa"/>
            <w:vAlign w:val="center"/>
          </w:tcPr>
          <w:p w14:paraId="55FF0B4A"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24 ± 3.8</w:t>
            </w:r>
          </w:p>
        </w:tc>
        <w:tc>
          <w:tcPr>
            <w:tcW w:w="1037" w:type="dxa"/>
            <w:vAlign w:val="center"/>
          </w:tcPr>
          <w:p w14:paraId="3460F68B"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167" w:type="dxa"/>
            <w:vAlign w:val="center"/>
          </w:tcPr>
          <w:p w14:paraId="06DEF21D"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40" w:type="dxa"/>
            <w:vAlign w:val="center"/>
          </w:tcPr>
          <w:p w14:paraId="31FAFE2E"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210" w:type="dxa"/>
            <w:vAlign w:val="center"/>
          </w:tcPr>
          <w:p w14:paraId="04F5F4AB"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r>
      <w:tr w:rsidR="004C2FE3" w14:paraId="740F4A5D" w14:textId="77777777" w:rsidTr="00C32DD2">
        <w:tc>
          <w:tcPr>
            <w:tcW w:w="1052" w:type="dxa"/>
            <w:vAlign w:val="center"/>
          </w:tcPr>
          <w:p w14:paraId="303D87C3"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Hung et al 2019</w:t>
            </w:r>
          </w:p>
        </w:tc>
        <w:tc>
          <w:tcPr>
            <w:tcW w:w="1184" w:type="dxa"/>
            <w:vAlign w:val="center"/>
          </w:tcPr>
          <w:p w14:paraId="438E0F5E"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52.9</w:t>
            </w:r>
          </w:p>
        </w:tc>
        <w:tc>
          <w:tcPr>
            <w:tcW w:w="1060" w:type="dxa"/>
            <w:vAlign w:val="center"/>
          </w:tcPr>
          <w:p w14:paraId="3BF06696"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106" w:type="dxa"/>
            <w:vAlign w:val="center"/>
          </w:tcPr>
          <w:p w14:paraId="109C4F61"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25.2 kg/m²</w:t>
            </w:r>
          </w:p>
        </w:tc>
        <w:tc>
          <w:tcPr>
            <w:tcW w:w="1037" w:type="dxa"/>
            <w:vAlign w:val="center"/>
          </w:tcPr>
          <w:p w14:paraId="579DE945"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167" w:type="dxa"/>
            <w:vAlign w:val="center"/>
          </w:tcPr>
          <w:p w14:paraId="600ADC46"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040" w:type="dxa"/>
            <w:vAlign w:val="center"/>
          </w:tcPr>
          <w:p w14:paraId="1BB14BF7"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210" w:type="dxa"/>
            <w:vAlign w:val="center"/>
          </w:tcPr>
          <w:p w14:paraId="7BBBF0BC"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r>
    </w:tbl>
    <w:p w14:paraId="4FAFD53C" w14:textId="77777777" w:rsidR="004C2FE3" w:rsidRDefault="004C2FE3" w:rsidP="004C2FE3">
      <w:pPr>
        <w:pStyle w:val="NormalWeb"/>
        <w:spacing w:beforeAutospacing="0" w:afterAutospacing="0"/>
        <w:rPr>
          <w:rFonts w:ascii="Calibri" w:hAnsi="Calibri" w:cs="Calibri"/>
        </w:rPr>
      </w:pPr>
      <w:r>
        <w:rPr>
          <w:rFonts w:ascii="Calibri" w:hAnsi="Calibri" w:cs="Calibri"/>
        </w:rPr>
        <w:t xml:space="preserve">Demographic data were variably reported across studies. Where provided, mean patient age ranged from approximately 30 years (Felici et al. 2006) to over 66 years (Farace et al. 2006). Most studies clustered in the 40s and 50s, indicating a middle-aged population as the primary demographic. Some studies differentiated age by closure method; for instance, Kimata (2000) reported a higher mean age in the PDC group (56.1 years) compared to the STG group (38.8 years), while Rodriguez et al. (2007) showed similar age distributions between closure </w:t>
      </w:r>
      <w:proofErr w:type="spellStart"/>
      <w:r>
        <w:rPr>
          <w:rFonts w:ascii="Calibri" w:hAnsi="Calibri" w:cs="Calibri"/>
        </w:rPr>
        <w:t>techniques.Body</w:t>
      </w:r>
      <w:proofErr w:type="spellEnd"/>
      <w:r>
        <w:rPr>
          <w:rFonts w:ascii="Calibri" w:hAnsi="Calibri" w:cs="Calibri"/>
        </w:rPr>
        <w:t xml:space="preserve"> mass index (BMI) was reported in only a few studies, with values ranging from 21.3 ± 2.665 (Cheng et al. 2018) to 29.1 ± 3.6 (Wade et al. 2021). Black et al. (2020) reported a median BMI of 26.8 (range: 25.0–30.1), while Rodriguez et al. (2007) provided BMI values stratified by closure type.</w:t>
      </w:r>
    </w:p>
    <w:p w14:paraId="2794314B" w14:textId="77777777" w:rsidR="004C2FE3" w:rsidRDefault="004C2FE3" w:rsidP="004C2FE3">
      <w:pPr>
        <w:pStyle w:val="NormalWeb"/>
        <w:spacing w:beforeAutospacing="0" w:afterAutospacing="0"/>
        <w:rPr>
          <w:rFonts w:ascii="Calibri" w:hAnsi="Calibri" w:cs="Calibri"/>
        </w:rPr>
      </w:pPr>
      <w:r>
        <w:rPr>
          <w:rFonts w:ascii="Calibri" w:hAnsi="Calibri" w:cs="Calibri"/>
        </w:rPr>
        <w:t xml:space="preserve">Comorbidities such as diabetes, hypertension, and smoking were inconsistently captured. Black et al. (2020) presented the most comprehensive profile, reporting diabetes in 42% of patients, hypertension in 54%, and smoking in 46%. Other studies such as Cheng et al. (2018) and He et al. (2022) also included comorbidity data, with diabetes prevalence ranging from 10% to nearly 30%. Smoking was common in several reports: for instance, 86.1% of patients in Shieh et al. </w:t>
      </w:r>
      <w:r>
        <w:rPr>
          <w:rFonts w:ascii="Calibri" w:hAnsi="Calibri" w:cs="Calibri"/>
        </w:rPr>
        <w:lastRenderedPageBreak/>
        <w:t>(2000) and 71.4% in Felici et al. (2006) were smokers. Özkan et al. (2005) further specified comorbid patterns by listing cancer, trauma, and burn cases in their cohort.</w:t>
      </w:r>
    </w:p>
    <w:p w14:paraId="02268257" w14:textId="2706BC53" w:rsidR="00AA5490" w:rsidRPr="004C2FE3" w:rsidRDefault="00AA5490" w:rsidP="00AA5490"/>
    <w:p w14:paraId="4496EE6F" w14:textId="0FEE38D4" w:rsidR="00AA5490" w:rsidRPr="00607F32" w:rsidRDefault="00AA5490" w:rsidP="00AA5490">
      <w:pPr>
        <w:rPr>
          <w:rStyle w:val="Strong"/>
          <w:rFonts w:asciiTheme="majorBidi" w:eastAsia="Segoe UI" w:hAnsiTheme="majorBidi" w:cstheme="majorBidi"/>
          <w:b w:val="0"/>
          <w:bCs w:val="0"/>
          <w:color w:val="404040"/>
          <w:sz w:val="28"/>
          <w:szCs w:val="28"/>
          <w:shd w:val="clear" w:color="auto" w:fill="FFFFFF"/>
        </w:rPr>
      </w:pPr>
      <w:r w:rsidRPr="00607F32">
        <w:rPr>
          <w:rFonts w:asciiTheme="majorBidi" w:hAnsiTheme="majorBidi" w:cstheme="majorBidi"/>
          <w:b/>
          <w:bCs/>
          <w:sz w:val="28"/>
          <w:szCs w:val="28"/>
          <w:lang w:val="en-US"/>
        </w:rPr>
        <w:t xml:space="preserve">Table S2: </w:t>
      </w:r>
      <w:r w:rsidR="004C2FE3" w:rsidRPr="00607F32">
        <w:rPr>
          <w:rStyle w:val="Strong"/>
          <w:rFonts w:asciiTheme="majorBidi" w:eastAsia="Segoe UI" w:hAnsiTheme="majorBidi" w:cstheme="majorBidi"/>
          <w:color w:val="404040"/>
          <w:sz w:val="28"/>
          <w:szCs w:val="28"/>
          <w:shd w:val="clear" w:color="auto" w:fill="FFFFFF"/>
        </w:rPr>
        <w:t>Complete Donor Site Closure Techniques &amp; Flap Details</w:t>
      </w:r>
      <w:r w:rsidR="00607F32">
        <w:rPr>
          <w:rStyle w:val="Strong"/>
          <w:rFonts w:asciiTheme="majorBidi" w:eastAsia="Segoe UI" w:hAnsiTheme="majorBidi" w:cstheme="majorBidi"/>
          <w:color w:val="404040"/>
          <w:sz w:val="28"/>
          <w:szCs w:val="28"/>
          <w:shd w:val="clear" w:color="auto" w:fill="FFFFFF"/>
        </w:rPr>
        <w:t xml:space="preserve">. </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7"/>
        <w:gridCol w:w="1101"/>
        <w:gridCol w:w="1393"/>
        <w:gridCol w:w="2408"/>
        <w:gridCol w:w="2267"/>
      </w:tblGrid>
      <w:tr w:rsidR="004C2FE3" w14:paraId="1D3FB7D6" w14:textId="77777777" w:rsidTr="004C2FE3">
        <w:tc>
          <w:tcPr>
            <w:tcW w:w="1165" w:type="pct"/>
            <w:vAlign w:val="center"/>
          </w:tcPr>
          <w:p w14:paraId="7A82E209"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b/>
                <w:bCs/>
                <w:color w:val="404040"/>
                <w:kern w:val="0"/>
                <w:sz w:val="15"/>
                <w:szCs w:val="15"/>
                <w:lang w:val="en-US" w:eastAsia="zh-CN" w:bidi="ar"/>
              </w:rPr>
              <w:t>Study ID</w:t>
            </w:r>
          </w:p>
        </w:tc>
        <w:tc>
          <w:tcPr>
            <w:tcW w:w="589" w:type="pct"/>
            <w:vAlign w:val="center"/>
          </w:tcPr>
          <w:p w14:paraId="0A266B62"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b/>
                <w:bCs/>
                <w:color w:val="404040"/>
                <w:kern w:val="0"/>
                <w:sz w:val="15"/>
                <w:szCs w:val="15"/>
                <w:lang w:val="en-US" w:eastAsia="zh-CN" w:bidi="ar"/>
              </w:rPr>
              <w:t>Closure Technique</w:t>
            </w:r>
          </w:p>
        </w:tc>
        <w:tc>
          <w:tcPr>
            <w:tcW w:w="745" w:type="pct"/>
            <w:vAlign w:val="center"/>
          </w:tcPr>
          <w:p w14:paraId="7EF248AB"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b/>
                <w:bCs/>
                <w:color w:val="404040"/>
                <w:kern w:val="0"/>
                <w:sz w:val="15"/>
                <w:szCs w:val="15"/>
                <w:lang w:val="en-US" w:eastAsia="zh-CN" w:bidi="ar"/>
              </w:rPr>
              <w:t>Donor Dimensions</w:t>
            </w:r>
          </w:p>
        </w:tc>
        <w:tc>
          <w:tcPr>
            <w:tcW w:w="1288" w:type="pct"/>
            <w:vAlign w:val="center"/>
          </w:tcPr>
          <w:p w14:paraId="2FDABF8F"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b/>
                <w:bCs/>
                <w:color w:val="404040"/>
                <w:kern w:val="0"/>
                <w:sz w:val="15"/>
                <w:szCs w:val="15"/>
                <w:lang w:val="en-US" w:eastAsia="zh-CN" w:bidi="ar"/>
              </w:rPr>
              <w:t>Flap Type Used</w:t>
            </w:r>
          </w:p>
        </w:tc>
        <w:tc>
          <w:tcPr>
            <w:tcW w:w="1213" w:type="pct"/>
            <w:vAlign w:val="center"/>
          </w:tcPr>
          <w:p w14:paraId="75F398F4"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b/>
                <w:bCs/>
                <w:color w:val="404040"/>
                <w:kern w:val="0"/>
                <w:sz w:val="15"/>
                <w:szCs w:val="15"/>
                <w:lang w:val="en-US" w:eastAsia="zh-CN" w:bidi="ar"/>
              </w:rPr>
              <w:t>Follow-up Period</w:t>
            </w:r>
          </w:p>
        </w:tc>
      </w:tr>
      <w:tr w:rsidR="004C2FE3" w14:paraId="2F0EC247" w14:textId="77777777" w:rsidTr="004C2FE3">
        <w:tc>
          <w:tcPr>
            <w:tcW w:w="1165" w:type="pct"/>
            <w:vAlign w:val="center"/>
          </w:tcPr>
          <w:p w14:paraId="307C5580"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Chen et al 2005</w:t>
            </w:r>
          </w:p>
        </w:tc>
        <w:tc>
          <w:tcPr>
            <w:tcW w:w="589" w:type="pct"/>
            <w:vAlign w:val="center"/>
          </w:tcPr>
          <w:p w14:paraId="2CE8D14A"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PDC/STG</w:t>
            </w:r>
          </w:p>
        </w:tc>
        <w:tc>
          <w:tcPr>
            <w:tcW w:w="745" w:type="pct"/>
            <w:vAlign w:val="center"/>
          </w:tcPr>
          <w:p w14:paraId="7AB1C9CA"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6-10cm (W), 9-20cm (L), 54-200cm²</w:t>
            </w:r>
          </w:p>
        </w:tc>
        <w:tc>
          <w:tcPr>
            <w:tcW w:w="1288" w:type="pct"/>
            <w:vAlign w:val="center"/>
          </w:tcPr>
          <w:p w14:paraId="11973648"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ALT free flap</w:t>
            </w:r>
          </w:p>
        </w:tc>
        <w:tc>
          <w:tcPr>
            <w:tcW w:w="1213" w:type="pct"/>
            <w:vAlign w:val="center"/>
          </w:tcPr>
          <w:p w14:paraId="710A3135"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12.9 ± 9.112 months</w:t>
            </w:r>
          </w:p>
        </w:tc>
      </w:tr>
      <w:tr w:rsidR="004C2FE3" w14:paraId="72EDF98C" w14:textId="77777777" w:rsidTr="004C2FE3">
        <w:tc>
          <w:tcPr>
            <w:tcW w:w="1165" w:type="pct"/>
            <w:vAlign w:val="center"/>
          </w:tcPr>
          <w:p w14:paraId="643FF994"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Cheng et al 2018</w:t>
            </w:r>
          </w:p>
        </w:tc>
        <w:tc>
          <w:tcPr>
            <w:tcW w:w="589" w:type="pct"/>
            <w:vAlign w:val="center"/>
          </w:tcPr>
          <w:p w14:paraId="0556902A"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w:t>
            </w:r>
          </w:p>
        </w:tc>
        <w:tc>
          <w:tcPr>
            <w:tcW w:w="745" w:type="pct"/>
            <w:vAlign w:val="center"/>
          </w:tcPr>
          <w:p w14:paraId="64E55639"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9.45cm (L), 9.93cm (W)</w:t>
            </w:r>
          </w:p>
        </w:tc>
        <w:tc>
          <w:tcPr>
            <w:tcW w:w="1288" w:type="pct"/>
            <w:vAlign w:val="center"/>
          </w:tcPr>
          <w:p w14:paraId="4D29C709"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Modified ALT flap</w:t>
            </w:r>
          </w:p>
        </w:tc>
        <w:tc>
          <w:tcPr>
            <w:tcW w:w="1213" w:type="pct"/>
            <w:vAlign w:val="center"/>
          </w:tcPr>
          <w:p w14:paraId="56C5878C"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1 year</w:t>
            </w:r>
          </w:p>
        </w:tc>
      </w:tr>
      <w:tr w:rsidR="004C2FE3" w14:paraId="6C661D61" w14:textId="77777777" w:rsidTr="004C2FE3">
        <w:tc>
          <w:tcPr>
            <w:tcW w:w="1165" w:type="pct"/>
            <w:vAlign w:val="center"/>
          </w:tcPr>
          <w:p w14:paraId="2E8B5B15"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Deng et al 2018</w:t>
            </w:r>
          </w:p>
        </w:tc>
        <w:tc>
          <w:tcPr>
            <w:tcW w:w="589" w:type="pct"/>
            <w:vAlign w:val="center"/>
          </w:tcPr>
          <w:p w14:paraId="33320BC6"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PDC/adjacent perforator flap/ipsilateral groin</w:t>
            </w:r>
          </w:p>
        </w:tc>
        <w:tc>
          <w:tcPr>
            <w:tcW w:w="745" w:type="pct"/>
            <w:vAlign w:val="center"/>
          </w:tcPr>
          <w:p w14:paraId="21FA67EC"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8x5 to 31x12 cm</w:t>
            </w:r>
          </w:p>
        </w:tc>
        <w:tc>
          <w:tcPr>
            <w:tcW w:w="1288" w:type="pct"/>
            <w:vAlign w:val="center"/>
          </w:tcPr>
          <w:p w14:paraId="1E719D08"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ALT free flap</w:t>
            </w:r>
          </w:p>
        </w:tc>
        <w:tc>
          <w:tcPr>
            <w:tcW w:w="1213" w:type="pct"/>
            <w:vAlign w:val="center"/>
          </w:tcPr>
          <w:p w14:paraId="07A1FCA6"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7 ± 2.948 months</w:t>
            </w:r>
          </w:p>
        </w:tc>
      </w:tr>
      <w:tr w:rsidR="004C2FE3" w14:paraId="3BEE9DD6" w14:textId="77777777" w:rsidTr="004C2FE3">
        <w:tc>
          <w:tcPr>
            <w:tcW w:w="1165" w:type="pct"/>
            <w:vAlign w:val="center"/>
          </w:tcPr>
          <w:p w14:paraId="24821178"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Wade et al 2021</w:t>
            </w:r>
          </w:p>
        </w:tc>
        <w:tc>
          <w:tcPr>
            <w:tcW w:w="589" w:type="pct"/>
            <w:vAlign w:val="center"/>
          </w:tcPr>
          <w:p w14:paraId="2CE4EC68"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PDC/STG</w:t>
            </w:r>
          </w:p>
        </w:tc>
        <w:tc>
          <w:tcPr>
            <w:tcW w:w="745" w:type="pct"/>
            <w:vAlign w:val="center"/>
          </w:tcPr>
          <w:p w14:paraId="654E1404"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7-11 cm</w:t>
            </w:r>
          </w:p>
        </w:tc>
        <w:tc>
          <w:tcPr>
            <w:tcW w:w="1288" w:type="pct"/>
            <w:vAlign w:val="center"/>
          </w:tcPr>
          <w:p w14:paraId="7F62CD2B"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ALT free flap</w:t>
            </w:r>
          </w:p>
        </w:tc>
        <w:tc>
          <w:tcPr>
            <w:tcW w:w="1213" w:type="pct"/>
            <w:vAlign w:val="center"/>
          </w:tcPr>
          <w:p w14:paraId="0C65E429"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212 days</w:t>
            </w:r>
          </w:p>
        </w:tc>
      </w:tr>
      <w:tr w:rsidR="004C2FE3" w14:paraId="6DD34F6D" w14:textId="77777777" w:rsidTr="004C2FE3">
        <w:tc>
          <w:tcPr>
            <w:tcW w:w="1165" w:type="pct"/>
            <w:vAlign w:val="center"/>
          </w:tcPr>
          <w:p w14:paraId="4C29E346"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Shieh et al 2000</w:t>
            </w:r>
          </w:p>
        </w:tc>
        <w:tc>
          <w:tcPr>
            <w:tcW w:w="589" w:type="pct"/>
            <w:vAlign w:val="center"/>
          </w:tcPr>
          <w:p w14:paraId="7E00C7AC"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PDC/STG</w:t>
            </w:r>
          </w:p>
        </w:tc>
        <w:tc>
          <w:tcPr>
            <w:tcW w:w="745" w:type="pct"/>
            <w:vAlign w:val="center"/>
          </w:tcPr>
          <w:p w14:paraId="7EF90A1E"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N/A</w:t>
            </w:r>
          </w:p>
        </w:tc>
        <w:tc>
          <w:tcPr>
            <w:tcW w:w="1288" w:type="pct"/>
            <w:vAlign w:val="center"/>
          </w:tcPr>
          <w:p w14:paraId="33060BAC"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ALT free flap</w:t>
            </w:r>
          </w:p>
        </w:tc>
        <w:tc>
          <w:tcPr>
            <w:tcW w:w="1213" w:type="pct"/>
            <w:vAlign w:val="center"/>
          </w:tcPr>
          <w:p w14:paraId="09FA992F"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N/A</w:t>
            </w:r>
          </w:p>
        </w:tc>
      </w:tr>
      <w:tr w:rsidR="004C2FE3" w14:paraId="72C54FE3" w14:textId="77777777" w:rsidTr="004C2FE3">
        <w:tc>
          <w:tcPr>
            <w:tcW w:w="1165" w:type="pct"/>
            <w:vAlign w:val="center"/>
          </w:tcPr>
          <w:p w14:paraId="5E9B0102"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Schmidt et al 1997</w:t>
            </w:r>
          </w:p>
        </w:tc>
        <w:tc>
          <w:tcPr>
            <w:tcW w:w="589" w:type="pct"/>
            <w:vAlign w:val="center"/>
          </w:tcPr>
          <w:p w14:paraId="7B827FAA"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Split skin graft</w:t>
            </w:r>
          </w:p>
        </w:tc>
        <w:tc>
          <w:tcPr>
            <w:tcW w:w="745" w:type="pct"/>
            <w:vAlign w:val="center"/>
          </w:tcPr>
          <w:p w14:paraId="5868AA12"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N/A</w:t>
            </w:r>
          </w:p>
        </w:tc>
        <w:tc>
          <w:tcPr>
            <w:tcW w:w="1288" w:type="pct"/>
            <w:vAlign w:val="center"/>
          </w:tcPr>
          <w:p w14:paraId="42516468"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ALT free flap</w:t>
            </w:r>
          </w:p>
        </w:tc>
        <w:tc>
          <w:tcPr>
            <w:tcW w:w="1213" w:type="pct"/>
            <w:vAlign w:val="center"/>
          </w:tcPr>
          <w:p w14:paraId="4785CAE3"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14 months</w:t>
            </w:r>
          </w:p>
        </w:tc>
      </w:tr>
      <w:tr w:rsidR="004C2FE3" w14:paraId="36B7CFFE" w14:textId="77777777" w:rsidTr="004C2FE3">
        <w:tc>
          <w:tcPr>
            <w:tcW w:w="1165" w:type="pct"/>
            <w:vAlign w:val="center"/>
          </w:tcPr>
          <w:p w14:paraId="1696A71C"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De Vicente et al 2008</w:t>
            </w:r>
          </w:p>
        </w:tc>
        <w:tc>
          <w:tcPr>
            <w:tcW w:w="589" w:type="pct"/>
            <w:vAlign w:val="center"/>
          </w:tcPr>
          <w:p w14:paraId="2C95A960"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w:t>
            </w:r>
          </w:p>
        </w:tc>
        <w:tc>
          <w:tcPr>
            <w:tcW w:w="745" w:type="pct"/>
            <w:vAlign w:val="center"/>
          </w:tcPr>
          <w:p w14:paraId="048F974E"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N/A</w:t>
            </w:r>
          </w:p>
        </w:tc>
        <w:tc>
          <w:tcPr>
            <w:tcW w:w="1288" w:type="pct"/>
            <w:vAlign w:val="center"/>
          </w:tcPr>
          <w:p w14:paraId="13AC2D22"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Radial &amp; ALT free flaps</w:t>
            </w:r>
          </w:p>
        </w:tc>
        <w:tc>
          <w:tcPr>
            <w:tcW w:w="1213" w:type="pct"/>
            <w:vAlign w:val="center"/>
          </w:tcPr>
          <w:p w14:paraId="4F4C21C1"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6 months</w:t>
            </w:r>
          </w:p>
        </w:tc>
      </w:tr>
      <w:tr w:rsidR="004C2FE3" w14:paraId="3309ECF3" w14:textId="77777777" w:rsidTr="004C2FE3">
        <w:tc>
          <w:tcPr>
            <w:tcW w:w="1165" w:type="pct"/>
            <w:vAlign w:val="center"/>
          </w:tcPr>
          <w:p w14:paraId="44B305CF"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Farace et al 2006</w:t>
            </w:r>
          </w:p>
        </w:tc>
        <w:tc>
          <w:tcPr>
            <w:tcW w:w="589" w:type="pct"/>
            <w:vAlign w:val="center"/>
          </w:tcPr>
          <w:p w14:paraId="22F2BB6E"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w:t>
            </w:r>
          </w:p>
        </w:tc>
        <w:tc>
          <w:tcPr>
            <w:tcW w:w="745" w:type="pct"/>
            <w:vAlign w:val="center"/>
          </w:tcPr>
          <w:p w14:paraId="550D2DA5"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N/A</w:t>
            </w:r>
          </w:p>
        </w:tc>
        <w:tc>
          <w:tcPr>
            <w:tcW w:w="1288" w:type="pct"/>
            <w:vAlign w:val="center"/>
          </w:tcPr>
          <w:p w14:paraId="759D061A"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Forearm/ALT free flaps</w:t>
            </w:r>
          </w:p>
        </w:tc>
        <w:tc>
          <w:tcPr>
            <w:tcW w:w="1213" w:type="pct"/>
            <w:vAlign w:val="center"/>
          </w:tcPr>
          <w:p w14:paraId="24001A9E"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6 months</w:t>
            </w:r>
          </w:p>
        </w:tc>
      </w:tr>
      <w:tr w:rsidR="004C2FE3" w14:paraId="01B3D5E0" w14:textId="77777777" w:rsidTr="004C2FE3">
        <w:tc>
          <w:tcPr>
            <w:tcW w:w="1165" w:type="pct"/>
            <w:vAlign w:val="center"/>
          </w:tcPr>
          <w:p w14:paraId="1ED4000B"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Felici et al 2006</w:t>
            </w:r>
          </w:p>
        </w:tc>
        <w:tc>
          <w:tcPr>
            <w:tcW w:w="589" w:type="pct"/>
            <w:vAlign w:val="center"/>
          </w:tcPr>
          <w:p w14:paraId="461270B3"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PGC</w:t>
            </w:r>
          </w:p>
        </w:tc>
        <w:tc>
          <w:tcPr>
            <w:tcW w:w="745" w:type="pct"/>
            <w:vAlign w:val="center"/>
          </w:tcPr>
          <w:p w14:paraId="4C7A608A"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10x12 to 11x14 cm²</w:t>
            </w:r>
          </w:p>
        </w:tc>
        <w:tc>
          <w:tcPr>
            <w:tcW w:w="1288" w:type="pct"/>
            <w:vAlign w:val="center"/>
          </w:tcPr>
          <w:p w14:paraId="0DD65BFD"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Suprapubic/ALT free flaps</w:t>
            </w:r>
          </w:p>
        </w:tc>
        <w:tc>
          <w:tcPr>
            <w:tcW w:w="1213" w:type="pct"/>
            <w:vAlign w:val="center"/>
          </w:tcPr>
          <w:p w14:paraId="7393A1D1"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5 ± 4.44 months</w:t>
            </w:r>
          </w:p>
        </w:tc>
      </w:tr>
      <w:tr w:rsidR="004C2FE3" w14:paraId="55BBC152" w14:textId="77777777" w:rsidTr="004C2FE3">
        <w:tc>
          <w:tcPr>
            <w:tcW w:w="1165" w:type="pct"/>
            <w:vAlign w:val="center"/>
          </w:tcPr>
          <w:p w14:paraId="6B20AB18"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Kimata 2000</w:t>
            </w:r>
          </w:p>
        </w:tc>
        <w:tc>
          <w:tcPr>
            <w:tcW w:w="589" w:type="pct"/>
            <w:vAlign w:val="center"/>
          </w:tcPr>
          <w:p w14:paraId="5F50A4D1"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 (n=32), STG (n=5)</w:t>
            </w:r>
          </w:p>
        </w:tc>
        <w:tc>
          <w:tcPr>
            <w:tcW w:w="745" w:type="pct"/>
            <w:vAlign w:val="center"/>
          </w:tcPr>
          <w:p w14:paraId="33CFC250"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79.6 cm² (PDC), 411.8 cm² (STG)</w:t>
            </w:r>
          </w:p>
        </w:tc>
        <w:tc>
          <w:tcPr>
            <w:tcW w:w="1288" w:type="pct"/>
            <w:vAlign w:val="center"/>
          </w:tcPr>
          <w:p w14:paraId="445E4F7A"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Free/pedicled ALT</w:t>
            </w:r>
          </w:p>
        </w:tc>
        <w:tc>
          <w:tcPr>
            <w:tcW w:w="1213" w:type="pct"/>
            <w:vAlign w:val="center"/>
          </w:tcPr>
          <w:p w14:paraId="711BE20B"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18.9 months</w:t>
            </w:r>
          </w:p>
        </w:tc>
      </w:tr>
      <w:tr w:rsidR="004C2FE3" w14:paraId="4C087F9E" w14:textId="77777777" w:rsidTr="004C2FE3">
        <w:tc>
          <w:tcPr>
            <w:tcW w:w="1165" w:type="pct"/>
            <w:vAlign w:val="center"/>
          </w:tcPr>
          <w:p w14:paraId="1EF45443"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Kuo et al 2002</w:t>
            </w:r>
          </w:p>
        </w:tc>
        <w:tc>
          <w:tcPr>
            <w:tcW w:w="589" w:type="pct"/>
            <w:vAlign w:val="center"/>
          </w:tcPr>
          <w:p w14:paraId="1E515047"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 (n=125), STG (n=15)</w:t>
            </w:r>
          </w:p>
        </w:tc>
        <w:tc>
          <w:tcPr>
            <w:tcW w:w="745" w:type="pct"/>
            <w:vAlign w:val="center"/>
          </w:tcPr>
          <w:p w14:paraId="308187A4"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10-33cm (L), 4-14cm (W)</w:t>
            </w:r>
          </w:p>
        </w:tc>
        <w:tc>
          <w:tcPr>
            <w:tcW w:w="1288" w:type="pct"/>
            <w:vAlign w:val="center"/>
          </w:tcPr>
          <w:p w14:paraId="743D5BDE" w14:textId="77777777" w:rsidR="004C2FE3" w:rsidRDefault="004C2FE3" w:rsidP="00C32DD2">
            <w:pPr>
              <w:spacing w:after="0" w:line="240" w:lineRule="auto"/>
              <w:rPr>
                <w:rFonts w:ascii="Calibri" w:hAnsi="Calibri" w:cs="Calibri"/>
                <w:color w:val="000000" w:themeColor="text1"/>
                <w:sz w:val="18"/>
                <w:szCs w:val="18"/>
              </w:rPr>
            </w:pPr>
            <w:proofErr w:type="spellStart"/>
            <w:r>
              <w:rPr>
                <w:rFonts w:ascii="Calibri" w:eastAsia="Segoe UI" w:hAnsi="Calibri" w:cs="Calibri"/>
                <w:color w:val="404040"/>
                <w:kern w:val="0"/>
                <w:sz w:val="15"/>
                <w:szCs w:val="15"/>
                <w:lang w:val="en-US" w:eastAsia="zh-CN" w:bidi="ar"/>
              </w:rPr>
              <w:t>Septocutaneous</w:t>
            </w:r>
            <w:proofErr w:type="spellEnd"/>
            <w:r>
              <w:rPr>
                <w:rFonts w:ascii="Calibri" w:eastAsia="Segoe UI" w:hAnsi="Calibri" w:cs="Calibri"/>
                <w:color w:val="404040"/>
                <w:kern w:val="0"/>
                <w:sz w:val="15"/>
                <w:szCs w:val="15"/>
                <w:lang w:val="en-US" w:eastAsia="zh-CN" w:bidi="ar"/>
              </w:rPr>
              <w:t>/musculocutaneous ALT</w:t>
            </w:r>
          </w:p>
        </w:tc>
        <w:tc>
          <w:tcPr>
            <w:tcW w:w="1213" w:type="pct"/>
            <w:vAlign w:val="center"/>
          </w:tcPr>
          <w:p w14:paraId="70FA43D0"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2 years</w:t>
            </w:r>
          </w:p>
        </w:tc>
      </w:tr>
      <w:tr w:rsidR="004C2FE3" w14:paraId="39B9C9CE" w14:textId="77777777" w:rsidTr="004C2FE3">
        <w:tc>
          <w:tcPr>
            <w:tcW w:w="1165" w:type="pct"/>
            <w:vAlign w:val="center"/>
          </w:tcPr>
          <w:p w14:paraId="7D14B061"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Lee 2010</w:t>
            </w:r>
          </w:p>
        </w:tc>
        <w:tc>
          <w:tcPr>
            <w:tcW w:w="589" w:type="pct"/>
            <w:vAlign w:val="center"/>
          </w:tcPr>
          <w:p w14:paraId="1DBF6D3B"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 (n=110), STG (n=17)</w:t>
            </w:r>
          </w:p>
        </w:tc>
        <w:tc>
          <w:tcPr>
            <w:tcW w:w="745" w:type="pct"/>
            <w:vAlign w:val="center"/>
          </w:tcPr>
          <w:p w14:paraId="53CE2ACD"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36-450 cm² (Avg: 166 cm²)</w:t>
            </w:r>
          </w:p>
        </w:tc>
        <w:tc>
          <w:tcPr>
            <w:tcW w:w="1288" w:type="pct"/>
            <w:vAlign w:val="center"/>
          </w:tcPr>
          <w:p w14:paraId="274CE76C" w14:textId="77777777" w:rsidR="004C2FE3" w:rsidRDefault="004C2FE3" w:rsidP="00C32DD2">
            <w:pPr>
              <w:spacing w:after="0" w:line="240" w:lineRule="auto"/>
              <w:rPr>
                <w:rFonts w:ascii="Calibri" w:hAnsi="Calibri" w:cs="Calibri"/>
                <w:color w:val="000000" w:themeColor="text1"/>
                <w:sz w:val="18"/>
                <w:szCs w:val="18"/>
              </w:rPr>
            </w:pPr>
            <w:proofErr w:type="spellStart"/>
            <w:r>
              <w:rPr>
                <w:rFonts w:ascii="Calibri" w:eastAsia="Segoe UI" w:hAnsi="Calibri" w:cs="Calibri"/>
                <w:color w:val="404040"/>
                <w:kern w:val="0"/>
                <w:sz w:val="15"/>
                <w:szCs w:val="15"/>
                <w:lang w:val="en-US" w:eastAsia="zh-CN" w:bidi="ar"/>
              </w:rPr>
              <w:t>Fasciocutaneous</w:t>
            </w:r>
            <w:proofErr w:type="spellEnd"/>
            <w:r>
              <w:rPr>
                <w:rFonts w:ascii="Calibri" w:eastAsia="Segoe UI" w:hAnsi="Calibri" w:cs="Calibri"/>
                <w:color w:val="404040"/>
                <w:kern w:val="0"/>
                <w:sz w:val="15"/>
                <w:szCs w:val="15"/>
                <w:lang w:val="en-US" w:eastAsia="zh-CN" w:bidi="ar"/>
              </w:rPr>
              <w:t>/</w:t>
            </w:r>
            <w:proofErr w:type="spellStart"/>
            <w:r>
              <w:rPr>
                <w:rFonts w:ascii="Calibri" w:eastAsia="Segoe UI" w:hAnsi="Calibri" w:cs="Calibri"/>
                <w:color w:val="404040"/>
                <w:kern w:val="0"/>
                <w:sz w:val="15"/>
                <w:szCs w:val="15"/>
                <w:lang w:val="en-US" w:eastAsia="zh-CN" w:bidi="ar"/>
              </w:rPr>
              <w:t>adipocutaneous</w:t>
            </w:r>
            <w:proofErr w:type="spellEnd"/>
            <w:r>
              <w:rPr>
                <w:rFonts w:ascii="Calibri" w:eastAsia="Segoe UI" w:hAnsi="Calibri" w:cs="Calibri"/>
                <w:color w:val="404040"/>
                <w:kern w:val="0"/>
                <w:sz w:val="15"/>
                <w:szCs w:val="15"/>
                <w:lang w:val="en-US" w:eastAsia="zh-CN" w:bidi="ar"/>
              </w:rPr>
              <w:t xml:space="preserve"> ALT</w:t>
            </w:r>
          </w:p>
        </w:tc>
        <w:tc>
          <w:tcPr>
            <w:tcW w:w="1213" w:type="pct"/>
            <w:vAlign w:val="center"/>
          </w:tcPr>
          <w:p w14:paraId="4C56D1C1"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9.3 months</w:t>
            </w:r>
          </w:p>
        </w:tc>
      </w:tr>
      <w:tr w:rsidR="004C2FE3" w14:paraId="2B1F1B13" w14:textId="77777777" w:rsidTr="004C2FE3">
        <w:tc>
          <w:tcPr>
            <w:tcW w:w="1165" w:type="pct"/>
            <w:vAlign w:val="center"/>
          </w:tcPr>
          <w:p w14:paraId="277FC4DF"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Lee et al 2012</w:t>
            </w:r>
          </w:p>
        </w:tc>
        <w:tc>
          <w:tcPr>
            <w:tcW w:w="589" w:type="pct"/>
            <w:vAlign w:val="center"/>
          </w:tcPr>
          <w:p w14:paraId="6BB05B1A"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 if &lt;10cm, STG if ≥10cm</w:t>
            </w:r>
          </w:p>
        </w:tc>
        <w:tc>
          <w:tcPr>
            <w:tcW w:w="745" w:type="pct"/>
            <w:vAlign w:val="center"/>
          </w:tcPr>
          <w:p w14:paraId="67A3E835"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ALT-FC: up to 20×10cm; VL-MC: up to 24×8cm</w:t>
            </w:r>
          </w:p>
        </w:tc>
        <w:tc>
          <w:tcPr>
            <w:tcW w:w="1288" w:type="pct"/>
            <w:vAlign w:val="center"/>
          </w:tcPr>
          <w:p w14:paraId="16102B86"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ALT-FC vs VL-MC</w:t>
            </w:r>
          </w:p>
        </w:tc>
        <w:tc>
          <w:tcPr>
            <w:tcW w:w="1213" w:type="pct"/>
            <w:vAlign w:val="center"/>
          </w:tcPr>
          <w:p w14:paraId="0562673C"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ALT-FC:12.25mo, VL-MC:15.3mo</w:t>
            </w:r>
          </w:p>
        </w:tc>
      </w:tr>
      <w:tr w:rsidR="004C2FE3" w14:paraId="6FE7A89C" w14:textId="77777777" w:rsidTr="004C2FE3">
        <w:tc>
          <w:tcPr>
            <w:tcW w:w="1165" w:type="pct"/>
            <w:vAlign w:val="center"/>
          </w:tcPr>
          <w:p w14:paraId="635E7D2B"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Lipa et al 2005</w:t>
            </w:r>
          </w:p>
        </w:tc>
        <w:tc>
          <w:tcPr>
            <w:tcW w:w="589" w:type="pct"/>
            <w:vAlign w:val="center"/>
          </w:tcPr>
          <w:p w14:paraId="3AF4CF96"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 if ≤10cm, STG if &gt;10cm</w:t>
            </w:r>
          </w:p>
        </w:tc>
        <w:tc>
          <w:tcPr>
            <w:tcW w:w="745" w:type="pct"/>
            <w:vAlign w:val="center"/>
          </w:tcPr>
          <w:p w14:paraId="5CCC75B9"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Up to 15×30cm</w:t>
            </w:r>
          </w:p>
        </w:tc>
        <w:tc>
          <w:tcPr>
            <w:tcW w:w="1288" w:type="pct"/>
            <w:vAlign w:val="center"/>
          </w:tcPr>
          <w:p w14:paraId="2ACD17F2"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ALT free flap</w:t>
            </w:r>
          </w:p>
        </w:tc>
        <w:tc>
          <w:tcPr>
            <w:tcW w:w="1213" w:type="pct"/>
            <w:vAlign w:val="center"/>
          </w:tcPr>
          <w:p w14:paraId="191C5B4F"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17 ± 2 months</w:t>
            </w:r>
          </w:p>
        </w:tc>
      </w:tr>
      <w:tr w:rsidR="004C2FE3" w14:paraId="40FC0D67" w14:textId="77777777" w:rsidTr="004C2FE3">
        <w:tc>
          <w:tcPr>
            <w:tcW w:w="1165" w:type="pct"/>
            <w:vAlign w:val="center"/>
          </w:tcPr>
          <w:p w14:paraId="253C4A61"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Özkan et al 2005</w:t>
            </w:r>
          </w:p>
        </w:tc>
        <w:tc>
          <w:tcPr>
            <w:tcW w:w="589" w:type="pct"/>
            <w:vAlign w:val="center"/>
          </w:tcPr>
          <w:p w14:paraId="14FE3FAF"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PDC/STG</w:t>
            </w:r>
          </w:p>
        </w:tc>
        <w:tc>
          <w:tcPr>
            <w:tcW w:w="745" w:type="pct"/>
            <w:vAlign w:val="center"/>
          </w:tcPr>
          <w:p w14:paraId="78DDEB3F"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14-27cm (L), 6-18cm (W)</w:t>
            </w:r>
          </w:p>
        </w:tc>
        <w:tc>
          <w:tcPr>
            <w:tcW w:w="1288" w:type="pct"/>
            <w:vAlign w:val="center"/>
          </w:tcPr>
          <w:p w14:paraId="7496C572"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Thinned ALT flaps</w:t>
            </w:r>
          </w:p>
        </w:tc>
        <w:tc>
          <w:tcPr>
            <w:tcW w:w="1213" w:type="pct"/>
            <w:vAlign w:val="center"/>
          </w:tcPr>
          <w:p w14:paraId="5721A677"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13.75 ±15 months</w:t>
            </w:r>
          </w:p>
        </w:tc>
      </w:tr>
      <w:tr w:rsidR="004C2FE3" w14:paraId="641300AC" w14:textId="77777777" w:rsidTr="004C2FE3">
        <w:tc>
          <w:tcPr>
            <w:tcW w:w="1165" w:type="pct"/>
            <w:vAlign w:val="center"/>
          </w:tcPr>
          <w:p w14:paraId="209B1105"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Pachón et al 2014</w:t>
            </w:r>
          </w:p>
        </w:tc>
        <w:tc>
          <w:tcPr>
            <w:tcW w:w="589" w:type="pct"/>
            <w:vAlign w:val="center"/>
          </w:tcPr>
          <w:p w14:paraId="77E8B62B"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 (tubed/V-Y/split designs)</w:t>
            </w:r>
          </w:p>
        </w:tc>
        <w:tc>
          <w:tcPr>
            <w:tcW w:w="745" w:type="pct"/>
            <w:vAlign w:val="center"/>
          </w:tcPr>
          <w:p w14:paraId="35A18928"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V-Y:8cm (W); Split:24.4×7.8cm; Tubed:8×16cm</w:t>
            </w:r>
          </w:p>
        </w:tc>
        <w:tc>
          <w:tcPr>
            <w:tcW w:w="1288" w:type="pct"/>
            <w:vAlign w:val="center"/>
          </w:tcPr>
          <w:p w14:paraId="11178ED6" w14:textId="77777777" w:rsidR="004C2FE3" w:rsidRDefault="004C2FE3" w:rsidP="00C32DD2">
            <w:pPr>
              <w:spacing w:after="0" w:line="240" w:lineRule="auto"/>
              <w:rPr>
                <w:rFonts w:ascii="Calibri" w:hAnsi="Calibri" w:cs="Calibri"/>
                <w:color w:val="000000" w:themeColor="text1"/>
                <w:sz w:val="18"/>
                <w:szCs w:val="18"/>
              </w:rPr>
            </w:pPr>
            <w:proofErr w:type="spellStart"/>
            <w:r>
              <w:rPr>
                <w:rFonts w:ascii="Calibri" w:eastAsia="Segoe UI" w:hAnsi="Calibri" w:cs="Calibri"/>
                <w:color w:val="404040"/>
                <w:kern w:val="0"/>
                <w:sz w:val="15"/>
                <w:szCs w:val="15"/>
                <w:lang w:val="en-US" w:eastAsia="zh-CN" w:bidi="ar"/>
              </w:rPr>
              <w:t>Fasciocutaneous</w:t>
            </w:r>
            <w:proofErr w:type="spellEnd"/>
            <w:r>
              <w:rPr>
                <w:rFonts w:ascii="Calibri" w:eastAsia="Segoe UI" w:hAnsi="Calibri" w:cs="Calibri"/>
                <w:color w:val="404040"/>
                <w:kern w:val="0"/>
                <w:sz w:val="15"/>
                <w:szCs w:val="15"/>
                <w:lang w:val="en-US" w:eastAsia="zh-CN" w:bidi="ar"/>
              </w:rPr>
              <w:t xml:space="preserve"> ALT</w:t>
            </w:r>
          </w:p>
        </w:tc>
        <w:tc>
          <w:tcPr>
            <w:tcW w:w="1213" w:type="pct"/>
            <w:vAlign w:val="center"/>
          </w:tcPr>
          <w:p w14:paraId="4FCF7046"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N/A</w:t>
            </w:r>
          </w:p>
        </w:tc>
      </w:tr>
      <w:tr w:rsidR="004C2FE3" w14:paraId="5B4DC064" w14:textId="77777777" w:rsidTr="004C2FE3">
        <w:tc>
          <w:tcPr>
            <w:tcW w:w="1165" w:type="pct"/>
            <w:vAlign w:val="center"/>
          </w:tcPr>
          <w:p w14:paraId="480DBF1E"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Posch et al 2005</w:t>
            </w:r>
          </w:p>
        </w:tc>
        <w:tc>
          <w:tcPr>
            <w:tcW w:w="589" w:type="pct"/>
            <w:vAlign w:val="center"/>
          </w:tcPr>
          <w:p w14:paraId="5269CCAC"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PDC/STG</w:t>
            </w:r>
          </w:p>
        </w:tc>
        <w:tc>
          <w:tcPr>
            <w:tcW w:w="745" w:type="pct"/>
            <w:vAlign w:val="center"/>
          </w:tcPr>
          <w:p w14:paraId="3FDDB61B"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STG:9-14cm; PDC:6-10cm</w:t>
            </w:r>
          </w:p>
        </w:tc>
        <w:tc>
          <w:tcPr>
            <w:tcW w:w="1288" w:type="pct"/>
            <w:vAlign w:val="center"/>
          </w:tcPr>
          <w:p w14:paraId="379FF88F"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Chimera-type ALT</w:t>
            </w:r>
          </w:p>
        </w:tc>
        <w:tc>
          <w:tcPr>
            <w:tcW w:w="1213" w:type="pct"/>
            <w:vAlign w:val="center"/>
          </w:tcPr>
          <w:p w14:paraId="0F0F5C1F"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16.6 ±17 months</w:t>
            </w:r>
          </w:p>
        </w:tc>
      </w:tr>
      <w:tr w:rsidR="004C2FE3" w14:paraId="35C245BF" w14:textId="77777777" w:rsidTr="004C2FE3">
        <w:tc>
          <w:tcPr>
            <w:tcW w:w="1165" w:type="pct"/>
            <w:vAlign w:val="center"/>
          </w:tcPr>
          <w:p w14:paraId="50DA9FD5"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Rodriguez et al 2007</w:t>
            </w:r>
          </w:p>
        </w:tc>
        <w:tc>
          <w:tcPr>
            <w:tcW w:w="589" w:type="pct"/>
            <w:vAlign w:val="center"/>
          </w:tcPr>
          <w:p w14:paraId="6E32909B"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PDC/STG</w:t>
            </w:r>
          </w:p>
        </w:tc>
        <w:tc>
          <w:tcPr>
            <w:tcW w:w="745" w:type="pct"/>
            <w:vAlign w:val="center"/>
          </w:tcPr>
          <w:p w14:paraId="24E28F88"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PDC:9cm; STG:11.3cm</w:t>
            </w:r>
          </w:p>
        </w:tc>
        <w:tc>
          <w:tcPr>
            <w:tcW w:w="1288" w:type="pct"/>
            <w:vAlign w:val="center"/>
          </w:tcPr>
          <w:p w14:paraId="22A92C99" w14:textId="77777777" w:rsidR="004C2FE3" w:rsidRDefault="004C2FE3" w:rsidP="00C32DD2">
            <w:pPr>
              <w:spacing w:after="0" w:line="240" w:lineRule="auto"/>
              <w:rPr>
                <w:rFonts w:ascii="Calibri" w:hAnsi="Calibri" w:cs="Calibri"/>
                <w:color w:val="000000" w:themeColor="text1"/>
                <w:sz w:val="18"/>
                <w:szCs w:val="18"/>
              </w:rPr>
            </w:pPr>
            <w:proofErr w:type="spellStart"/>
            <w:r>
              <w:rPr>
                <w:rFonts w:ascii="Calibri" w:eastAsia="Segoe UI" w:hAnsi="Calibri" w:cs="Calibri"/>
                <w:color w:val="404040"/>
                <w:kern w:val="0"/>
                <w:sz w:val="15"/>
                <w:szCs w:val="15"/>
                <w:lang w:val="en-US" w:eastAsia="zh-CN" w:bidi="ar"/>
              </w:rPr>
              <w:t>Suprafascial</w:t>
            </w:r>
            <w:proofErr w:type="spellEnd"/>
            <w:r>
              <w:rPr>
                <w:rFonts w:ascii="Calibri" w:eastAsia="Segoe UI" w:hAnsi="Calibri" w:cs="Calibri"/>
                <w:color w:val="404040"/>
                <w:kern w:val="0"/>
                <w:sz w:val="15"/>
                <w:szCs w:val="15"/>
                <w:lang w:val="en-US" w:eastAsia="zh-CN" w:bidi="ar"/>
              </w:rPr>
              <w:t xml:space="preserve"> ALT</w:t>
            </w:r>
          </w:p>
        </w:tc>
        <w:tc>
          <w:tcPr>
            <w:tcW w:w="1213" w:type="pct"/>
            <w:vAlign w:val="center"/>
          </w:tcPr>
          <w:p w14:paraId="4F20BB67"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24.8 months</w:t>
            </w:r>
          </w:p>
        </w:tc>
      </w:tr>
      <w:tr w:rsidR="004C2FE3" w14:paraId="19AD92B3" w14:textId="77777777" w:rsidTr="004C2FE3">
        <w:tc>
          <w:tcPr>
            <w:tcW w:w="1165" w:type="pct"/>
            <w:vAlign w:val="center"/>
          </w:tcPr>
          <w:p w14:paraId="78FA765E"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Ross et al 2003</w:t>
            </w:r>
          </w:p>
        </w:tc>
        <w:tc>
          <w:tcPr>
            <w:tcW w:w="589" w:type="pct"/>
            <w:vAlign w:val="center"/>
          </w:tcPr>
          <w:p w14:paraId="3B9BE704"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PDC/STG</w:t>
            </w:r>
          </w:p>
        </w:tc>
        <w:tc>
          <w:tcPr>
            <w:tcW w:w="745" w:type="pct"/>
            <w:vAlign w:val="center"/>
          </w:tcPr>
          <w:p w14:paraId="66FA4976"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N/A</w:t>
            </w:r>
          </w:p>
        </w:tc>
        <w:tc>
          <w:tcPr>
            <w:tcW w:w="1288" w:type="pct"/>
            <w:vAlign w:val="center"/>
          </w:tcPr>
          <w:p w14:paraId="2AE118DF"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Standard/thinned/composite ALT</w:t>
            </w:r>
          </w:p>
        </w:tc>
        <w:tc>
          <w:tcPr>
            <w:tcW w:w="1213" w:type="pct"/>
            <w:vAlign w:val="center"/>
          </w:tcPr>
          <w:p w14:paraId="1883F729"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7 months</w:t>
            </w:r>
          </w:p>
        </w:tc>
      </w:tr>
      <w:tr w:rsidR="004C2FE3" w14:paraId="2623DB22" w14:textId="77777777" w:rsidTr="004C2FE3">
        <w:tc>
          <w:tcPr>
            <w:tcW w:w="1165" w:type="pct"/>
            <w:vAlign w:val="center"/>
          </w:tcPr>
          <w:p w14:paraId="32E19659"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Schipper et al 2006</w:t>
            </w:r>
          </w:p>
        </w:tc>
        <w:tc>
          <w:tcPr>
            <w:tcW w:w="589" w:type="pct"/>
            <w:vAlign w:val="center"/>
          </w:tcPr>
          <w:p w14:paraId="1351AC73"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Primary closure</w:t>
            </w:r>
          </w:p>
        </w:tc>
        <w:tc>
          <w:tcPr>
            <w:tcW w:w="745" w:type="pct"/>
            <w:vAlign w:val="center"/>
          </w:tcPr>
          <w:p w14:paraId="3F5182A2"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8-10cm (W)</w:t>
            </w:r>
          </w:p>
        </w:tc>
        <w:tc>
          <w:tcPr>
            <w:tcW w:w="1288" w:type="pct"/>
            <w:vAlign w:val="center"/>
          </w:tcPr>
          <w:p w14:paraId="350D45F0" w14:textId="77777777" w:rsidR="004C2FE3" w:rsidRDefault="004C2FE3" w:rsidP="00C32DD2">
            <w:pPr>
              <w:spacing w:after="0" w:line="240" w:lineRule="auto"/>
              <w:rPr>
                <w:rFonts w:ascii="Calibri" w:hAnsi="Calibri" w:cs="Calibri"/>
                <w:color w:val="000000" w:themeColor="text1"/>
                <w:sz w:val="18"/>
                <w:szCs w:val="18"/>
              </w:rPr>
            </w:pPr>
            <w:proofErr w:type="spellStart"/>
            <w:r>
              <w:rPr>
                <w:rFonts w:ascii="Calibri" w:eastAsia="Segoe UI" w:hAnsi="Calibri" w:cs="Calibri"/>
                <w:color w:val="404040"/>
                <w:kern w:val="0"/>
                <w:sz w:val="15"/>
                <w:szCs w:val="15"/>
                <w:lang w:val="en-US" w:eastAsia="zh-CN" w:bidi="ar"/>
              </w:rPr>
              <w:t>Myocutaneous</w:t>
            </w:r>
            <w:proofErr w:type="spellEnd"/>
            <w:r>
              <w:rPr>
                <w:rFonts w:ascii="Calibri" w:eastAsia="Segoe UI" w:hAnsi="Calibri" w:cs="Calibri"/>
                <w:color w:val="404040"/>
                <w:kern w:val="0"/>
                <w:sz w:val="15"/>
                <w:szCs w:val="15"/>
                <w:lang w:val="en-US" w:eastAsia="zh-CN" w:bidi="ar"/>
              </w:rPr>
              <w:t xml:space="preserve"> vastus lateralis</w:t>
            </w:r>
          </w:p>
        </w:tc>
        <w:tc>
          <w:tcPr>
            <w:tcW w:w="1213" w:type="pct"/>
            <w:vAlign w:val="center"/>
          </w:tcPr>
          <w:p w14:paraId="5940CDCB"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Up to 48 months</w:t>
            </w:r>
          </w:p>
        </w:tc>
      </w:tr>
      <w:tr w:rsidR="004C2FE3" w14:paraId="29FA7FBE" w14:textId="77777777" w:rsidTr="004C2FE3">
        <w:tc>
          <w:tcPr>
            <w:tcW w:w="1165" w:type="pct"/>
            <w:vAlign w:val="center"/>
          </w:tcPr>
          <w:p w14:paraId="489A80E4"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Amin et al 2006</w:t>
            </w:r>
          </w:p>
        </w:tc>
        <w:tc>
          <w:tcPr>
            <w:tcW w:w="589" w:type="pct"/>
            <w:vAlign w:val="center"/>
          </w:tcPr>
          <w:p w14:paraId="6A4F86FD"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 (n=13), STG (n=5)</w:t>
            </w:r>
          </w:p>
        </w:tc>
        <w:tc>
          <w:tcPr>
            <w:tcW w:w="745" w:type="pct"/>
            <w:vAlign w:val="center"/>
          </w:tcPr>
          <w:p w14:paraId="07FA81CA"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10-23cm (L), 6-12cm (W)</w:t>
            </w:r>
          </w:p>
        </w:tc>
        <w:tc>
          <w:tcPr>
            <w:tcW w:w="1288" w:type="pct"/>
            <w:vAlign w:val="center"/>
          </w:tcPr>
          <w:p w14:paraId="3051C8BF" w14:textId="77777777" w:rsidR="004C2FE3" w:rsidRDefault="004C2FE3" w:rsidP="00C32DD2">
            <w:pPr>
              <w:spacing w:after="0" w:line="240" w:lineRule="auto"/>
              <w:rPr>
                <w:rFonts w:ascii="Calibri" w:hAnsi="Calibri" w:cs="Calibri"/>
                <w:color w:val="000000" w:themeColor="text1"/>
                <w:sz w:val="18"/>
                <w:szCs w:val="18"/>
              </w:rPr>
            </w:pPr>
            <w:proofErr w:type="spellStart"/>
            <w:r>
              <w:rPr>
                <w:rFonts w:ascii="Calibri" w:eastAsia="Segoe UI" w:hAnsi="Calibri" w:cs="Calibri"/>
                <w:color w:val="404040"/>
                <w:kern w:val="0"/>
                <w:sz w:val="15"/>
                <w:szCs w:val="15"/>
                <w:lang w:val="en-US" w:eastAsia="zh-CN" w:bidi="ar"/>
              </w:rPr>
              <w:t>Myocutaneous</w:t>
            </w:r>
            <w:proofErr w:type="spellEnd"/>
            <w:r>
              <w:rPr>
                <w:rFonts w:ascii="Calibri" w:eastAsia="Segoe UI" w:hAnsi="Calibri" w:cs="Calibri"/>
                <w:color w:val="404040"/>
                <w:kern w:val="0"/>
                <w:sz w:val="15"/>
                <w:szCs w:val="15"/>
                <w:lang w:val="en-US" w:eastAsia="zh-CN" w:bidi="ar"/>
              </w:rPr>
              <w:t>/</w:t>
            </w:r>
            <w:proofErr w:type="spellStart"/>
            <w:r>
              <w:rPr>
                <w:rFonts w:ascii="Calibri" w:eastAsia="Segoe UI" w:hAnsi="Calibri" w:cs="Calibri"/>
                <w:color w:val="404040"/>
                <w:kern w:val="0"/>
                <w:sz w:val="15"/>
                <w:szCs w:val="15"/>
                <w:lang w:val="en-US" w:eastAsia="zh-CN" w:bidi="ar"/>
              </w:rPr>
              <w:t>fasciocutaneous</w:t>
            </w:r>
            <w:proofErr w:type="spellEnd"/>
            <w:r>
              <w:rPr>
                <w:rFonts w:ascii="Calibri" w:eastAsia="Segoe UI" w:hAnsi="Calibri" w:cs="Calibri"/>
                <w:color w:val="404040"/>
                <w:kern w:val="0"/>
                <w:sz w:val="15"/>
                <w:szCs w:val="15"/>
                <w:lang w:val="en-US" w:eastAsia="zh-CN" w:bidi="ar"/>
              </w:rPr>
              <w:t xml:space="preserve"> ALT</w:t>
            </w:r>
          </w:p>
        </w:tc>
        <w:tc>
          <w:tcPr>
            <w:tcW w:w="1213" w:type="pct"/>
            <w:vAlign w:val="center"/>
          </w:tcPr>
          <w:p w14:paraId="4C8F213A"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6-36 months</w:t>
            </w:r>
          </w:p>
        </w:tc>
      </w:tr>
      <w:tr w:rsidR="004C2FE3" w14:paraId="33EECD2A" w14:textId="77777777" w:rsidTr="004C2FE3">
        <w:tc>
          <w:tcPr>
            <w:tcW w:w="1165" w:type="pct"/>
            <w:vAlign w:val="center"/>
          </w:tcPr>
          <w:p w14:paraId="0A03756B"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Black et al 2020</w:t>
            </w:r>
          </w:p>
        </w:tc>
        <w:tc>
          <w:tcPr>
            <w:tcW w:w="589" w:type="pct"/>
            <w:vAlign w:val="center"/>
          </w:tcPr>
          <w:p w14:paraId="41BC31BC"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PDC/STG</w:t>
            </w:r>
          </w:p>
        </w:tc>
        <w:tc>
          <w:tcPr>
            <w:tcW w:w="745" w:type="pct"/>
            <w:vAlign w:val="center"/>
          </w:tcPr>
          <w:p w14:paraId="6BCCC50C"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N/A</w:t>
            </w:r>
          </w:p>
        </w:tc>
        <w:tc>
          <w:tcPr>
            <w:tcW w:w="1288" w:type="pct"/>
            <w:vAlign w:val="center"/>
          </w:tcPr>
          <w:p w14:paraId="29B04FB4" w14:textId="77777777" w:rsidR="004C2FE3" w:rsidRDefault="004C2FE3" w:rsidP="00C32DD2">
            <w:pPr>
              <w:spacing w:after="0" w:line="240" w:lineRule="auto"/>
              <w:rPr>
                <w:rFonts w:ascii="Calibri" w:hAnsi="Calibri" w:cs="Calibri"/>
                <w:color w:val="000000" w:themeColor="text1"/>
                <w:sz w:val="18"/>
                <w:szCs w:val="18"/>
              </w:rPr>
            </w:pPr>
            <w:proofErr w:type="spellStart"/>
            <w:r>
              <w:rPr>
                <w:rFonts w:ascii="Calibri" w:eastAsia="Segoe UI" w:hAnsi="Calibri" w:cs="Calibri"/>
                <w:color w:val="404040"/>
                <w:kern w:val="0"/>
                <w:sz w:val="15"/>
                <w:szCs w:val="15"/>
                <w:lang w:val="en-US" w:eastAsia="zh-CN" w:bidi="ar"/>
              </w:rPr>
              <w:t>Fasciocutaneous</w:t>
            </w:r>
            <w:proofErr w:type="spellEnd"/>
            <w:r>
              <w:rPr>
                <w:rFonts w:ascii="Calibri" w:eastAsia="Segoe UI" w:hAnsi="Calibri" w:cs="Calibri"/>
                <w:color w:val="404040"/>
                <w:kern w:val="0"/>
                <w:sz w:val="15"/>
                <w:szCs w:val="15"/>
                <w:lang w:val="en-US" w:eastAsia="zh-CN" w:bidi="ar"/>
              </w:rPr>
              <w:t xml:space="preserve"> ALT</w:t>
            </w:r>
          </w:p>
        </w:tc>
        <w:tc>
          <w:tcPr>
            <w:tcW w:w="1213" w:type="pct"/>
            <w:vAlign w:val="center"/>
          </w:tcPr>
          <w:p w14:paraId="6BEE66E8"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ALT:12.8mo, VL:10.2mo</w:t>
            </w:r>
          </w:p>
        </w:tc>
      </w:tr>
      <w:tr w:rsidR="004C2FE3" w14:paraId="50D50B76" w14:textId="77777777" w:rsidTr="004C2FE3">
        <w:tc>
          <w:tcPr>
            <w:tcW w:w="1165" w:type="pct"/>
            <w:vAlign w:val="center"/>
          </w:tcPr>
          <w:p w14:paraId="6B4199E6"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Boca et al 2010</w:t>
            </w:r>
          </w:p>
        </w:tc>
        <w:tc>
          <w:tcPr>
            <w:tcW w:w="589" w:type="pct"/>
            <w:vAlign w:val="center"/>
          </w:tcPr>
          <w:p w14:paraId="4EB9FDFF"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PDC/STG</w:t>
            </w:r>
          </w:p>
        </w:tc>
        <w:tc>
          <w:tcPr>
            <w:tcW w:w="745" w:type="pct"/>
            <w:vAlign w:val="center"/>
          </w:tcPr>
          <w:p w14:paraId="5051F9A0"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Group A:7cm (4-10cm); Group B:6.5cm</w:t>
            </w:r>
          </w:p>
        </w:tc>
        <w:tc>
          <w:tcPr>
            <w:tcW w:w="1288" w:type="pct"/>
            <w:vAlign w:val="center"/>
          </w:tcPr>
          <w:p w14:paraId="73E24EBB" w14:textId="77777777" w:rsidR="004C2FE3" w:rsidRDefault="004C2FE3" w:rsidP="00C32DD2">
            <w:pPr>
              <w:spacing w:after="0" w:line="240" w:lineRule="auto"/>
              <w:rPr>
                <w:rFonts w:ascii="Calibri" w:hAnsi="Calibri" w:cs="Calibri"/>
                <w:color w:val="000000" w:themeColor="text1"/>
                <w:sz w:val="18"/>
                <w:szCs w:val="18"/>
              </w:rPr>
            </w:pPr>
            <w:proofErr w:type="spellStart"/>
            <w:r>
              <w:rPr>
                <w:rFonts w:ascii="Calibri" w:eastAsia="Segoe UI" w:hAnsi="Calibri" w:cs="Calibri"/>
                <w:color w:val="404040"/>
                <w:kern w:val="0"/>
                <w:sz w:val="15"/>
                <w:szCs w:val="15"/>
                <w:lang w:val="en-US" w:eastAsia="zh-CN" w:bidi="ar"/>
              </w:rPr>
              <w:t>Fasciocutaneous</w:t>
            </w:r>
            <w:proofErr w:type="spellEnd"/>
            <w:r>
              <w:rPr>
                <w:rFonts w:ascii="Calibri" w:eastAsia="Segoe UI" w:hAnsi="Calibri" w:cs="Calibri"/>
                <w:color w:val="404040"/>
                <w:kern w:val="0"/>
                <w:sz w:val="15"/>
                <w:szCs w:val="15"/>
                <w:lang w:val="en-US" w:eastAsia="zh-CN" w:bidi="ar"/>
              </w:rPr>
              <w:t xml:space="preserve"> ALT</w:t>
            </w:r>
          </w:p>
        </w:tc>
        <w:tc>
          <w:tcPr>
            <w:tcW w:w="1213" w:type="pct"/>
            <w:vAlign w:val="center"/>
          </w:tcPr>
          <w:p w14:paraId="4BF35372"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9.5 months</w:t>
            </w:r>
          </w:p>
        </w:tc>
      </w:tr>
      <w:tr w:rsidR="004C2FE3" w14:paraId="52D2CE39" w14:textId="77777777" w:rsidTr="004C2FE3">
        <w:tc>
          <w:tcPr>
            <w:tcW w:w="1165" w:type="pct"/>
            <w:vAlign w:val="center"/>
          </w:tcPr>
          <w:p w14:paraId="18259FE9"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Camaioni et al 2008</w:t>
            </w:r>
          </w:p>
        </w:tc>
        <w:tc>
          <w:tcPr>
            <w:tcW w:w="589" w:type="pct"/>
            <w:vAlign w:val="center"/>
          </w:tcPr>
          <w:p w14:paraId="767472A7"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 (n=30), STG (n=1)</w:t>
            </w:r>
          </w:p>
        </w:tc>
        <w:tc>
          <w:tcPr>
            <w:tcW w:w="745" w:type="pct"/>
            <w:vAlign w:val="center"/>
          </w:tcPr>
          <w:p w14:paraId="6C5F55AB"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Mean:67.5 cm²</w:t>
            </w:r>
          </w:p>
        </w:tc>
        <w:tc>
          <w:tcPr>
            <w:tcW w:w="1288" w:type="pct"/>
            <w:vAlign w:val="center"/>
          </w:tcPr>
          <w:p w14:paraId="20667BA2"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Thin ALT flaps</w:t>
            </w:r>
          </w:p>
        </w:tc>
        <w:tc>
          <w:tcPr>
            <w:tcW w:w="1213" w:type="pct"/>
            <w:vAlign w:val="center"/>
          </w:tcPr>
          <w:p w14:paraId="16A1A8BB"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16.2 months</w:t>
            </w:r>
          </w:p>
        </w:tc>
      </w:tr>
      <w:tr w:rsidR="004C2FE3" w14:paraId="4C3CFFCD" w14:textId="77777777" w:rsidTr="004C2FE3">
        <w:tc>
          <w:tcPr>
            <w:tcW w:w="1165" w:type="pct"/>
            <w:vAlign w:val="center"/>
          </w:tcPr>
          <w:p w14:paraId="7C3E34B3"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Cao et al 2009</w:t>
            </w:r>
          </w:p>
        </w:tc>
        <w:tc>
          <w:tcPr>
            <w:tcW w:w="589" w:type="pct"/>
            <w:vAlign w:val="center"/>
          </w:tcPr>
          <w:p w14:paraId="7978A89E"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w:t>
            </w:r>
          </w:p>
        </w:tc>
        <w:tc>
          <w:tcPr>
            <w:tcW w:w="745" w:type="pct"/>
            <w:vAlign w:val="center"/>
          </w:tcPr>
          <w:p w14:paraId="24E99D53"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179.7 ±44.0 cm²</w:t>
            </w:r>
          </w:p>
        </w:tc>
        <w:tc>
          <w:tcPr>
            <w:tcW w:w="1288" w:type="pct"/>
            <w:vAlign w:val="center"/>
          </w:tcPr>
          <w:p w14:paraId="31455098"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Free ALT flap</w:t>
            </w:r>
          </w:p>
        </w:tc>
        <w:tc>
          <w:tcPr>
            <w:tcW w:w="1213" w:type="pct"/>
            <w:vAlign w:val="center"/>
          </w:tcPr>
          <w:p w14:paraId="4B31B015"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12 months</w:t>
            </w:r>
          </w:p>
        </w:tc>
      </w:tr>
      <w:tr w:rsidR="004C2FE3" w14:paraId="795B8CA2" w14:textId="77777777" w:rsidTr="004C2FE3">
        <w:tc>
          <w:tcPr>
            <w:tcW w:w="1165" w:type="pct"/>
            <w:vAlign w:val="center"/>
          </w:tcPr>
          <w:p w14:paraId="5B2E4412"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Chan et al 2003</w:t>
            </w:r>
          </w:p>
        </w:tc>
        <w:tc>
          <w:tcPr>
            <w:tcW w:w="589" w:type="pct"/>
            <w:vAlign w:val="center"/>
          </w:tcPr>
          <w:p w14:paraId="18F65643"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w:t>
            </w:r>
          </w:p>
        </w:tc>
        <w:tc>
          <w:tcPr>
            <w:tcW w:w="745" w:type="pct"/>
            <w:vAlign w:val="center"/>
          </w:tcPr>
          <w:p w14:paraId="3D57F526"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N/A</w:t>
            </w:r>
          </w:p>
        </w:tc>
        <w:tc>
          <w:tcPr>
            <w:tcW w:w="1288" w:type="pct"/>
            <w:vAlign w:val="center"/>
          </w:tcPr>
          <w:p w14:paraId="72647E1B"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Free vastus lateralis</w:t>
            </w:r>
          </w:p>
        </w:tc>
        <w:tc>
          <w:tcPr>
            <w:tcW w:w="1213" w:type="pct"/>
            <w:vAlign w:val="center"/>
          </w:tcPr>
          <w:p w14:paraId="1446C0B5"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10 months</w:t>
            </w:r>
          </w:p>
        </w:tc>
      </w:tr>
      <w:tr w:rsidR="004C2FE3" w14:paraId="1FE94B6B" w14:textId="77777777" w:rsidTr="004C2FE3">
        <w:tc>
          <w:tcPr>
            <w:tcW w:w="1165" w:type="pct"/>
            <w:vAlign w:val="center"/>
          </w:tcPr>
          <w:p w14:paraId="482F1B7C"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Gu et al 2020</w:t>
            </w:r>
          </w:p>
        </w:tc>
        <w:tc>
          <w:tcPr>
            <w:tcW w:w="589" w:type="pct"/>
            <w:vAlign w:val="center"/>
          </w:tcPr>
          <w:p w14:paraId="523E4ED2"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PDC/STG</w:t>
            </w:r>
          </w:p>
        </w:tc>
        <w:tc>
          <w:tcPr>
            <w:tcW w:w="745" w:type="pct"/>
            <w:vAlign w:val="center"/>
          </w:tcPr>
          <w:p w14:paraId="3B62A1E9"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MDC:20.1±7.7cm²; SG:20.2±9.4cm²</w:t>
            </w:r>
          </w:p>
        </w:tc>
        <w:tc>
          <w:tcPr>
            <w:tcW w:w="1288" w:type="pct"/>
            <w:vAlign w:val="center"/>
          </w:tcPr>
          <w:p w14:paraId="51EA3665"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ALT flap</w:t>
            </w:r>
          </w:p>
        </w:tc>
        <w:tc>
          <w:tcPr>
            <w:tcW w:w="1213" w:type="pct"/>
            <w:vAlign w:val="center"/>
          </w:tcPr>
          <w:p w14:paraId="213596DC"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16.4 months</w:t>
            </w:r>
          </w:p>
        </w:tc>
      </w:tr>
      <w:tr w:rsidR="004C2FE3" w14:paraId="4C05B954" w14:textId="77777777" w:rsidTr="004C2FE3">
        <w:tc>
          <w:tcPr>
            <w:tcW w:w="1165" w:type="pct"/>
            <w:vAlign w:val="center"/>
          </w:tcPr>
          <w:p w14:paraId="53FF0503"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He et al 2022</w:t>
            </w:r>
          </w:p>
        </w:tc>
        <w:tc>
          <w:tcPr>
            <w:tcW w:w="589" w:type="pct"/>
            <w:vAlign w:val="center"/>
          </w:tcPr>
          <w:p w14:paraId="79702651"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w:t>
            </w:r>
          </w:p>
        </w:tc>
        <w:tc>
          <w:tcPr>
            <w:tcW w:w="745" w:type="pct"/>
            <w:vAlign w:val="center"/>
          </w:tcPr>
          <w:p w14:paraId="5E7AF6A6"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440.3 ±96.2 cm²</w:t>
            </w:r>
          </w:p>
        </w:tc>
        <w:tc>
          <w:tcPr>
            <w:tcW w:w="1288" w:type="pct"/>
            <w:vAlign w:val="center"/>
          </w:tcPr>
          <w:p w14:paraId="2E55167F"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Bilateral ALT perforator flaps</w:t>
            </w:r>
          </w:p>
        </w:tc>
        <w:tc>
          <w:tcPr>
            <w:tcW w:w="1213" w:type="pct"/>
            <w:vAlign w:val="center"/>
          </w:tcPr>
          <w:p w14:paraId="114CD7F6"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18.8 ±11.2 months</w:t>
            </w:r>
          </w:p>
        </w:tc>
      </w:tr>
      <w:tr w:rsidR="004C2FE3" w14:paraId="25CF6C25" w14:textId="77777777" w:rsidTr="004C2FE3">
        <w:tc>
          <w:tcPr>
            <w:tcW w:w="1165" w:type="pct"/>
            <w:vAlign w:val="center"/>
          </w:tcPr>
          <w:p w14:paraId="12A3B7DD"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Hanasono et al 2010</w:t>
            </w:r>
          </w:p>
        </w:tc>
        <w:tc>
          <w:tcPr>
            <w:tcW w:w="589" w:type="pct"/>
            <w:vAlign w:val="center"/>
          </w:tcPr>
          <w:p w14:paraId="2DD165CA"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PDC/STG</w:t>
            </w:r>
          </w:p>
        </w:tc>
        <w:tc>
          <w:tcPr>
            <w:tcW w:w="745" w:type="pct"/>
            <w:vAlign w:val="center"/>
          </w:tcPr>
          <w:p w14:paraId="553ABB51"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7.8±1.8cm (W), 19.2±5.9cm (L)</w:t>
            </w:r>
          </w:p>
        </w:tc>
        <w:tc>
          <w:tcPr>
            <w:tcW w:w="1288" w:type="pct"/>
            <w:vAlign w:val="center"/>
          </w:tcPr>
          <w:p w14:paraId="4930F076"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ALT free flap</w:t>
            </w:r>
          </w:p>
        </w:tc>
        <w:tc>
          <w:tcPr>
            <w:tcW w:w="1213" w:type="pct"/>
            <w:vAlign w:val="center"/>
          </w:tcPr>
          <w:p w14:paraId="7585B721"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16.6 ±8.0 months</w:t>
            </w:r>
          </w:p>
        </w:tc>
      </w:tr>
      <w:tr w:rsidR="004C2FE3" w14:paraId="398542DA" w14:textId="77777777" w:rsidTr="004C2FE3">
        <w:tc>
          <w:tcPr>
            <w:tcW w:w="1165" w:type="pct"/>
            <w:vAlign w:val="center"/>
          </w:tcPr>
          <w:p w14:paraId="2174845C"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Hallock et al 2013</w:t>
            </w:r>
          </w:p>
        </w:tc>
        <w:tc>
          <w:tcPr>
            <w:tcW w:w="589" w:type="pct"/>
            <w:vAlign w:val="center"/>
          </w:tcPr>
          <w:p w14:paraId="0E068AC0"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PDC/STG</w:t>
            </w:r>
          </w:p>
        </w:tc>
        <w:tc>
          <w:tcPr>
            <w:tcW w:w="745" w:type="pct"/>
            <w:vAlign w:val="center"/>
          </w:tcPr>
          <w:p w14:paraId="2C05AC9C"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12.2±4.3cm (W)</w:t>
            </w:r>
          </w:p>
        </w:tc>
        <w:tc>
          <w:tcPr>
            <w:tcW w:w="1288" w:type="pct"/>
            <w:vAlign w:val="center"/>
          </w:tcPr>
          <w:p w14:paraId="70BBB3BC"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ALT perforator flap</w:t>
            </w:r>
          </w:p>
        </w:tc>
        <w:tc>
          <w:tcPr>
            <w:tcW w:w="1213" w:type="pct"/>
            <w:vAlign w:val="center"/>
          </w:tcPr>
          <w:p w14:paraId="6BEB360B" w14:textId="77777777" w:rsidR="004C2FE3" w:rsidRDefault="004C2FE3" w:rsidP="00C32DD2">
            <w:pPr>
              <w:spacing w:after="0" w:line="240" w:lineRule="auto"/>
              <w:rPr>
                <w:rFonts w:ascii="Calibri" w:hAnsi="Calibri" w:cs="Calibri"/>
                <w:color w:val="000000" w:themeColor="text1"/>
                <w:sz w:val="18"/>
                <w:szCs w:val="18"/>
              </w:rPr>
            </w:pPr>
            <w:r>
              <w:rPr>
                <w:rFonts w:ascii="Calibri" w:eastAsia="Segoe UI" w:hAnsi="Calibri" w:cs="Calibri"/>
                <w:color w:val="404040"/>
                <w:kern w:val="0"/>
                <w:sz w:val="15"/>
                <w:szCs w:val="15"/>
                <w:lang w:val="en-US" w:eastAsia="zh-CN" w:bidi="ar"/>
              </w:rPr>
              <w:t>34.0 months</w:t>
            </w:r>
          </w:p>
        </w:tc>
      </w:tr>
      <w:tr w:rsidR="004C2FE3" w14:paraId="482259A6" w14:textId="77777777" w:rsidTr="004C2FE3">
        <w:tc>
          <w:tcPr>
            <w:tcW w:w="1165" w:type="pct"/>
            <w:vAlign w:val="center"/>
          </w:tcPr>
          <w:p w14:paraId="48626C9A"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Genden et al 2005</w:t>
            </w:r>
          </w:p>
        </w:tc>
        <w:tc>
          <w:tcPr>
            <w:tcW w:w="589" w:type="pct"/>
            <w:vAlign w:val="center"/>
          </w:tcPr>
          <w:p w14:paraId="02ED2DC2"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PDC</w:t>
            </w:r>
          </w:p>
        </w:tc>
        <w:tc>
          <w:tcPr>
            <w:tcW w:w="745" w:type="pct"/>
            <w:vAlign w:val="center"/>
          </w:tcPr>
          <w:p w14:paraId="60012ED6"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c>
          <w:tcPr>
            <w:tcW w:w="1288" w:type="pct"/>
            <w:vAlign w:val="center"/>
          </w:tcPr>
          <w:p w14:paraId="286EACE6"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ALT flap</w:t>
            </w:r>
          </w:p>
        </w:tc>
        <w:tc>
          <w:tcPr>
            <w:tcW w:w="1213" w:type="pct"/>
            <w:vAlign w:val="center"/>
          </w:tcPr>
          <w:p w14:paraId="38EBC647"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N/A</w:t>
            </w:r>
          </w:p>
        </w:tc>
      </w:tr>
      <w:tr w:rsidR="004C2FE3" w14:paraId="4E5905FF" w14:textId="77777777" w:rsidTr="004C2FE3">
        <w:tc>
          <w:tcPr>
            <w:tcW w:w="1165" w:type="pct"/>
            <w:vAlign w:val="center"/>
          </w:tcPr>
          <w:p w14:paraId="68D6168F"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Hung et al 2019</w:t>
            </w:r>
          </w:p>
        </w:tc>
        <w:tc>
          <w:tcPr>
            <w:tcW w:w="589" w:type="pct"/>
            <w:vAlign w:val="center"/>
          </w:tcPr>
          <w:p w14:paraId="782C634F"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PDC/STG</w:t>
            </w:r>
          </w:p>
        </w:tc>
        <w:tc>
          <w:tcPr>
            <w:tcW w:w="745" w:type="pct"/>
            <w:vAlign w:val="center"/>
          </w:tcPr>
          <w:p w14:paraId="59EAB519"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130 cm², 8.1cm (W)</w:t>
            </w:r>
          </w:p>
        </w:tc>
        <w:tc>
          <w:tcPr>
            <w:tcW w:w="1288" w:type="pct"/>
            <w:vAlign w:val="center"/>
          </w:tcPr>
          <w:p w14:paraId="1C327366"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ALT flap</w:t>
            </w:r>
          </w:p>
        </w:tc>
        <w:tc>
          <w:tcPr>
            <w:tcW w:w="1213" w:type="pct"/>
            <w:vAlign w:val="center"/>
          </w:tcPr>
          <w:p w14:paraId="5681D86F" w14:textId="77777777" w:rsidR="004C2FE3" w:rsidRDefault="004C2FE3" w:rsidP="00C32DD2">
            <w:pPr>
              <w:spacing w:after="0" w:line="240" w:lineRule="auto"/>
              <w:rPr>
                <w:rFonts w:ascii="Calibri" w:eastAsia="Segoe UI" w:hAnsi="Calibri" w:cs="Calibri"/>
                <w:color w:val="404040"/>
                <w:sz w:val="15"/>
                <w:szCs w:val="15"/>
                <w:lang w:eastAsia="zh-CN" w:bidi="ar"/>
              </w:rPr>
            </w:pPr>
            <w:r>
              <w:rPr>
                <w:rFonts w:ascii="Calibri" w:eastAsia="Segoe UI" w:hAnsi="Calibri" w:cs="Calibri"/>
                <w:color w:val="404040"/>
                <w:kern w:val="0"/>
                <w:sz w:val="15"/>
                <w:szCs w:val="15"/>
                <w:lang w:val="en-US" w:eastAsia="zh-CN" w:bidi="ar"/>
              </w:rPr>
              <w:t>23.5 days</w:t>
            </w:r>
          </w:p>
        </w:tc>
      </w:tr>
    </w:tbl>
    <w:p w14:paraId="5801A51B" w14:textId="77777777" w:rsidR="004C2FE3" w:rsidRDefault="004C2FE3" w:rsidP="004C2FE3">
      <w:pPr>
        <w:pStyle w:val="NormalWeb"/>
        <w:spacing w:beforeAutospacing="0" w:afterAutospacing="0"/>
        <w:rPr>
          <w:rFonts w:ascii="Calibri" w:hAnsi="Calibri" w:cs="Calibri"/>
        </w:rPr>
      </w:pPr>
      <w:r>
        <w:rPr>
          <w:rFonts w:ascii="Calibri" w:hAnsi="Calibri" w:cs="Calibri"/>
        </w:rPr>
        <w:lastRenderedPageBreak/>
        <w:t>Across the included studies, the most common reconstructive approach was the use of free or pedicled anterolateral thigh (ALT) flaps, implemented in all 32 studies. Donor site management strategies varied based on defect size and institutional preference. Primary donor site closure (PDC) was the predominant method, employed either alone or in conjunction with split-thickness skin grafts (STG). Specifically, at least 13 studies utilized a combination of PDC and STG, while others used PDC alone (e.g., Cao et al. 2009, De Vicente et al. 2008). Only a minority of studies—such as Schmidt et al. (1997)—relied solely on skin grafts.</w:t>
      </w:r>
    </w:p>
    <w:p w14:paraId="5227EE8D" w14:textId="77777777" w:rsidR="004C2FE3" w:rsidRDefault="004C2FE3" w:rsidP="004C2FE3">
      <w:pPr>
        <w:pStyle w:val="NormalWeb"/>
        <w:spacing w:beforeAutospacing="0" w:afterAutospacing="0"/>
        <w:rPr>
          <w:rFonts w:ascii="Calibri" w:hAnsi="Calibri" w:cs="Calibri"/>
        </w:rPr>
      </w:pPr>
      <w:r>
        <w:rPr>
          <w:rFonts w:ascii="Calibri" w:hAnsi="Calibri" w:cs="Calibri"/>
        </w:rPr>
        <w:t>Donor site dimensions, when reported, showed substantial variability. Widths ranged from as little as 4 cm to as wide as 18 cm (e.g., Özkan et al. 2005, Kimata 2000), while lengths extended from 6 cm to as much as 33 cm (Kuo et al. 2002). Total surface areas ranged from smaller defects averaging 20–70 cm² (e.g., Gu et al. 2020, Camaioni et al. 2008) to extensive defects exceeding 400 cm² (He et al. 2022). Several studies (e.g., Lee et al. 2012, Lipa et al. 2005) tailored the closure method based on defect size, opting for PDC in defects ≤10 cm and STG in larger wounds.</w:t>
      </w:r>
    </w:p>
    <w:p w14:paraId="60F766B8" w14:textId="77777777" w:rsidR="004C2FE3" w:rsidRDefault="004C2FE3" w:rsidP="004C2FE3">
      <w:pPr>
        <w:pStyle w:val="NormalWeb"/>
        <w:spacing w:beforeAutospacing="0" w:afterAutospacing="0"/>
        <w:rPr>
          <w:rFonts w:ascii="Calibri" w:hAnsi="Calibri" w:cs="Calibri"/>
        </w:rPr>
      </w:pPr>
      <w:r>
        <w:rPr>
          <w:rFonts w:ascii="Calibri" w:hAnsi="Calibri" w:cs="Calibri"/>
        </w:rPr>
        <w:t xml:space="preserve">Flap types included standard </w:t>
      </w:r>
      <w:proofErr w:type="spellStart"/>
      <w:r>
        <w:rPr>
          <w:rFonts w:ascii="Calibri" w:hAnsi="Calibri" w:cs="Calibri"/>
        </w:rPr>
        <w:t>fasciocutaneous</w:t>
      </w:r>
      <w:proofErr w:type="spellEnd"/>
      <w:r>
        <w:rPr>
          <w:rFonts w:ascii="Calibri" w:hAnsi="Calibri" w:cs="Calibri"/>
        </w:rPr>
        <w:t xml:space="preserve"> ALT flaps, thinned or composite ALT flaps, and in some cases, specialized modifications such as vastus lateralis musculocutaneous (VL-MC) flaps (Lee et al. 2012) and chimera-type flaps (Posch et al. 2005). Follow-up durations were inconsistently reported but generally ranged between 6 and 18 months. The longest recorded follow-up was 48 months (Schipper et al. 2006), while the shortest was just over 23 days (Hung et al. 2019). Mean follow-up often fell around 12–17 months in most series with available data.</w:t>
      </w:r>
    </w:p>
    <w:p w14:paraId="2F87605D" w14:textId="77777777" w:rsidR="004C2FE3" w:rsidRDefault="004C2FE3" w:rsidP="00AA5490">
      <w:pPr>
        <w:rPr>
          <w:lang w:val="en-US"/>
        </w:rPr>
      </w:pPr>
    </w:p>
    <w:p w14:paraId="2FBF93A8" w14:textId="77777777" w:rsidR="008048DB" w:rsidRDefault="008048DB" w:rsidP="00AA5490">
      <w:pPr>
        <w:rPr>
          <w:lang w:val="en-US"/>
        </w:rPr>
      </w:pPr>
    </w:p>
    <w:p w14:paraId="335B9DA5" w14:textId="77777777" w:rsidR="008048DB" w:rsidRDefault="008048DB" w:rsidP="00AA5490">
      <w:pPr>
        <w:rPr>
          <w:lang w:val="en-US"/>
        </w:rPr>
      </w:pPr>
    </w:p>
    <w:p w14:paraId="18AEC5BD" w14:textId="4106E206" w:rsidR="008048DB" w:rsidRDefault="008048DB" w:rsidP="00AA5490">
      <w:pPr>
        <w:rPr>
          <w:lang w:val="en-US"/>
        </w:rPr>
      </w:pPr>
    </w:p>
    <w:p w14:paraId="7702034B" w14:textId="77777777" w:rsidR="008048DB" w:rsidRDefault="008048DB" w:rsidP="00AA5490">
      <w:pPr>
        <w:rPr>
          <w:lang w:val="en-US"/>
        </w:rPr>
      </w:pPr>
    </w:p>
    <w:p w14:paraId="33F9A638" w14:textId="77777777" w:rsidR="008048DB" w:rsidRDefault="008048DB" w:rsidP="00AA5490">
      <w:pPr>
        <w:rPr>
          <w:lang w:val="en-US"/>
        </w:rPr>
      </w:pPr>
    </w:p>
    <w:p w14:paraId="0DDF034C" w14:textId="77777777" w:rsidR="008048DB" w:rsidRDefault="008048DB" w:rsidP="00AA5490">
      <w:pPr>
        <w:rPr>
          <w:lang w:val="en-US"/>
        </w:rPr>
      </w:pPr>
    </w:p>
    <w:p w14:paraId="5978444C" w14:textId="77777777" w:rsidR="008048DB" w:rsidRDefault="008048DB" w:rsidP="00AA5490">
      <w:pPr>
        <w:rPr>
          <w:lang w:val="en-US"/>
        </w:rPr>
      </w:pPr>
    </w:p>
    <w:p w14:paraId="524AF28F" w14:textId="77777777" w:rsidR="008048DB" w:rsidRDefault="008048DB" w:rsidP="00AA5490">
      <w:pPr>
        <w:rPr>
          <w:lang w:val="en-US"/>
        </w:rPr>
      </w:pPr>
    </w:p>
    <w:p w14:paraId="0F2EC717" w14:textId="77777777" w:rsidR="008048DB" w:rsidRDefault="008048DB" w:rsidP="00AA5490">
      <w:pPr>
        <w:rPr>
          <w:lang w:val="en-US"/>
        </w:rPr>
      </w:pPr>
    </w:p>
    <w:p w14:paraId="42C031F7" w14:textId="77777777" w:rsidR="008048DB" w:rsidRDefault="008048DB" w:rsidP="00AA5490">
      <w:pPr>
        <w:rPr>
          <w:lang w:val="en-US"/>
        </w:rPr>
      </w:pPr>
    </w:p>
    <w:p w14:paraId="3F88F00E" w14:textId="77777777" w:rsidR="008048DB" w:rsidRDefault="008048DB" w:rsidP="00AA5490">
      <w:pPr>
        <w:rPr>
          <w:lang w:val="en-US"/>
        </w:rPr>
      </w:pPr>
    </w:p>
    <w:p w14:paraId="33F0E7C1" w14:textId="77777777" w:rsidR="008048DB" w:rsidRDefault="008048DB" w:rsidP="00AA5490">
      <w:pPr>
        <w:rPr>
          <w:lang w:val="en-US"/>
        </w:rPr>
      </w:pPr>
    </w:p>
    <w:p w14:paraId="246F7ECD" w14:textId="77777777" w:rsidR="008048DB" w:rsidRDefault="008048DB" w:rsidP="00AA5490">
      <w:pPr>
        <w:rPr>
          <w:lang w:val="en-US"/>
        </w:rPr>
      </w:pPr>
    </w:p>
    <w:p w14:paraId="5ED28A9D" w14:textId="00920B23" w:rsidR="008048DB" w:rsidRPr="00607F32" w:rsidRDefault="008048DB" w:rsidP="008048DB">
      <w:pPr>
        <w:rPr>
          <w:rFonts w:asciiTheme="majorBidi" w:hAnsiTheme="majorBidi" w:cstheme="majorBidi"/>
          <w:b/>
          <w:bCs/>
          <w:sz w:val="28"/>
          <w:szCs w:val="28"/>
          <w:lang w:val="en-US"/>
        </w:rPr>
      </w:pPr>
      <w:r w:rsidRPr="00607F32">
        <w:rPr>
          <w:rFonts w:asciiTheme="majorBidi" w:hAnsiTheme="majorBidi" w:cstheme="majorBidi"/>
          <w:b/>
          <w:bCs/>
          <w:sz w:val="28"/>
          <w:szCs w:val="28"/>
          <w:lang w:val="en-US"/>
        </w:rPr>
        <w:lastRenderedPageBreak/>
        <w:t>Table S</w:t>
      </w:r>
      <w:r w:rsidRPr="00607F32">
        <w:rPr>
          <w:rFonts w:asciiTheme="majorBidi" w:hAnsiTheme="majorBidi" w:cstheme="majorBidi"/>
          <w:b/>
          <w:bCs/>
          <w:sz w:val="28"/>
          <w:szCs w:val="28"/>
          <w:lang w:val="en-US"/>
        </w:rPr>
        <w:t>3</w:t>
      </w:r>
      <w:r w:rsidR="00AA5490" w:rsidRPr="00607F32">
        <w:rPr>
          <w:rFonts w:asciiTheme="majorBidi" w:hAnsiTheme="majorBidi" w:cstheme="majorBidi"/>
          <w:b/>
          <w:bCs/>
          <w:sz w:val="28"/>
          <w:szCs w:val="28"/>
          <w:lang w:val="en-US"/>
        </w:rPr>
        <w:t xml:space="preserve">: </w:t>
      </w:r>
      <w:r w:rsidRPr="00607F32">
        <w:rPr>
          <w:rFonts w:asciiTheme="majorBidi" w:hAnsiTheme="majorBidi" w:cstheme="majorBidi"/>
          <w:b/>
          <w:bCs/>
          <w:sz w:val="28"/>
          <w:szCs w:val="28"/>
          <w:lang w:val="en-US"/>
        </w:rPr>
        <w:t xml:space="preserve"> </w:t>
      </w:r>
      <w:r w:rsidRPr="00607F32">
        <w:rPr>
          <w:rFonts w:asciiTheme="majorBidi" w:hAnsiTheme="majorBidi" w:cstheme="majorBidi"/>
          <w:b/>
          <w:bCs/>
          <w:noProof/>
          <w:sz w:val="28"/>
          <w:szCs w:val="28"/>
        </w:rPr>
        <w:t>Quality assesment of cohort studies using JBI checklist</w:t>
      </w:r>
      <w:r w:rsidR="00607F32">
        <w:rPr>
          <w:rFonts w:asciiTheme="majorBidi" w:hAnsiTheme="majorBidi" w:cstheme="majorBidi"/>
          <w:b/>
          <w:bCs/>
          <w:noProof/>
          <w:sz w:val="28"/>
          <w:szCs w:val="2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3"/>
        <w:gridCol w:w="849"/>
        <w:gridCol w:w="849"/>
        <w:gridCol w:w="849"/>
        <w:gridCol w:w="461"/>
        <w:gridCol w:w="461"/>
        <w:gridCol w:w="508"/>
        <w:gridCol w:w="508"/>
        <w:gridCol w:w="508"/>
        <w:gridCol w:w="508"/>
        <w:gridCol w:w="505"/>
        <w:gridCol w:w="594"/>
        <w:gridCol w:w="674"/>
        <w:gridCol w:w="983"/>
      </w:tblGrid>
      <w:tr w:rsidR="008048DB" w:rsidRPr="008048DB" w14:paraId="64EAD77C" w14:textId="77777777" w:rsidTr="008048DB">
        <w:tc>
          <w:tcPr>
            <w:tcW w:w="849" w:type="pct"/>
            <w:tcBorders>
              <w:top w:val="single" w:sz="4" w:space="0" w:color="auto"/>
              <w:bottom w:val="single" w:sz="4" w:space="0" w:color="auto"/>
            </w:tcBorders>
            <w:vAlign w:val="center"/>
          </w:tcPr>
          <w:p w14:paraId="4A263026"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Study ID</w:t>
            </w:r>
          </w:p>
        </w:tc>
        <w:tc>
          <w:tcPr>
            <w:tcW w:w="556" w:type="pct"/>
            <w:tcBorders>
              <w:top w:val="single" w:sz="4" w:space="0" w:color="auto"/>
              <w:bottom w:val="single" w:sz="4" w:space="0" w:color="auto"/>
            </w:tcBorders>
            <w:vAlign w:val="center"/>
          </w:tcPr>
          <w:p w14:paraId="3611F893"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1</w:t>
            </w:r>
          </w:p>
        </w:tc>
        <w:tc>
          <w:tcPr>
            <w:tcW w:w="420" w:type="pct"/>
            <w:tcBorders>
              <w:top w:val="single" w:sz="4" w:space="0" w:color="auto"/>
              <w:bottom w:val="single" w:sz="4" w:space="0" w:color="auto"/>
            </w:tcBorders>
            <w:vAlign w:val="center"/>
          </w:tcPr>
          <w:p w14:paraId="6A79DFEA"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2</w:t>
            </w:r>
          </w:p>
        </w:tc>
        <w:tc>
          <w:tcPr>
            <w:tcW w:w="420" w:type="pct"/>
            <w:tcBorders>
              <w:top w:val="single" w:sz="4" w:space="0" w:color="auto"/>
              <w:bottom w:val="single" w:sz="4" w:space="0" w:color="auto"/>
            </w:tcBorders>
            <w:vAlign w:val="center"/>
          </w:tcPr>
          <w:p w14:paraId="608FFCE8"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3</w:t>
            </w:r>
          </w:p>
        </w:tc>
        <w:tc>
          <w:tcPr>
            <w:tcW w:w="215" w:type="pct"/>
            <w:tcBorders>
              <w:top w:val="single" w:sz="4" w:space="0" w:color="auto"/>
              <w:bottom w:val="single" w:sz="4" w:space="0" w:color="auto"/>
            </w:tcBorders>
            <w:vAlign w:val="center"/>
          </w:tcPr>
          <w:p w14:paraId="0EE63583"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4</w:t>
            </w:r>
          </w:p>
        </w:tc>
        <w:tc>
          <w:tcPr>
            <w:tcW w:w="215" w:type="pct"/>
            <w:tcBorders>
              <w:top w:val="single" w:sz="4" w:space="0" w:color="auto"/>
              <w:bottom w:val="single" w:sz="4" w:space="0" w:color="auto"/>
            </w:tcBorders>
            <w:vAlign w:val="center"/>
          </w:tcPr>
          <w:p w14:paraId="309FA547"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5</w:t>
            </w:r>
          </w:p>
        </w:tc>
        <w:tc>
          <w:tcPr>
            <w:tcW w:w="248" w:type="pct"/>
            <w:tcBorders>
              <w:top w:val="single" w:sz="4" w:space="0" w:color="auto"/>
              <w:bottom w:val="single" w:sz="4" w:space="0" w:color="auto"/>
            </w:tcBorders>
            <w:vAlign w:val="center"/>
          </w:tcPr>
          <w:p w14:paraId="77946197"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6</w:t>
            </w:r>
          </w:p>
        </w:tc>
        <w:tc>
          <w:tcPr>
            <w:tcW w:w="248" w:type="pct"/>
            <w:tcBorders>
              <w:top w:val="single" w:sz="4" w:space="0" w:color="auto"/>
              <w:bottom w:val="single" w:sz="4" w:space="0" w:color="auto"/>
            </w:tcBorders>
            <w:vAlign w:val="center"/>
          </w:tcPr>
          <w:p w14:paraId="1270E507"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7</w:t>
            </w:r>
          </w:p>
        </w:tc>
        <w:tc>
          <w:tcPr>
            <w:tcW w:w="248" w:type="pct"/>
            <w:tcBorders>
              <w:top w:val="single" w:sz="4" w:space="0" w:color="auto"/>
              <w:bottom w:val="single" w:sz="4" w:space="0" w:color="auto"/>
            </w:tcBorders>
            <w:vAlign w:val="center"/>
          </w:tcPr>
          <w:p w14:paraId="100F0B19"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8</w:t>
            </w:r>
          </w:p>
        </w:tc>
        <w:tc>
          <w:tcPr>
            <w:tcW w:w="248" w:type="pct"/>
            <w:tcBorders>
              <w:top w:val="single" w:sz="4" w:space="0" w:color="auto"/>
              <w:bottom w:val="single" w:sz="4" w:space="0" w:color="auto"/>
            </w:tcBorders>
            <w:vAlign w:val="center"/>
          </w:tcPr>
          <w:p w14:paraId="2C29717C"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9</w:t>
            </w:r>
          </w:p>
        </w:tc>
        <w:tc>
          <w:tcPr>
            <w:tcW w:w="225" w:type="pct"/>
            <w:tcBorders>
              <w:top w:val="single" w:sz="4" w:space="0" w:color="auto"/>
              <w:bottom w:val="single" w:sz="4" w:space="0" w:color="auto"/>
            </w:tcBorders>
            <w:vAlign w:val="center"/>
          </w:tcPr>
          <w:p w14:paraId="4CF36CC0"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10</w:t>
            </w:r>
          </w:p>
        </w:tc>
        <w:tc>
          <w:tcPr>
            <w:tcW w:w="283" w:type="pct"/>
            <w:tcBorders>
              <w:top w:val="single" w:sz="4" w:space="0" w:color="auto"/>
              <w:bottom w:val="single" w:sz="4" w:space="0" w:color="auto"/>
            </w:tcBorders>
            <w:vAlign w:val="center"/>
          </w:tcPr>
          <w:p w14:paraId="319FDF43"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11</w:t>
            </w:r>
          </w:p>
        </w:tc>
        <w:tc>
          <w:tcPr>
            <w:tcW w:w="332" w:type="pct"/>
            <w:tcBorders>
              <w:top w:val="single" w:sz="4" w:space="0" w:color="auto"/>
              <w:bottom w:val="single" w:sz="4" w:space="0" w:color="auto"/>
            </w:tcBorders>
            <w:vAlign w:val="center"/>
          </w:tcPr>
          <w:p w14:paraId="5D44DB30"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494" w:type="pct"/>
            <w:tcBorders>
              <w:top w:val="single" w:sz="4" w:space="0" w:color="auto"/>
              <w:bottom w:val="single" w:sz="4" w:space="0" w:color="auto"/>
            </w:tcBorders>
            <w:vAlign w:val="center"/>
          </w:tcPr>
          <w:p w14:paraId="3599B613"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Risk</w:t>
            </w:r>
          </w:p>
        </w:tc>
      </w:tr>
      <w:tr w:rsidR="008048DB" w:rsidRPr="008048DB" w14:paraId="778DCCD3" w14:textId="77777777" w:rsidTr="008048DB">
        <w:tc>
          <w:tcPr>
            <w:tcW w:w="849" w:type="pct"/>
            <w:tcBorders>
              <w:top w:val="single" w:sz="4" w:space="0" w:color="auto"/>
            </w:tcBorders>
            <w:vAlign w:val="bottom"/>
          </w:tcPr>
          <w:p w14:paraId="20598F0F"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hung et al 2019</w:t>
            </w:r>
          </w:p>
        </w:tc>
        <w:tc>
          <w:tcPr>
            <w:tcW w:w="556" w:type="pct"/>
            <w:tcBorders>
              <w:top w:val="single" w:sz="4" w:space="0" w:color="auto"/>
            </w:tcBorders>
            <w:vAlign w:val="bottom"/>
          </w:tcPr>
          <w:p w14:paraId="26D1F237"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420" w:type="pct"/>
            <w:tcBorders>
              <w:top w:val="single" w:sz="4" w:space="0" w:color="auto"/>
            </w:tcBorders>
            <w:vAlign w:val="bottom"/>
          </w:tcPr>
          <w:p w14:paraId="5F45F18F"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420" w:type="pct"/>
            <w:tcBorders>
              <w:top w:val="single" w:sz="4" w:space="0" w:color="auto"/>
            </w:tcBorders>
            <w:vAlign w:val="bottom"/>
          </w:tcPr>
          <w:p w14:paraId="1950E307"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15" w:type="pct"/>
            <w:tcBorders>
              <w:top w:val="single" w:sz="4" w:space="0" w:color="auto"/>
            </w:tcBorders>
            <w:vAlign w:val="bottom"/>
          </w:tcPr>
          <w:p w14:paraId="4F22427B"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215" w:type="pct"/>
            <w:tcBorders>
              <w:top w:val="single" w:sz="4" w:space="0" w:color="auto"/>
            </w:tcBorders>
            <w:vAlign w:val="bottom"/>
          </w:tcPr>
          <w:p w14:paraId="705D58B3"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248" w:type="pct"/>
            <w:tcBorders>
              <w:top w:val="single" w:sz="4" w:space="0" w:color="auto"/>
            </w:tcBorders>
            <w:vAlign w:val="bottom"/>
          </w:tcPr>
          <w:p w14:paraId="4820BA12"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48" w:type="pct"/>
            <w:tcBorders>
              <w:top w:val="single" w:sz="4" w:space="0" w:color="auto"/>
            </w:tcBorders>
            <w:vAlign w:val="bottom"/>
          </w:tcPr>
          <w:p w14:paraId="2A8F25B9"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48" w:type="pct"/>
            <w:tcBorders>
              <w:top w:val="single" w:sz="4" w:space="0" w:color="auto"/>
            </w:tcBorders>
            <w:vAlign w:val="bottom"/>
          </w:tcPr>
          <w:p w14:paraId="50A6F43C"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48" w:type="pct"/>
            <w:tcBorders>
              <w:top w:val="single" w:sz="4" w:space="0" w:color="auto"/>
            </w:tcBorders>
            <w:vAlign w:val="bottom"/>
          </w:tcPr>
          <w:p w14:paraId="2FF48D52"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25" w:type="pct"/>
            <w:tcBorders>
              <w:top w:val="single" w:sz="4" w:space="0" w:color="auto"/>
            </w:tcBorders>
            <w:vAlign w:val="bottom"/>
          </w:tcPr>
          <w:p w14:paraId="53DE4F5D"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NA</w:t>
            </w:r>
          </w:p>
        </w:tc>
        <w:tc>
          <w:tcPr>
            <w:tcW w:w="283" w:type="pct"/>
            <w:tcBorders>
              <w:top w:val="single" w:sz="4" w:space="0" w:color="auto"/>
            </w:tcBorders>
            <w:vAlign w:val="bottom"/>
          </w:tcPr>
          <w:p w14:paraId="1297950E"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332" w:type="pct"/>
            <w:tcBorders>
              <w:top w:val="single" w:sz="4" w:space="0" w:color="auto"/>
            </w:tcBorders>
            <w:vAlign w:val="bottom"/>
          </w:tcPr>
          <w:p w14:paraId="5C3DEDA3"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64%</w:t>
            </w:r>
          </w:p>
        </w:tc>
        <w:tc>
          <w:tcPr>
            <w:tcW w:w="494" w:type="pct"/>
            <w:tcBorders>
              <w:top w:val="single" w:sz="4" w:space="0" w:color="auto"/>
            </w:tcBorders>
            <w:vAlign w:val="bottom"/>
          </w:tcPr>
          <w:p w14:paraId="4ED25EDB"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Moderate</w:t>
            </w:r>
          </w:p>
        </w:tc>
      </w:tr>
      <w:tr w:rsidR="008048DB" w:rsidRPr="008048DB" w14:paraId="271BA5B4" w14:textId="77777777" w:rsidTr="008048DB">
        <w:tc>
          <w:tcPr>
            <w:tcW w:w="849" w:type="pct"/>
            <w:vAlign w:val="bottom"/>
          </w:tcPr>
          <w:p w14:paraId="15F7AF9E" w14:textId="77777777" w:rsidR="008048DB" w:rsidRPr="008048DB" w:rsidRDefault="008048DB" w:rsidP="00C32DD2">
            <w:pPr>
              <w:rPr>
                <w:rFonts w:asciiTheme="majorBidi" w:hAnsiTheme="majorBidi" w:cstheme="majorBidi"/>
                <w:sz w:val="20"/>
                <w:szCs w:val="20"/>
              </w:rPr>
            </w:pPr>
            <w:proofErr w:type="spellStart"/>
            <w:r w:rsidRPr="008048DB">
              <w:rPr>
                <w:rFonts w:asciiTheme="majorBidi" w:hAnsiTheme="majorBidi" w:cstheme="majorBidi"/>
                <w:color w:val="000000"/>
                <w:sz w:val="20"/>
                <w:szCs w:val="20"/>
              </w:rPr>
              <w:t>genden</w:t>
            </w:r>
            <w:proofErr w:type="spellEnd"/>
            <w:r w:rsidRPr="008048DB">
              <w:rPr>
                <w:rFonts w:asciiTheme="majorBidi" w:hAnsiTheme="majorBidi" w:cstheme="majorBidi"/>
                <w:color w:val="000000"/>
                <w:sz w:val="20"/>
                <w:szCs w:val="20"/>
              </w:rPr>
              <w:t xml:space="preserve"> et al 2005</w:t>
            </w:r>
          </w:p>
        </w:tc>
        <w:tc>
          <w:tcPr>
            <w:tcW w:w="556" w:type="pct"/>
            <w:vAlign w:val="bottom"/>
          </w:tcPr>
          <w:p w14:paraId="5A1908B4"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420" w:type="pct"/>
            <w:vAlign w:val="bottom"/>
          </w:tcPr>
          <w:p w14:paraId="0D6FC619"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420" w:type="pct"/>
            <w:vAlign w:val="bottom"/>
          </w:tcPr>
          <w:p w14:paraId="140F655B"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15" w:type="pct"/>
            <w:vAlign w:val="bottom"/>
          </w:tcPr>
          <w:p w14:paraId="2DB01758"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215" w:type="pct"/>
            <w:vAlign w:val="bottom"/>
          </w:tcPr>
          <w:p w14:paraId="577C6927"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248" w:type="pct"/>
            <w:vAlign w:val="bottom"/>
          </w:tcPr>
          <w:p w14:paraId="5ADAE35E"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48" w:type="pct"/>
            <w:vAlign w:val="bottom"/>
          </w:tcPr>
          <w:p w14:paraId="1A518410"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48" w:type="pct"/>
            <w:vAlign w:val="bottom"/>
          </w:tcPr>
          <w:p w14:paraId="44441767"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48" w:type="pct"/>
            <w:vAlign w:val="bottom"/>
          </w:tcPr>
          <w:p w14:paraId="0342B01A"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25" w:type="pct"/>
            <w:vAlign w:val="bottom"/>
          </w:tcPr>
          <w:p w14:paraId="306A7537"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NA</w:t>
            </w:r>
          </w:p>
        </w:tc>
        <w:tc>
          <w:tcPr>
            <w:tcW w:w="283" w:type="pct"/>
            <w:vAlign w:val="bottom"/>
          </w:tcPr>
          <w:p w14:paraId="7F1F996B"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332" w:type="pct"/>
            <w:vAlign w:val="bottom"/>
          </w:tcPr>
          <w:p w14:paraId="7A4D97ED"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64%</w:t>
            </w:r>
          </w:p>
        </w:tc>
        <w:tc>
          <w:tcPr>
            <w:tcW w:w="494" w:type="pct"/>
            <w:vAlign w:val="bottom"/>
          </w:tcPr>
          <w:p w14:paraId="0DCA5B42"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Moderate</w:t>
            </w:r>
          </w:p>
        </w:tc>
      </w:tr>
      <w:tr w:rsidR="008048DB" w:rsidRPr="008048DB" w14:paraId="39BE7284" w14:textId="77777777" w:rsidTr="008048DB">
        <w:tc>
          <w:tcPr>
            <w:tcW w:w="849" w:type="pct"/>
            <w:vAlign w:val="bottom"/>
          </w:tcPr>
          <w:p w14:paraId="6AB0C31A" w14:textId="77777777" w:rsidR="008048DB" w:rsidRPr="008048DB" w:rsidRDefault="008048DB" w:rsidP="00C32DD2">
            <w:pPr>
              <w:rPr>
                <w:rFonts w:asciiTheme="majorBidi" w:hAnsiTheme="majorBidi" w:cstheme="majorBidi"/>
                <w:sz w:val="20"/>
                <w:szCs w:val="20"/>
              </w:rPr>
            </w:pPr>
            <w:proofErr w:type="spellStart"/>
            <w:r w:rsidRPr="008048DB">
              <w:rPr>
                <w:rFonts w:asciiTheme="majorBidi" w:hAnsiTheme="majorBidi" w:cstheme="majorBidi"/>
                <w:color w:val="000000"/>
                <w:sz w:val="20"/>
                <w:szCs w:val="20"/>
              </w:rPr>
              <w:t>hallock</w:t>
            </w:r>
            <w:proofErr w:type="spellEnd"/>
            <w:r w:rsidRPr="008048DB">
              <w:rPr>
                <w:rFonts w:asciiTheme="majorBidi" w:hAnsiTheme="majorBidi" w:cstheme="majorBidi"/>
                <w:color w:val="000000"/>
                <w:sz w:val="20"/>
                <w:szCs w:val="20"/>
              </w:rPr>
              <w:t xml:space="preserve"> et al 2013</w:t>
            </w:r>
          </w:p>
        </w:tc>
        <w:tc>
          <w:tcPr>
            <w:tcW w:w="556" w:type="pct"/>
            <w:vAlign w:val="bottom"/>
          </w:tcPr>
          <w:p w14:paraId="1A39BF0C"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420" w:type="pct"/>
            <w:vAlign w:val="bottom"/>
          </w:tcPr>
          <w:p w14:paraId="3462F9D7"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NA</w:t>
            </w:r>
          </w:p>
        </w:tc>
        <w:tc>
          <w:tcPr>
            <w:tcW w:w="420" w:type="pct"/>
            <w:vAlign w:val="bottom"/>
          </w:tcPr>
          <w:p w14:paraId="541775B6"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NA</w:t>
            </w:r>
          </w:p>
        </w:tc>
        <w:tc>
          <w:tcPr>
            <w:tcW w:w="215" w:type="pct"/>
            <w:vAlign w:val="bottom"/>
          </w:tcPr>
          <w:p w14:paraId="230BA155"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215" w:type="pct"/>
            <w:vAlign w:val="bottom"/>
          </w:tcPr>
          <w:p w14:paraId="10390808"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248" w:type="pct"/>
            <w:vAlign w:val="bottom"/>
          </w:tcPr>
          <w:p w14:paraId="76F5DFB0"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48" w:type="pct"/>
            <w:vAlign w:val="bottom"/>
          </w:tcPr>
          <w:p w14:paraId="51935966"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48" w:type="pct"/>
            <w:vAlign w:val="bottom"/>
          </w:tcPr>
          <w:p w14:paraId="1CD97EA4"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48" w:type="pct"/>
            <w:vAlign w:val="bottom"/>
          </w:tcPr>
          <w:p w14:paraId="5EDC1239"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25" w:type="pct"/>
            <w:vAlign w:val="bottom"/>
          </w:tcPr>
          <w:p w14:paraId="3BB3FAD6"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283" w:type="pct"/>
            <w:vAlign w:val="bottom"/>
          </w:tcPr>
          <w:p w14:paraId="02AAAD53"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332" w:type="pct"/>
            <w:vAlign w:val="bottom"/>
          </w:tcPr>
          <w:p w14:paraId="68C80ADD"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36%</w:t>
            </w:r>
          </w:p>
        </w:tc>
        <w:tc>
          <w:tcPr>
            <w:tcW w:w="494" w:type="pct"/>
            <w:vAlign w:val="bottom"/>
          </w:tcPr>
          <w:p w14:paraId="5D55A597"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sz w:val="20"/>
                <w:szCs w:val="20"/>
              </w:rPr>
              <w:t>High</w:t>
            </w:r>
          </w:p>
        </w:tc>
      </w:tr>
      <w:tr w:rsidR="008048DB" w:rsidRPr="008048DB" w14:paraId="63344856" w14:textId="77777777" w:rsidTr="008048DB">
        <w:tc>
          <w:tcPr>
            <w:tcW w:w="849" w:type="pct"/>
            <w:vAlign w:val="bottom"/>
          </w:tcPr>
          <w:p w14:paraId="5A3BF191" w14:textId="77777777" w:rsidR="008048DB" w:rsidRPr="008048DB" w:rsidRDefault="008048DB" w:rsidP="00C32DD2">
            <w:pPr>
              <w:rPr>
                <w:rFonts w:asciiTheme="majorBidi" w:hAnsiTheme="majorBidi" w:cstheme="majorBidi"/>
                <w:sz w:val="20"/>
                <w:szCs w:val="20"/>
              </w:rPr>
            </w:pPr>
            <w:proofErr w:type="spellStart"/>
            <w:r w:rsidRPr="008048DB">
              <w:rPr>
                <w:rFonts w:asciiTheme="majorBidi" w:hAnsiTheme="majorBidi" w:cstheme="majorBidi"/>
                <w:color w:val="000000"/>
                <w:sz w:val="20"/>
                <w:szCs w:val="20"/>
              </w:rPr>
              <w:t>hanasono</w:t>
            </w:r>
            <w:proofErr w:type="spellEnd"/>
            <w:r w:rsidRPr="008048DB">
              <w:rPr>
                <w:rFonts w:asciiTheme="majorBidi" w:hAnsiTheme="majorBidi" w:cstheme="majorBidi"/>
                <w:color w:val="000000"/>
                <w:sz w:val="20"/>
                <w:szCs w:val="20"/>
              </w:rPr>
              <w:t xml:space="preserve"> et al 2010</w:t>
            </w:r>
          </w:p>
        </w:tc>
        <w:tc>
          <w:tcPr>
            <w:tcW w:w="556" w:type="pct"/>
            <w:vAlign w:val="bottom"/>
          </w:tcPr>
          <w:p w14:paraId="48AF29AF"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420" w:type="pct"/>
            <w:vAlign w:val="bottom"/>
          </w:tcPr>
          <w:p w14:paraId="02DEE888"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420" w:type="pct"/>
            <w:vAlign w:val="bottom"/>
          </w:tcPr>
          <w:p w14:paraId="3C8B6799"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215" w:type="pct"/>
            <w:vAlign w:val="bottom"/>
          </w:tcPr>
          <w:p w14:paraId="4B122948"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215" w:type="pct"/>
            <w:vAlign w:val="bottom"/>
          </w:tcPr>
          <w:p w14:paraId="12C691B1"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248" w:type="pct"/>
            <w:vAlign w:val="bottom"/>
          </w:tcPr>
          <w:p w14:paraId="66CFE14E"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48" w:type="pct"/>
            <w:vAlign w:val="bottom"/>
          </w:tcPr>
          <w:p w14:paraId="50035B68"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48" w:type="pct"/>
            <w:vAlign w:val="bottom"/>
          </w:tcPr>
          <w:p w14:paraId="2BD6781A"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48" w:type="pct"/>
            <w:vAlign w:val="bottom"/>
          </w:tcPr>
          <w:p w14:paraId="5DCA56AF"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25" w:type="pct"/>
            <w:vAlign w:val="bottom"/>
          </w:tcPr>
          <w:p w14:paraId="366C5E3A"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283" w:type="pct"/>
            <w:vAlign w:val="bottom"/>
          </w:tcPr>
          <w:p w14:paraId="7667AB10"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332" w:type="pct"/>
            <w:vAlign w:val="bottom"/>
          </w:tcPr>
          <w:p w14:paraId="021A7668"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45%</w:t>
            </w:r>
          </w:p>
        </w:tc>
        <w:tc>
          <w:tcPr>
            <w:tcW w:w="494" w:type="pct"/>
            <w:vAlign w:val="bottom"/>
          </w:tcPr>
          <w:p w14:paraId="4C3D3558"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sz w:val="20"/>
                <w:szCs w:val="20"/>
              </w:rPr>
              <w:t>High</w:t>
            </w:r>
          </w:p>
        </w:tc>
      </w:tr>
      <w:tr w:rsidR="008048DB" w:rsidRPr="008048DB" w14:paraId="6D14E9CF" w14:textId="77777777" w:rsidTr="008048DB">
        <w:tc>
          <w:tcPr>
            <w:tcW w:w="849" w:type="pct"/>
            <w:vAlign w:val="bottom"/>
          </w:tcPr>
          <w:p w14:paraId="67C7F424" w14:textId="77777777" w:rsidR="008048DB" w:rsidRPr="008048DB" w:rsidRDefault="008048DB" w:rsidP="00C32DD2">
            <w:pPr>
              <w:rPr>
                <w:rFonts w:asciiTheme="majorBidi" w:hAnsiTheme="majorBidi" w:cstheme="majorBidi"/>
                <w:sz w:val="20"/>
                <w:szCs w:val="20"/>
              </w:rPr>
            </w:pPr>
            <w:proofErr w:type="spellStart"/>
            <w:r w:rsidRPr="008048DB">
              <w:rPr>
                <w:rFonts w:asciiTheme="majorBidi" w:hAnsiTheme="majorBidi" w:cstheme="majorBidi"/>
                <w:color w:val="000000"/>
                <w:sz w:val="20"/>
                <w:szCs w:val="20"/>
              </w:rPr>
              <w:t>kimata</w:t>
            </w:r>
            <w:proofErr w:type="spellEnd"/>
            <w:r w:rsidRPr="008048DB">
              <w:rPr>
                <w:rFonts w:asciiTheme="majorBidi" w:hAnsiTheme="majorBidi" w:cstheme="majorBidi"/>
                <w:color w:val="000000"/>
                <w:sz w:val="20"/>
                <w:szCs w:val="20"/>
              </w:rPr>
              <w:t xml:space="preserve"> et al 1999</w:t>
            </w:r>
          </w:p>
        </w:tc>
        <w:tc>
          <w:tcPr>
            <w:tcW w:w="556" w:type="pct"/>
            <w:vAlign w:val="bottom"/>
          </w:tcPr>
          <w:p w14:paraId="7CEDEE4E"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420" w:type="pct"/>
            <w:vAlign w:val="bottom"/>
          </w:tcPr>
          <w:p w14:paraId="4EDC0F63"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NA</w:t>
            </w:r>
          </w:p>
        </w:tc>
        <w:tc>
          <w:tcPr>
            <w:tcW w:w="420" w:type="pct"/>
            <w:vAlign w:val="bottom"/>
          </w:tcPr>
          <w:p w14:paraId="6B4715C4"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215" w:type="pct"/>
            <w:vAlign w:val="bottom"/>
          </w:tcPr>
          <w:p w14:paraId="211AE103"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215" w:type="pct"/>
            <w:vAlign w:val="bottom"/>
          </w:tcPr>
          <w:p w14:paraId="1F36FDA5"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248" w:type="pct"/>
            <w:vAlign w:val="bottom"/>
          </w:tcPr>
          <w:p w14:paraId="1BAD5658"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48" w:type="pct"/>
            <w:vAlign w:val="bottom"/>
          </w:tcPr>
          <w:p w14:paraId="63D638AC"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48" w:type="pct"/>
            <w:vAlign w:val="bottom"/>
          </w:tcPr>
          <w:p w14:paraId="2C48FBFF"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48" w:type="pct"/>
            <w:vAlign w:val="bottom"/>
          </w:tcPr>
          <w:p w14:paraId="06F8337E"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25" w:type="pct"/>
            <w:vAlign w:val="bottom"/>
          </w:tcPr>
          <w:p w14:paraId="7ADC11AE"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NA</w:t>
            </w:r>
          </w:p>
        </w:tc>
        <w:tc>
          <w:tcPr>
            <w:tcW w:w="283" w:type="pct"/>
            <w:vAlign w:val="bottom"/>
          </w:tcPr>
          <w:p w14:paraId="679F4728"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332" w:type="pct"/>
            <w:vAlign w:val="bottom"/>
          </w:tcPr>
          <w:p w14:paraId="6479A89D"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45%</w:t>
            </w:r>
          </w:p>
        </w:tc>
        <w:tc>
          <w:tcPr>
            <w:tcW w:w="494" w:type="pct"/>
            <w:vAlign w:val="bottom"/>
          </w:tcPr>
          <w:p w14:paraId="2A467C22"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sz w:val="20"/>
                <w:szCs w:val="20"/>
              </w:rPr>
              <w:t>High</w:t>
            </w:r>
          </w:p>
        </w:tc>
      </w:tr>
      <w:tr w:rsidR="008048DB" w:rsidRPr="008048DB" w14:paraId="265658C4" w14:textId="77777777" w:rsidTr="008048DB">
        <w:trPr>
          <w:trHeight w:val="327"/>
        </w:trPr>
        <w:tc>
          <w:tcPr>
            <w:tcW w:w="849" w:type="pct"/>
            <w:tcBorders>
              <w:bottom w:val="single" w:sz="4" w:space="0" w:color="auto"/>
            </w:tcBorders>
            <w:vAlign w:val="bottom"/>
          </w:tcPr>
          <w:p w14:paraId="565A92A6" w14:textId="77777777" w:rsidR="008048DB" w:rsidRPr="008048DB" w:rsidRDefault="008048DB" w:rsidP="00C32DD2">
            <w:pPr>
              <w:rPr>
                <w:rFonts w:asciiTheme="majorBidi" w:hAnsiTheme="majorBidi" w:cstheme="majorBidi"/>
                <w:sz w:val="20"/>
                <w:szCs w:val="20"/>
              </w:rPr>
            </w:pPr>
            <w:proofErr w:type="spellStart"/>
            <w:r w:rsidRPr="008048DB">
              <w:rPr>
                <w:rFonts w:asciiTheme="majorBidi" w:hAnsiTheme="majorBidi" w:cstheme="majorBidi"/>
                <w:color w:val="000000"/>
                <w:sz w:val="20"/>
                <w:szCs w:val="20"/>
              </w:rPr>
              <w:t>kimata</w:t>
            </w:r>
            <w:proofErr w:type="spellEnd"/>
            <w:r w:rsidRPr="008048DB">
              <w:rPr>
                <w:rFonts w:asciiTheme="majorBidi" w:hAnsiTheme="majorBidi" w:cstheme="majorBidi"/>
                <w:color w:val="000000"/>
                <w:sz w:val="20"/>
                <w:szCs w:val="20"/>
              </w:rPr>
              <w:t xml:space="preserve"> et al 1999</w:t>
            </w:r>
          </w:p>
        </w:tc>
        <w:tc>
          <w:tcPr>
            <w:tcW w:w="556" w:type="pct"/>
            <w:tcBorders>
              <w:bottom w:val="single" w:sz="4" w:space="0" w:color="auto"/>
            </w:tcBorders>
            <w:vAlign w:val="bottom"/>
          </w:tcPr>
          <w:p w14:paraId="6BB8CC15"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420" w:type="pct"/>
            <w:tcBorders>
              <w:bottom w:val="single" w:sz="4" w:space="0" w:color="auto"/>
            </w:tcBorders>
            <w:vAlign w:val="bottom"/>
          </w:tcPr>
          <w:p w14:paraId="2B7A4368"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NA</w:t>
            </w:r>
          </w:p>
        </w:tc>
        <w:tc>
          <w:tcPr>
            <w:tcW w:w="420" w:type="pct"/>
            <w:tcBorders>
              <w:bottom w:val="single" w:sz="4" w:space="0" w:color="auto"/>
            </w:tcBorders>
            <w:vAlign w:val="bottom"/>
          </w:tcPr>
          <w:p w14:paraId="0C78B757"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215" w:type="pct"/>
            <w:tcBorders>
              <w:bottom w:val="single" w:sz="4" w:space="0" w:color="auto"/>
            </w:tcBorders>
            <w:vAlign w:val="bottom"/>
          </w:tcPr>
          <w:p w14:paraId="0E1E2DD2"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215" w:type="pct"/>
            <w:tcBorders>
              <w:bottom w:val="single" w:sz="4" w:space="0" w:color="auto"/>
            </w:tcBorders>
            <w:vAlign w:val="bottom"/>
          </w:tcPr>
          <w:p w14:paraId="36D08105"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248" w:type="pct"/>
            <w:tcBorders>
              <w:bottom w:val="single" w:sz="4" w:space="0" w:color="auto"/>
            </w:tcBorders>
            <w:vAlign w:val="bottom"/>
          </w:tcPr>
          <w:p w14:paraId="77F26B57"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48" w:type="pct"/>
            <w:tcBorders>
              <w:bottom w:val="single" w:sz="4" w:space="0" w:color="auto"/>
            </w:tcBorders>
            <w:vAlign w:val="bottom"/>
          </w:tcPr>
          <w:p w14:paraId="2A0CD03C"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48" w:type="pct"/>
            <w:tcBorders>
              <w:bottom w:val="single" w:sz="4" w:space="0" w:color="auto"/>
            </w:tcBorders>
            <w:vAlign w:val="bottom"/>
          </w:tcPr>
          <w:p w14:paraId="489D495D"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248" w:type="pct"/>
            <w:tcBorders>
              <w:bottom w:val="single" w:sz="4" w:space="0" w:color="auto"/>
            </w:tcBorders>
            <w:vAlign w:val="bottom"/>
          </w:tcPr>
          <w:p w14:paraId="55145E22"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225" w:type="pct"/>
            <w:tcBorders>
              <w:bottom w:val="single" w:sz="4" w:space="0" w:color="auto"/>
            </w:tcBorders>
            <w:vAlign w:val="bottom"/>
          </w:tcPr>
          <w:p w14:paraId="096C2708"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283" w:type="pct"/>
            <w:tcBorders>
              <w:bottom w:val="single" w:sz="4" w:space="0" w:color="auto"/>
            </w:tcBorders>
            <w:vAlign w:val="bottom"/>
          </w:tcPr>
          <w:p w14:paraId="152207DE"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332" w:type="pct"/>
            <w:tcBorders>
              <w:bottom w:val="single" w:sz="4" w:space="0" w:color="auto"/>
            </w:tcBorders>
            <w:vAlign w:val="bottom"/>
          </w:tcPr>
          <w:p w14:paraId="55949EB2"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color w:val="000000"/>
                <w:sz w:val="20"/>
                <w:szCs w:val="20"/>
              </w:rPr>
              <w:t>36%</w:t>
            </w:r>
          </w:p>
        </w:tc>
        <w:tc>
          <w:tcPr>
            <w:tcW w:w="494" w:type="pct"/>
            <w:tcBorders>
              <w:bottom w:val="single" w:sz="4" w:space="0" w:color="auto"/>
            </w:tcBorders>
            <w:vAlign w:val="bottom"/>
          </w:tcPr>
          <w:p w14:paraId="419904B5" w14:textId="77777777" w:rsidR="008048DB" w:rsidRPr="008048DB" w:rsidRDefault="008048DB" w:rsidP="00C32DD2">
            <w:pPr>
              <w:jc w:val="center"/>
              <w:rPr>
                <w:rFonts w:asciiTheme="majorBidi" w:hAnsiTheme="majorBidi" w:cstheme="majorBidi"/>
                <w:sz w:val="20"/>
                <w:szCs w:val="20"/>
              </w:rPr>
            </w:pPr>
            <w:r w:rsidRPr="008048DB">
              <w:rPr>
                <w:rFonts w:asciiTheme="majorBidi" w:hAnsiTheme="majorBidi" w:cstheme="majorBidi"/>
                <w:sz w:val="20"/>
                <w:szCs w:val="20"/>
              </w:rPr>
              <w:t>High</w:t>
            </w:r>
          </w:p>
        </w:tc>
      </w:tr>
      <w:tr w:rsidR="008048DB" w:rsidRPr="008048DB" w14:paraId="0B7E4759" w14:textId="77777777" w:rsidTr="008048DB">
        <w:tc>
          <w:tcPr>
            <w:tcW w:w="5000" w:type="pct"/>
            <w:gridSpan w:val="14"/>
            <w:tcBorders>
              <w:top w:val="single" w:sz="4" w:space="0" w:color="auto"/>
              <w:bottom w:val="single" w:sz="4" w:space="0" w:color="auto"/>
            </w:tcBorders>
            <w:vAlign w:val="center"/>
          </w:tcPr>
          <w:p w14:paraId="599815D8"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Quality assessment based on JBI checklist for cohort studies developed by Joanna Briggs Institute which include 11 questions:</w:t>
            </w:r>
          </w:p>
          <w:p w14:paraId="3A8AD39D"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Q1: Were the two groups similar and recruited from the same population?</w:t>
            </w:r>
          </w:p>
          <w:p w14:paraId="7AE50732"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Q2: Were the exposures measured similarly to assign people to both exposed and unexposed groups?</w:t>
            </w:r>
          </w:p>
          <w:p w14:paraId="3F520F36"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Q3: Was the exposure measured in a valid and reliable way?</w:t>
            </w:r>
          </w:p>
          <w:p w14:paraId="4A1E62CF"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Q4: Were confounding factors identified?</w:t>
            </w:r>
          </w:p>
          <w:p w14:paraId="0AC17106"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Q5: Were strategies to deal with confounding factors stated?</w:t>
            </w:r>
          </w:p>
          <w:p w14:paraId="3A19B425"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 xml:space="preserve">Q6: Were the groups/participants free of the outcome at the start of the study (or </w:t>
            </w:r>
            <w:proofErr w:type="gramStart"/>
            <w:r w:rsidRPr="008048DB">
              <w:rPr>
                <w:rFonts w:asciiTheme="majorBidi" w:hAnsiTheme="majorBidi" w:cstheme="majorBidi"/>
                <w:sz w:val="20"/>
                <w:szCs w:val="20"/>
              </w:rPr>
              <w:t>at the moment</w:t>
            </w:r>
            <w:proofErr w:type="gramEnd"/>
            <w:r w:rsidRPr="008048DB">
              <w:rPr>
                <w:rFonts w:asciiTheme="majorBidi" w:hAnsiTheme="majorBidi" w:cstheme="majorBidi"/>
                <w:sz w:val="20"/>
                <w:szCs w:val="20"/>
              </w:rPr>
              <w:t xml:space="preserve"> of exposure)?</w:t>
            </w:r>
          </w:p>
          <w:p w14:paraId="0720B56E"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Q7: Were the outcomes measured in a valid and reliable way?</w:t>
            </w:r>
          </w:p>
          <w:p w14:paraId="0CDCE31A"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Q8: Was the follow up time reported and sufficient to be long enough for outcomes to occur?</w:t>
            </w:r>
          </w:p>
          <w:p w14:paraId="11012162"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Q9: Was follow up complete, and if not, were the reasons to loss to follow up described and explored?</w:t>
            </w:r>
          </w:p>
          <w:p w14:paraId="736A6445"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Q10: Were strategies to address incomplete follow up utilized?</w:t>
            </w:r>
          </w:p>
          <w:p w14:paraId="5395A9B2"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Q11: Was appropriate statistical analysis used?</w:t>
            </w:r>
          </w:p>
          <w:p w14:paraId="2F9BEA75"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Scoring system: Low&gt;70%, Moderate 50-60%, High&lt;=49%</w:t>
            </w:r>
          </w:p>
        </w:tc>
      </w:tr>
    </w:tbl>
    <w:p w14:paraId="4254CC16" w14:textId="373BFE4A" w:rsidR="008048DB" w:rsidRDefault="008048DB" w:rsidP="008048DB">
      <w:pPr>
        <w:rPr>
          <w:lang w:val="en-US"/>
        </w:rPr>
      </w:pPr>
    </w:p>
    <w:p w14:paraId="26FC3858" w14:textId="77777777" w:rsidR="00607F32" w:rsidRDefault="00607F32" w:rsidP="008048DB">
      <w:pPr>
        <w:rPr>
          <w:lang w:val="en-US"/>
        </w:rPr>
      </w:pPr>
    </w:p>
    <w:p w14:paraId="66F5DACC" w14:textId="77777777" w:rsidR="00607F32" w:rsidRDefault="00607F32" w:rsidP="008048DB">
      <w:pPr>
        <w:rPr>
          <w:lang w:val="en-US"/>
        </w:rPr>
      </w:pPr>
    </w:p>
    <w:p w14:paraId="6CAD8F9C" w14:textId="77777777" w:rsidR="00607F32" w:rsidRDefault="00607F32" w:rsidP="008048DB">
      <w:pPr>
        <w:rPr>
          <w:lang w:val="en-US"/>
        </w:rPr>
      </w:pPr>
    </w:p>
    <w:p w14:paraId="0141E659" w14:textId="77777777" w:rsidR="00607F32" w:rsidRDefault="00607F32" w:rsidP="008048DB">
      <w:pPr>
        <w:rPr>
          <w:lang w:val="en-US"/>
        </w:rPr>
      </w:pPr>
    </w:p>
    <w:p w14:paraId="0B6675B3" w14:textId="77777777" w:rsidR="00607F32" w:rsidRDefault="00607F32" w:rsidP="008048DB">
      <w:pPr>
        <w:rPr>
          <w:lang w:val="en-US"/>
        </w:rPr>
      </w:pPr>
    </w:p>
    <w:p w14:paraId="3971EEB1" w14:textId="77777777" w:rsidR="00607F32" w:rsidRDefault="00607F32" w:rsidP="008048DB">
      <w:pPr>
        <w:rPr>
          <w:lang w:val="en-US"/>
        </w:rPr>
      </w:pPr>
    </w:p>
    <w:p w14:paraId="17A20D95" w14:textId="77777777" w:rsidR="00607F32" w:rsidRDefault="00607F32" w:rsidP="008048DB">
      <w:pPr>
        <w:rPr>
          <w:lang w:val="en-US"/>
        </w:rPr>
      </w:pPr>
    </w:p>
    <w:p w14:paraId="12436360" w14:textId="77777777" w:rsidR="00607F32" w:rsidRDefault="00607F32" w:rsidP="008048DB">
      <w:pPr>
        <w:rPr>
          <w:lang w:val="en-US"/>
        </w:rPr>
      </w:pPr>
    </w:p>
    <w:p w14:paraId="6EB0764B" w14:textId="77777777" w:rsidR="00607F32" w:rsidRDefault="00607F32" w:rsidP="008048DB">
      <w:pPr>
        <w:rPr>
          <w:lang w:val="en-US"/>
        </w:rPr>
      </w:pPr>
    </w:p>
    <w:p w14:paraId="448B2933" w14:textId="77777777" w:rsidR="00607F32" w:rsidRDefault="00607F32" w:rsidP="008048DB">
      <w:pPr>
        <w:rPr>
          <w:lang w:val="en-US"/>
        </w:rPr>
      </w:pPr>
    </w:p>
    <w:p w14:paraId="200B69DF" w14:textId="77777777" w:rsidR="00607F32" w:rsidRDefault="00607F32" w:rsidP="008048DB">
      <w:pPr>
        <w:rPr>
          <w:lang w:val="en-US"/>
        </w:rPr>
      </w:pPr>
    </w:p>
    <w:p w14:paraId="58559F9F" w14:textId="4695EC2B" w:rsidR="009170D7" w:rsidRPr="00607F32" w:rsidRDefault="008048DB" w:rsidP="009170D7">
      <w:pPr>
        <w:rPr>
          <w:rFonts w:asciiTheme="majorBidi" w:hAnsiTheme="majorBidi" w:cstheme="majorBidi"/>
          <w:b/>
          <w:bCs/>
          <w:sz w:val="28"/>
          <w:szCs w:val="28"/>
        </w:rPr>
      </w:pPr>
      <w:r w:rsidRPr="00607F32">
        <w:rPr>
          <w:rFonts w:asciiTheme="majorBidi" w:hAnsiTheme="majorBidi" w:cstheme="majorBidi"/>
          <w:b/>
          <w:bCs/>
          <w:sz w:val="28"/>
          <w:szCs w:val="28"/>
          <w:lang w:val="en-US"/>
        </w:rPr>
        <w:lastRenderedPageBreak/>
        <w:t>Table S</w:t>
      </w:r>
      <w:r w:rsidR="009170D7" w:rsidRPr="00607F32">
        <w:rPr>
          <w:rFonts w:asciiTheme="majorBidi" w:hAnsiTheme="majorBidi" w:cstheme="majorBidi"/>
          <w:b/>
          <w:bCs/>
          <w:sz w:val="28"/>
          <w:szCs w:val="28"/>
          <w:lang w:val="en-US"/>
        </w:rPr>
        <w:t xml:space="preserve">4: </w:t>
      </w:r>
      <w:r w:rsidR="009170D7" w:rsidRPr="00607F32">
        <w:rPr>
          <w:rFonts w:asciiTheme="majorBidi" w:hAnsiTheme="majorBidi" w:cstheme="majorBidi"/>
          <w:b/>
          <w:bCs/>
          <w:sz w:val="28"/>
          <w:szCs w:val="28"/>
        </w:rPr>
        <w:t>Quality assesment for case series using JBI checklist</w:t>
      </w:r>
      <w:r w:rsidR="00607F32">
        <w:rPr>
          <w:rFonts w:asciiTheme="majorBidi" w:hAnsiTheme="majorBidi" w:cstheme="majorBidi"/>
          <w:b/>
          <w:b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4"/>
        <w:gridCol w:w="510"/>
        <w:gridCol w:w="854"/>
        <w:gridCol w:w="854"/>
        <w:gridCol w:w="854"/>
        <w:gridCol w:w="854"/>
        <w:gridCol w:w="511"/>
        <w:gridCol w:w="511"/>
        <w:gridCol w:w="511"/>
        <w:gridCol w:w="511"/>
        <w:gridCol w:w="511"/>
        <w:gridCol w:w="726"/>
        <w:gridCol w:w="989"/>
      </w:tblGrid>
      <w:tr w:rsidR="008048DB" w:rsidRPr="008048DB" w14:paraId="7A8B3B51" w14:textId="77777777" w:rsidTr="008048DB">
        <w:tc>
          <w:tcPr>
            <w:tcW w:w="0" w:type="auto"/>
            <w:tcBorders>
              <w:top w:val="single" w:sz="4" w:space="0" w:color="auto"/>
              <w:bottom w:val="single" w:sz="4" w:space="0" w:color="auto"/>
            </w:tcBorders>
            <w:vAlign w:val="center"/>
          </w:tcPr>
          <w:p w14:paraId="16D79D3B"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Study ID</w:t>
            </w:r>
          </w:p>
        </w:tc>
        <w:tc>
          <w:tcPr>
            <w:tcW w:w="0" w:type="auto"/>
            <w:tcBorders>
              <w:top w:val="single" w:sz="4" w:space="0" w:color="auto"/>
              <w:bottom w:val="single" w:sz="4" w:space="0" w:color="auto"/>
            </w:tcBorders>
            <w:vAlign w:val="center"/>
          </w:tcPr>
          <w:p w14:paraId="68B79016"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1</w:t>
            </w:r>
          </w:p>
        </w:tc>
        <w:tc>
          <w:tcPr>
            <w:tcW w:w="0" w:type="auto"/>
            <w:tcBorders>
              <w:top w:val="single" w:sz="4" w:space="0" w:color="auto"/>
              <w:bottom w:val="single" w:sz="4" w:space="0" w:color="auto"/>
            </w:tcBorders>
            <w:vAlign w:val="center"/>
          </w:tcPr>
          <w:p w14:paraId="651F89E9"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2</w:t>
            </w:r>
          </w:p>
        </w:tc>
        <w:tc>
          <w:tcPr>
            <w:tcW w:w="0" w:type="auto"/>
            <w:tcBorders>
              <w:top w:val="single" w:sz="4" w:space="0" w:color="auto"/>
              <w:bottom w:val="single" w:sz="4" w:space="0" w:color="auto"/>
            </w:tcBorders>
            <w:vAlign w:val="center"/>
          </w:tcPr>
          <w:p w14:paraId="05FA9B65"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3</w:t>
            </w:r>
          </w:p>
        </w:tc>
        <w:tc>
          <w:tcPr>
            <w:tcW w:w="0" w:type="auto"/>
            <w:tcBorders>
              <w:top w:val="single" w:sz="4" w:space="0" w:color="auto"/>
              <w:bottom w:val="single" w:sz="4" w:space="0" w:color="auto"/>
            </w:tcBorders>
            <w:vAlign w:val="center"/>
          </w:tcPr>
          <w:p w14:paraId="7A282CCE"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4</w:t>
            </w:r>
          </w:p>
        </w:tc>
        <w:tc>
          <w:tcPr>
            <w:tcW w:w="0" w:type="auto"/>
            <w:tcBorders>
              <w:top w:val="single" w:sz="4" w:space="0" w:color="auto"/>
              <w:bottom w:val="single" w:sz="4" w:space="0" w:color="auto"/>
            </w:tcBorders>
            <w:vAlign w:val="center"/>
          </w:tcPr>
          <w:p w14:paraId="724BE719"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5</w:t>
            </w:r>
          </w:p>
        </w:tc>
        <w:tc>
          <w:tcPr>
            <w:tcW w:w="0" w:type="auto"/>
            <w:tcBorders>
              <w:top w:val="single" w:sz="4" w:space="0" w:color="auto"/>
              <w:bottom w:val="single" w:sz="4" w:space="0" w:color="auto"/>
            </w:tcBorders>
            <w:vAlign w:val="center"/>
          </w:tcPr>
          <w:p w14:paraId="64EDAB7B"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6</w:t>
            </w:r>
          </w:p>
        </w:tc>
        <w:tc>
          <w:tcPr>
            <w:tcW w:w="0" w:type="auto"/>
            <w:tcBorders>
              <w:top w:val="single" w:sz="4" w:space="0" w:color="auto"/>
              <w:bottom w:val="single" w:sz="4" w:space="0" w:color="auto"/>
            </w:tcBorders>
            <w:vAlign w:val="center"/>
          </w:tcPr>
          <w:p w14:paraId="0CD88233"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7</w:t>
            </w:r>
          </w:p>
        </w:tc>
        <w:tc>
          <w:tcPr>
            <w:tcW w:w="0" w:type="auto"/>
            <w:tcBorders>
              <w:top w:val="single" w:sz="4" w:space="0" w:color="auto"/>
              <w:bottom w:val="single" w:sz="4" w:space="0" w:color="auto"/>
            </w:tcBorders>
            <w:vAlign w:val="center"/>
          </w:tcPr>
          <w:p w14:paraId="6907A34F"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8</w:t>
            </w:r>
          </w:p>
        </w:tc>
        <w:tc>
          <w:tcPr>
            <w:tcW w:w="0" w:type="auto"/>
            <w:tcBorders>
              <w:top w:val="single" w:sz="4" w:space="0" w:color="auto"/>
              <w:bottom w:val="single" w:sz="4" w:space="0" w:color="auto"/>
            </w:tcBorders>
            <w:vAlign w:val="center"/>
          </w:tcPr>
          <w:p w14:paraId="65110429"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9</w:t>
            </w:r>
          </w:p>
        </w:tc>
        <w:tc>
          <w:tcPr>
            <w:tcW w:w="0" w:type="auto"/>
            <w:tcBorders>
              <w:top w:val="single" w:sz="4" w:space="0" w:color="auto"/>
              <w:bottom w:val="single" w:sz="4" w:space="0" w:color="auto"/>
            </w:tcBorders>
            <w:vAlign w:val="center"/>
          </w:tcPr>
          <w:p w14:paraId="58D97967"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10</w:t>
            </w:r>
          </w:p>
        </w:tc>
        <w:tc>
          <w:tcPr>
            <w:tcW w:w="0" w:type="auto"/>
            <w:tcBorders>
              <w:top w:val="single" w:sz="4" w:space="0" w:color="auto"/>
              <w:bottom w:val="single" w:sz="4" w:space="0" w:color="auto"/>
            </w:tcBorders>
            <w:vAlign w:val="center"/>
          </w:tcPr>
          <w:p w14:paraId="2A133C76"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score</w:t>
            </w:r>
          </w:p>
        </w:tc>
        <w:tc>
          <w:tcPr>
            <w:tcW w:w="0" w:type="auto"/>
            <w:tcBorders>
              <w:top w:val="single" w:sz="4" w:space="0" w:color="auto"/>
              <w:bottom w:val="single" w:sz="4" w:space="0" w:color="auto"/>
            </w:tcBorders>
            <w:vAlign w:val="center"/>
          </w:tcPr>
          <w:p w14:paraId="3F033EC1"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Risk</w:t>
            </w:r>
          </w:p>
        </w:tc>
      </w:tr>
      <w:tr w:rsidR="008048DB" w:rsidRPr="008048DB" w14:paraId="5CAE1C10" w14:textId="77777777" w:rsidTr="008048DB">
        <w:tc>
          <w:tcPr>
            <w:tcW w:w="0" w:type="auto"/>
            <w:tcBorders>
              <w:top w:val="single" w:sz="4" w:space="0" w:color="auto"/>
            </w:tcBorders>
            <w:vAlign w:val="center"/>
          </w:tcPr>
          <w:p w14:paraId="4A6F7E06"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Ross et.al 2001</w:t>
            </w:r>
          </w:p>
        </w:tc>
        <w:tc>
          <w:tcPr>
            <w:tcW w:w="0" w:type="auto"/>
            <w:tcBorders>
              <w:top w:val="single" w:sz="4" w:space="0" w:color="auto"/>
            </w:tcBorders>
            <w:vAlign w:val="center"/>
          </w:tcPr>
          <w:p w14:paraId="32427FBA"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tcBorders>
              <w:top w:val="single" w:sz="4" w:space="0" w:color="auto"/>
            </w:tcBorders>
            <w:vAlign w:val="center"/>
          </w:tcPr>
          <w:p w14:paraId="3C2ACA5A"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tcBorders>
              <w:top w:val="single" w:sz="4" w:space="0" w:color="auto"/>
            </w:tcBorders>
            <w:vAlign w:val="center"/>
          </w:tcPr>
          <w:p w14:paraId="50A1B8FC"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tcBorders>
              <w:top w:val="single" w:sz="4" w:space="0" w:color="auto"/>
            </w:tcBorders>
            <w:vAlign w:val="center"/>
          </w:tcPr>
          <w:p w14:paraId="674270AA"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tcBorders>
              <w:top w:val="single" w:sz="4" w:space="0" w:color="auto"/>
            </w:tcBorders>
            <w:vAlign w:val="center"/>
          </w:tcPr>
          <w:p w14:paraId="7AE910C8"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tcBorders>
              <w:top w:val="single" w:sz="4" w:space="0" w:color="auto"/>
            </w:tcBorders>
            <w:vAlign w:val="center"/>
          </w:tcPr>
          <w:p w14:paraId="5A35BF7E"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tcBorders>
              <w:top w:val="single" w:sz="4" w:space="0" w:color="auto"/>
            </w:tcBorders>
            <w:vAlign w:val="center"/>
          </w:tcPr>
          <w:p w14:paraId="5B0021C2"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tcBorders>
              <w:top w:val="single" w:sz="4" w:space="0" w:color="auto"/>
            </w:tcBorders>
            <w:vAlign w:val="center"/>
          </w:tcPr>
          <w:p w14:paraId="2F1BF947"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tcBorders>
              <w:top w:val="single" w:sz="4" w:space="0" w:color="auto"/>
            </w:tcBorders>
            <w:vAlign w:val="center"/>
          </w:tcPr>
          <w:p w14:paraId="5F36DE8D"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tcBorders>
              <w:top w:val="single" w:sz="4" w:space="0" w:color="auto"/>
            </w:tcBorders>
            <w:vAlign w:val="center"/>
          </w:tcPr>
          <w:p w14:paraId="5704A52F"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tcBorders>
              <w:top w:val="single" w:sz="4" w:space="0" w:color="auto"/>
            </w:tcBorders>
            <w:vAlign w:val="center"/>
          </w:tcPr>
          <w:p w14:paraId="6841CD5F"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7/10</w:t>
            </w:r>
          </w:p>
        </w:tc>
        <w:tc>
          <w:tcPr>
            <w:tcW w:w="0" w:type="auto"/>
            <w:tcBorders>
              <w:top w:val="single" w:sz="4" w:space="0" w:color="auto"/>
            </w:tcBorders>
            <w:vAlign w:val="center"/>
          </w:tcPr>
          <w:p w14:paraId="3F70926C"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Moderate</w:t>
            </w:r>
          </w:p>
        </w:tc>
      </w:tr>
      <w:tr w:rsidR="008048DB" w:rsidRPr="008048DB" w14:paraId="48678A91" w14:textId="77777777" w:rsidTr="008048DB">
        <w:tc>
          <w:tcPr>
            <w:tcW w:w="0" w:type="auto"/>
            <w:vAlign w:val="center"/>
          </w:tcPr>
          <w:p w14:paraId="1E77820F"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Posch et.al 2005</w:t>
            </w:r>
          </w:p>
        </w:tc>
        <w:tc>
          <w:tcPr>
            <w:tcW w:w="0" w:type="auto"/>
            <w:vAlign w:val="center"/>
          </w:tcPr>
          <w:p w14:paraId="69C530AB"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4CE90B4E"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23637A7E"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3A5EEE5E"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66EB67A2"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6FF3A9BC"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71C3831C"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7489C613"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6480BF4F"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3A383602"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197CAB51"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5/10</w:t>
            </w:r>
          </w:p>
        </w:tc>
        <w:tc>
          <w:tcPr>
            <w:tcW w:w="0" w:type="auto"/>
            <w:vAlign w:val="center"/>
          </w:tcPr>
          <w:p w14:paraId="5EC50BEE"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High</w:t>
            </w:r>
          </w:p>
        </w:tc>
      </w:tr>
      <w:tr w:rsidR="008048DB" w:rsidRPr="008048DB" w14:paraId="25829509" w14:textId="77777777" w:rsidTr="008048DB">
        <w:tc>
          <w:tcPr>
            <w:tcW w:w="0" w:type="auto"/>
            <w:vAlign w:val="bottom"/>
          </w:tcPr>
          <w:p w14:paraId="473BC61A" w14:textId="77777777" w:rsidR="008048DB" w:rsidRPr="008048DB" w:rsidRDefault="008048DB" w:rsidP="00C32DD2">
            <w:pPr>
              <w:rPr>
                <w:rFonts w:asciiTheme="majorBidi" w:hAnsiTheme="majorBidi" w:cstheme="majorBidi"/>
                <w:sz w:val="20"/>
                <w:szCs w:val="20"/>
              </w:rPr>
            </w:pPr>
            <w:proofErr w:type="spellStart"/>
            <w:r w:rsidRPr="008048DB">
              <w:rPr>
                <w:rFonts w:asciiTheme="majorBidi" w:hAnsiTheme="majorBidi" w:cstheme="majorBidi"/>
                <w:color w:val="000000"/>
                <w:sz w:val="20"/>
                <w:szCs w:val="20"/>
              </w:rPr>
              <w:t>Pachón</w:t>
            </w:r>
            <w:proofErr w:type="spellEnd"/>
            <w:r w:rsidRPr="008048DB">
              <w:rPr>
                <w:rFonts w:asciiTheme="majorBidi" w:hAnsiTheme="majorBidi" w:cstheme="majorBidi"/>
                <w:color w:val="000000"/>
                <w:sz w:val="20"/>
                <w:szCs w:val="20"/>
              </w:rPr>
              <w:t xml:space="preserve"> et al 2014</w:t>
            </w:r>
          </w:p>
        </w:tc>
        <w:tc>
          <w:tcPr>
            <w:tcW w:w="0" w:type="auto"/>
            <w:vAlign w:val="center"/>
          </w:tcPr>
          <w:p w14:paraId="5B2B9CB9"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332857C6"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2DBC165B"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23B26937"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0E7B39C0"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28633B44"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01E5623E"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57F6A363"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2BE6F605"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5678DB42"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75804AB7"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6/10</w:t>
            </w:r>
          </w:p>
        </w:tc>
        <w:tc>
          <w:tcPr>
            <w:tcW w:w="0" w:type="auto"/>
            <w:vAlign w:val="center"/>
          </w:tcPr>
          <w:p w14:paraId="55BF4338"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Moderate</w:t>
            </w:r>
          </w:p>
        </w:tc>
      </w:tr>
      <w:tr w:rsidR="008048DB" w:rsidRPr="008048DB" w14:paraId="244F3312" w14:textId="77777777" w:rsidTr="008048DB">
        <w:tc>
          <w:tcPr>
            <w:tcW w:w="0" w:type="auto"/>
            <w:vAlign w:val="bottom"/>
          </w:tcPr>
          <w:p w14:paraId="1D9C3E02"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Ozkan et al 2005</w:t>
            </w:r>
          </w:p>
        </w:tc>
        <w:tc>
          <w:tcPr>
            <w:tcW w:w="0" w:type="auto"/>
            <w:vAlign w:val="center"/>
          </w:tcPr>
          <w:p w14:paraId="0E038E00"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396B3D1D"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62145454"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40F40FB4"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6E0B4986"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4210916A"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10A77364"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03027BAE"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114F661B"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2E0CCD83"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3C34F1CF"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5/10</w:t>
            </w:r>
          </w:p>
        </w:tc>
        <w:tc>
          <w:tcPr>
            <w:tcW w:w="0" w:type="auto"/>
            <w:vAlign w:val="center"/>
          </w:tcPr>
          <w:p w14:paraId="562D5628"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High</w:t>
            </w:r>
          </w:p>
        </w:tc>
      </w:tr>
      <w:tr w:rsidR="008048DB" w:rsidRPr="008048DB" w14:paraId="223518C4" w14:textId="77777777" w:rsidTr="008048DB">
        <w:tc>
          <w:tcPr>
            <w:tcW w:w="0" w:type="auto"/>
            <w:vAlign w:val="bottom"/>
          </w:tcPr>
          <w:p w14:paraId="0D66FAA8" w14:textId="77777777" w:rsidR="008048DB" w:rsidRPr="008048DB" w:rsidRDefault="008048DB" w:rsidP="00C32DD2">
            <w:pPr>
              <w:rPr>
                <w:rFonts w:asciiTheme="majorBidi" w:hAnsiTheme="majorBidi" w:cstheme="majorBidi"/>
                <w:sz w:val="20"/>
                <w:szCs w:val="20"/>
              </w:rPr>
            </w:pPr>
            <w:proofErr w:type="spellStart"/>
            <w:r w:rsidRPr="008048DB">
              <w:rPr>
                <w:rFonts w:asciiTheme="majorBidi" w:hAnsiTheme="majorBidi" w:cstheme="majorBidi"/>
                <w:color w:val="000000"/>
                <w:sz w:val="20"/>
                <w:szCs w:val="20"/>
              </w:rPr>
              <w:t>kuo</w:t>
            </w:r>
            <w:proofErr w:type="spellEnd"/>
            <w:r w:rsidRPr="008048DB">
              <w:rPr>
                <w:rFonts w:asciiTheme="majorBidi" w:hAnsiTheme="majorBidi" w:cstheme="majorBidi"/>
                <w:color w:val="000000"/>
                <w:sz w:val="20"/>
                <w:szCs w:val="20"/>
              </w:rPr>
              <w:t xml:space="preserve"> et al 2002</w:t>
            </w:r>
          </w:p>
        </w:tc>
        <w:tc>
          <w:tcPr>
            <w:tcW w:w="0" w:type="auto"/>
            <w:vAlign w:val="center"/>
          </w:tcPr>
          <w:p w14:paraId="42AAAC96"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28ABE11E"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64E80194"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3391881F"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711FE2AD"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6F4809BF"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39AACAD0"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68337317"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18D317EB"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75494EAF"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185C983F"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6/10</w:t>
            </w:r>
          </w:p>
        </w:tc>
        <w:tc>
          <w:tcPr>
            <w:tcW w:w="0" w:type="auto"/>
            <w:vAlign w:val="center"/>
          </w:tcPr>
          <w:p w14:paraId="3349685A"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Moderate</w:t>
            </w:r>
          </w:p>
        </w:tc>
      </w:tr>
      <w:tr w:rsidR="008048DB" w:rsidRPr="008048DB" w14:paraId="0A54C9A8" w14:textId="77777777" w:rsidTr="008048DB">
        <w:tc>
          <w:tcPr>
            <w:tcW w:w="0" w:type="auto"/>
            <w:vAlign w:val="bottom"/>
          </w:tcPr>
          <w:p w14:paraId="6A03E966"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Felici et al 2006</w:t>
            </w:r>
          </w:p>
        </w:tc>
        <w:tc>
          <w:tcPr>
            <w:tcW w:w="0" w:type="auto"/>
            <w:vAlign w:val="center"/>
          </w:tcPr>
          <w:p w14:paraId="331DD1DC"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1A08BCAA"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5C3A9422"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4E51B60A"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2FC187BC"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2E80F291"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23E67227"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5AB614F6"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164F168F"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732122B8"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593DE494"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4/10</w:t>
            </w:r>
          </w:p>
        </w:tc>
        <w:tc>
          <w:tcPr>
            <w:tcW w:w="0" w:type="auto"/>
            <w:vAlign w:val="center"/>
          </w:tcPr>
          <w:p w14:paraId="3676E5A5"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High</w:t>
            </w:r>
          </w:p>
        </w:tc>
      </w:tr>
      <w:tr w:rsidR="008048DB" w:rsidRPr="008048DB" w14:paraId="07A3DE69" w14:textId="77777777" w:rsidTr="008048DB">
        <w:tc>
          <w:tcPr>
            <w:tcW w:w="0" w:type="auto"/>
            <w:vAlign w:val="bottom"/>
          </w:tcPr>
          <w:p w14:paraId="71C8D5EB"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Schmidt et al 1997</w:t>
            </w:r>
          </w:p>
        </w:tc>
        <w:tc>
          <w:tcPr>
            <w:tcW w:w="0" w:type="auto"/>
            <w:vAlign w:val="center"/>
          </w:tcPr>
          <w:p w14:paraId="40C398CC"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2AC9B0B0"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168C1CF7"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183FFF15"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6A2989D0"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5698F1D0"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44819F10"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3BC0153C"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52FB7244"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135B81E2"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38927326"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5/10</w:t>
            </w:r>
          </w:p>
        </w:tc>
        <w:tc>
          <w:tcPr>
            <w:tcW w:w="0" w:type="auto"/>
            <w:vAlign w:val="center"/>
          </w:tcPr>
          <w:p w14:paraId="65584D8C"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High</w:t>
            </w:r>
          </w:p>
        </w:tc>
      </w:tr>
      <w:tr w:rsidR="008048DB" w:rsidRPr="008048DB" w14:paraId="4ECEF918" w14:textId="77777777" w:rsidTr="008048DB">
        <w:tc>
          <w:tcPr>
            <w:tcW w:w="0" w:type="auto"/>
            <w:vAlign w:val="bottom"/>
          </w:tcPr>
          <w:p w14:paraId="349820DC" w14:textId="77777777" w:rsidR="008048DB" w:rsidRPr="008048DB" w:rsidRDefault="008048DB" w:rsidP="00C32DD2">
            <w:pPr>
              <w:rPr>
                <w:rFonts w:asciiTheme="majorBidi" w:hAnsiTheme="majorBidi" w:cstheme="majorBidi"/>
                <w:sz w:val="20"/>
                <w:szCs w:val="20"/>
              </w:rPr>
            </w:pPr>
            <w:proofErr w:type="spellStart"/>
            <w:r w:rsidRPr="008048DB">
              <w:rPr>
                <w:rFonts w:asciiTheme="majorBidi" w:hAnsiTheme="majorBidi" w:cstheme="majorBidi"/>
                <w:color w:val="000000"/>
                <w:sz w:val="20"/>
                <w:szCs w:val="20"/>
              </w:rPr>
              <w:t>shieh</w:t>
            </w:r>
            <w:proofErr w:type="spellEnd"/>
            <w:r w:rsidRPr="008048DB">
              <w:rPr>
                <w:rFonts w:asciiTheme="majorBidi" w:hAnsiTheme="majorBidi" w:cstheme="majorBidi"/>
                <w:color w:val="000000"/>
                <w:sz w:val="20"/>
                <w:szCs w:val="20"/>
              </w:rPr>
              <w:t xml:space="preserve"> et al 2000</w:t>
            </w:r>
          </w:p>
        </w:tc>
        <w:tc>
          <w:tcPr>
            <w:tcW w:w="0" w:type="auto"/>
            <w:vAlign w:val="center"/>
          </w:tcPr>
          <w:p w14:paraId="4B317309"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4316F550"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62CDDE1E"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0ECF1FDC"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3B05F12C"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6E01EBF0"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5AC556EA"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5FA42B18"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38161AA0"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43083CF9"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2E17F5EC"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5.5/10</w:t>
            </w:r>
          </w:p>
        </w:tc>
        <w:tc>
          <w:tcPr>
            <w:tcW w:w="0" w:type="auto"/>
            <w:vAlign w:val="center"/>
          </w:tcPr>
          <w:p w14:paraId="684233ED"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Moderate</w:t>
            </w:r>
          </w:p>
        </w:tc>
      </w:tr>
      <w:tr w:rsidR="008048DB" w:rsidRPr="008048DB" w14:paraId="53F634AD" w14:textId="77777777" w:rsidTr="008048DB">
        <w:tc>
          <w:tcPr>
            <w:tcW w:w="0" w:type="auto"/>
            <w:vAlign w:val="bottom"/>
          </w:tcPr>
          <w:p w14:paraId="7536DA11"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 xml:space="preserve">Wade et </w:t>
            </w:r>
            <w:proofErr w:type="gramStart"/>
            <w:r w:rsidRPr="008048DB">
              <w:rPr>
                <w:rFonts w:asciiTheme="majorBidi" w:hAnsiTheme="majorBidi" w:cstheme="majorBidi"/>
                <w:color w:val="000000"/>
                <w:sz w:val="20"/>
                <w:szCs w:val="20"/>
              </w:rPr>
              <w:t>al .</w:t>
            </w:r>
            <w:proofErr w:type="gramEnd"/>
            <w:r w:rsidRPr="008048DB">
              <w:rPr>
                <w:rFonts w:asciiTheme="majorBidi" w:hAnsiTheme="majorBidi" w:cstheme="majorBidi"/>
                <w:color w:val="000000"/>
                <w:sz w:val="20"/>
                <w:szCs w:val="20"/>
              </w:rPr>
              <w:t xml:space="preserve"> 2021</w:t>
            </w:r>
          </w:p>
        </w:tc>
        <w:tc>
          <w:tcPr>
            <w:tcW w:w="0" w:type="auto"/>
            <w:vAlign w:val="center"/>
          </w:tcPr>
          <w:p w14:paraId="5458C1E6"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6C137AD4"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425C14E5"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619A7506"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7D884D3B"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7107B968"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5060B70D"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295B59B2"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308CD1B0"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2555267B"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4EB1F27B"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8/10</w:t>
            </w:r>
          </w:p>
        </w:tc>
        <w:tc>
          <w:tcPr>
            <w:tcW w:w="0" w:type="auto"/>
            <w:vAlign w:val="center"/>
          </w:tcPr>
          <w:p w14:paraId="1BB0428F"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Moderate</w:t>
            </w:r>
          </w:p>
        </w:tc>
      </w:tr>
      <w:tr w:rsidR="008048DB" w:rsidRPr="008048DB" w14:paraId="68346C88" w14:textId="77777777" w:rsidTr="008048DB">
        <w:tc>
          <w:tcPr>
            <w:tcW w:w="0" w:type="auto"/>
            <w:vAlign w:val="bottom"/>
          </w:tcPr>
          <w:p w14:paraId="274FAAB0"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Deng et al 2018</w:t>
            </w:r>
          </w:p>
        </w:tc>
        <w:tc>
          <w:tcPr>
            <w:tcW w:w="0" w:type="auto"/>
            <w:vAlign w:val="center"/>
          </w:tcPr>
          <w:p w14:paraId="3653F39C"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4DB58110"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NA</w:t>
            </w:r>
          </w:p>
        </w:tc>
        <w:tc>
          <w:tcPr>
            <w:tcW w:w="0" w:type="auto"/>
            <w:vAlign w:val="center"/>
          </w:tcPr>
          <w:p w14:paraId="4725110A"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NA</w:t>
            </w:r>
          </w:p>
        </w:tc>
        <w:tc>
          <w:tcPr>
            <w:tcW w:w="0" w:type="auto"/>
            <w:vAlign w:val="center"/>
          </w:tcPr>
          <w:p w14:paraId="740B7862"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771639F0"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2AB9B36F"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31257DEB"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065C7CFC"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25339682"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4721AD3A"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71FF6628"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5/10</w:t>
            </w:r>
          </w:p>
        </w:tc>
        <w:tc>
          <w:tcPr>
            <w:tcW w:w="0" w:type="auto"/>
            <w:vAlign w:val="center"/>
          </w:tcPr>
          <w:p w14:paraId="6DFEEF6F"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High</w:t>
            </w:r>
          </w:p>
        </w:tc>
      </w:tr>
      <w:tr w:rsidR="008048DB" w:rsidRPr="008048DB" w14:paraId="511EDC52" w14:textId="77777777" w:rsidTr="008048DB">
        <w:tc>
          <w:tcPr>
            <w:tcW w:w="0" w:type="auto"/>
            <w:vAlign w:val="bottom"/>
          </w:tcPr>
          <w:p w14:paraId="3E349D4F" w14:textId="77777777" w:rsidR="008048DB" w:rsidRPr="008048DB" w:rsidRDefault="008048DB" w:rsidP="00C32DD2">
            <w:pPr>
              <w:rPr>
                <w:rFonts w:asciiTheme="majorBidi" w:hAnsiTheme="majorBidi" w:cstheme="majorBidi"/>
                <w:sz w:val="20"/>
                <w:szCs w:val="20"/>
              </w:rPr>
            </w:pPr>
            <w:proofErr w:type="spellStart"/>
            <w:r w:rsidRPr="008048DB">
              <w:rPr>
                <w:rFonts w:asciiTheme="majorBidi" w:hAnsiTheme="majorBidi" w:cstheme="majorBidi"/>
                <w:color w:val="000000"/>
                <w:sz w:val="20"/>
                <w:szCs w:val="20"/>
              </w:rPr>
              <w:t>cheng</w:t>
            </w:r>
            <w:proofErr w:type="spellEnd"/>
            <w:r w:rsidRPr="008048DB">
              <w:rPr>
                <w:rFonts w:asciiTheme="majorBidi" w:hAnsiTheme="majorBidi" w:cstheme="majorBidi"/>
                <w:color w:val="000000"/>
                <w:sz w:val="20"/>
                <w:szCs w:val="20"/>
              </w:rPr>
              <w:t xml:space="preserve"> et al 2018</w:t>
            </w:r>
          </w:p>
        </w:tc>
        <w:tc>
          <w:tcPr>
            <w:tcW w:w="0" w:type="auto"/>
            <w:vAlign w:val="center"/>
          </w:tcPr>
          <w:p w14:paraId="0383BBDD"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6FCAD0CB"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52B8EED6"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1BAF6195"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323F62CD"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44BE2BDD"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4EA58B82"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3FE5EC58"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72A8B7F1"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4DA59FCC"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65F029B4"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8/10</w:t>
            </w:r>
          </w:p>
        </w:tc>
        <w:tc>
          <w:tcPr>
            <w:tcW w:w="0" w:type="auto"/>
            <w:vAlign w:val="center"/>
          </w:tcPr>
          <w:p w14:paraId="497CBB00"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Moderate</w:t>
            </w:r>
          </w:p>
        </w:tc>
      </w:tr>
      <w:tr w:rsidR="008048DB" w:rsidRPr="008048DB" w14:paraId="0107D2FC" w14:textId="77777777" w:rsidTr="008048DB">
        <w:tc>
          <w:tcPr>
            <w:tcW w:w="0" w:type="auto"/>
            <w:vAlign w:val="bottom"/>
          </w:tcPr>
          <w:p w14:paraId="27F71028" w14:textId="77777777" w:rsidR="008048DB" w:rsidRPr="008048DB" w:rsidRDefault="008048DB" w:rsidP="00C32DD2">
            <w:pPr>
              <w:rPr>
                <w:rFonts w:asciiTheme="majorBidi" w:hAnsiTheme="majorBidi" w:cstheme="majorBidi"/>
                <w:sz w:val="20"/>
                <w:szCs w:val="20"/>
              </w:rPr>
            </w:pPr>
            <w:proofErr w:type="spellStart"/>
            <w:r w:rsidRPr="008048DB">
              <w:rPr>
                <w:rFonts w:asciiTheme="majorBidi" w:hAnsiTheme="majorBidi" w:cstheme="majorBidi"/>
                <w:color w:val="000000"/>
                <w:sz w:val="20"/>
                <w:szCs w:val="20"/>
              </w:rPr>
              <w:t>chen</w:t>
            </w:r>
            <w:proofErr w:type="spellEnd"/>
            <w:r w:rsidRPr="008048DB">
              <w:rPr>
                <w:rFonts w:asciiTheme="majorBidi" w:hAnsiTheme="majorBidi" w:cstheme="majorBidi"/>
                <w:color w:val="000000"/>
                <w:sz w:val="20"/>
                <w:szCs w:val="20"/>
              </w:rPr>
              <w:t xml:space="preserve"> et al 2005</w:t>
            </w:r>
          </w:p>
        </w:tc>
        <w:tc>
          <w:tcPr>
            <w:tcW w:w="0" w:type="auto"/>
            <w:vAlign w:val="center"/>
          </w:tcPr>
          <w:p w14:paraId="4C338441"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6F659484"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26FF832A"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3357BBCC"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47CC5D45"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062309F2"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09412F48"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24BF90A2"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641C6886"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30E2B612"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046F9EC5"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8/10</w:t>
            </w:r>
          </w:p>
        </w:tc>
        <w:tc>
          <w:tcPr>
            <w:tcW w:w="0" w:type="auto"/>
            <w:vAlign w:val="center"/>
          </w:tcPr>
          <w:p w14:paraId="492A90F5"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Moderate</w:t>
            </w:r>
          </w:p>
        </w:tc>
      </w:tr>
      <w:tr w:rsidR="008048DB" w:rsidRPr="008048DB" w14:paraId="45BFD3EF" w14:textId="77777777" w:rsidTr="008048DB">
        <w:tc>
          <w:tcPr>
            <w:tcW w:w="0" w:type="auto"/>
            <w:vAlign w:val="bottom"/>
          </w:tcPr>
          <w:p w14:paraId="2435C811" w14:textId="77777777" w:rsidR="008048DB" w:rsidRPr="008048DB" w:rsidRDefault="008048DB" w:rsidP="00C32DD2">
            <w:pPr>
              <w:rPr>
                <w:rFonts w:asciiTheme="majorBidi" w:hAnsiTheme="majorBidi" w:cstheme="majorBidi"/>
                <w:sz w:val="20"/>
                <w:szCs w:val="20"/>
              </w:rPr>
            </w:pPr>
            <w:proofErr w:type="spellStart"/>
            <w:r w:rsidRPr="008048DB">
              <w:rPr>
                <w:rFonts w:asciiTheme="majorBidi" w:hAnsiTheme="majorBidi" w:cstheme="majorBidi"/>
                <w:color w:val="000000"/>
                <w:sz w:val="20"/>
                <w:szCs w:val="20"/>
              </w:rPr>
              <w:t>Schippera</w:t>
            </w:r>
            <w:proofErr w:type="spellEnd"/>
            <w:r w:rsidRPr="008048DB">
              <w:rPr>
                <w:rFonts w:asciiTheme="majorBidi" w:hAnsiTheme="majorBidi" w:cstheme="majorBidi"/>
                <w:color w:val="000000"/>
                <w:sz w:val="20"/>
                <w:szCs w:val="20"/>
              </w:rPr>
              <w:t xml:space="preserve"> et al 2006</w:t>
            </w:r>
          </w:p>
        </w:tc>
        <w:tc>
          <w:tcPr>
            <w:tcW w:w="0" w:type="auto"/>
            <w:vAlign w:val="center"/>
          </w:tcPr>
          <w:p w14:paraId="3E4908B2"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12DF75D0"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21B75FF7"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12E95170"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1BE5ECD6"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5EBB9B97"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5E4CE57E"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470CF35B"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56E0C911"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088E774F"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5C83B4EA"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7/10</w:t>
            </w:r>
          </w:p>
        </w:tc>
        <w:tc>
          <w:tcPr>
            <w:tcW w:w="0" w:type="auto"/>
            <w:vAlign w:val="center"/>
          </w:tcPr>
          <w:p w14:paraId="43C05D15"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Moderate</w:t>
            </w:r>
          </w:p>
        </w:tc>
      </w:tr>
      <w:tr w:rsidR="008048DB" w:rsidRPr="008048DB" w14:paraId="188A4286" w14:textId="77777777" w:rsidTr="008048DB">
        <w:tc>
          <w:tcPr>
            <w:tcW w:w="0" w:type="auto"/>
            <w:vAlign w:val="bottom"/>
          </w:tcPr>
          <w:p w14:paraId="6B32417A"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chana et al 2003</w:t>
            </w:r>
          </w:p>
        </w:tc>
        <w:tc>
          <w:tcPr>
            <w:tcW w:w="0" w:type="auto"/>
            <w:vAlign w:val="center"/>
          </w:tcPr>
          <w:p w14:paraId="0206D45E"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5B0DD4F7"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3CAFF820"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45CEBFC9"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27A06BE5"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5057FCEB"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5A8E9D35"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2C31F24A"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1328DA46"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214A7DA8"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41C361C9"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7/10</w:t>
            </w:r>
          </w:p>
        </w:tc>
        <w:tc>
          <w:tcPr>
            <w:tcW w:w="0" w:type="auto"/>
            <w:vAlign w:val="center"/>
          </w:tcPr>
          <w:p w14:paraId="7F8B27FE"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Moderate</w:t>
            </w:r>
          </w:p>
        </w:tc>
      </w:tr>
      <w:tr w:rsidR="008048DB" w:rsidRPr="008048DB" w14:paraId="20E1CCC3" w14:textId="77777777" w:rsidTr="008048DB">
        <w:tc>
          <w:tcPr>
            <w:tcW w:w="0" w:type="auto"/>
            <w:vAlign w:val="bottom"/>
          </w:tcPr>
          <w:p w14:paraId="0B26BCEA"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boca et al 2010</w:t>
            </w:r>
          </w:p>
        </w:tc>
        <w:tc>
          <w:tcPr>
            <w:tcW w:w="0" w:type="auto"/>
            <w:vAlign w:val="center"/>
          </w:tcPr>
          <w:p w14:paraId="682A1341"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313191EF"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NA</w:t>
            </w:r>
          </w:p>
        </w:tc>
        <w:tc>
          <w:tcPr>
            <w:tcW w:w="0" w:type="auto"/>
            <w:vAlign w:val="center"/>
          </w:tcPr>
          <w:p w14:paraId="55B85830"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NA</w:t>
            </w:r>
          </w:p>
        </w:tc>
        <w:tc>
          <w:tcPr>
            <w:tcW w:w="0" w:type="auto"/>
            <w:vAlign w:val="center"/>
          </w:tcPr>
          <w:p w14:paraId="1C1C0587"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7A0CC895"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5777F357"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2FBF2A25"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53C0A99A"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213762D2"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64D6DF04"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2236764B"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7/10</w:t>
            </w:r>
          </w:p>
        </w:tc>
        <w:tc>
          <w:tcPr>
            <w:tcW w:w="0" w:type="auto"/>
            <w:vAlign w:val="center"/>
          </w:tcPr>
          <w:p w14:paraId="1E64ECEC"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Moderate</w:t>
            </w:r>
          </w:p>
        </w:tc>
      </w:tr>
      <w:tr w:rsidR="008048DB" w:rsidRPr="008048DB" w14:paraId="3224B60F" w14:textId="77777777" w:rsidTr="008048DB">
        <w:tc>
          <w:tcPr>
            <w:tcW w:w="0" w:type="auto"/>
            <w:vAlign w:val="bottom"/>
          </w:tcPr>
          <w:p w14:paraId="11792311"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Amin et al 2006</w:t>
            </w:r>
          </w:p>
        </w:tc>
        <w:tc>
          <w:tcPr>
            <w:tcW w:w="0" w:type="auto"/>
            <w:vAlign w:val="center"/>
          </w:tcPr>
          <w:p w14:paraId="6F430EED"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7AA08C6F"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NA</w:t>
            </w:r>
          </w:p>
        </w:tc>
        <w:tc>
          <w:tcPr>
            <w:tcW w:w="0" w:type="auto"/>
            <w:vAlign w:val="center"/>
          </w:tcPr>
          <w:p w14:paraId="7C388591"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1F6906A3"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1B30518A"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27B4E90F"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625DBAB1"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40CFF4C3"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04EDBC3A"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2F5AB950"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vAlign w:val="center"/>
          </w:tcPr>
          <w:p w14:paraId="46840D66"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5.5/10</w:t>
            </w:r>
          </w:p>
        </w:tc>
        <w:tc>
          <w:tcPr>
            <w:tcW w:w="0" w:type="auto"/>
            <w:vAlign w:val="center"/>
          </w:tcPr>
          <w:p w14:paraId="5302EC01"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Moderate</w:t>
            </w:r>
          </w:p>
        </w:tc>
      </w:tr>
      <w:tr w:rsidR="008048DB" w:rsidRPr="008048DB" w14:paraId="62EE8117" w14:textId="77777777" w:rsidTr="008048DB">
        <w:tc>
          <w:tcPr>
            <w:tcW w:w="0" w:type="auto"/>
            <w:vAlign w:val="bottom"/>
          </w:tcPr>
          <w:p w14:paraId="4569332B" w14:textId="77777777" w:rsidR="008048DB" w:rsidRPr="008048DB" w:rsidRDefault="008048DB" w:rsidP="00C32DD2">
            <w:pPr>
              <w:rPr>
                <w:rFonts w:asciiTheme="majorBidi" w:hAnsiTheme="majorBidi" w:cstheme="majorBidi"/>
                <w:sz w:val="20"/>
                <w:szCs w:val="20"/>
              </w:rPr>
            </w:pPr>
            <w:proofErr w:type="spellStart"/>
            <w:r w:rsidRPr="008048DB">
              <w:rPr>
                <w:rFonts w:asciiTheme="majorBidi" w:hAnsiTheme="majorBidi" w:cstheme="majorBidi"/>
                <w:color w:val="000000"/>
                <w:sz w:val="20"/>
                <w:szCs w:val="20"/>
              </w:rPr>
              <w:t>rodriguez</w:t>
            </w:r>
            <w:proofErr w:type="spellEnd"/>
            <w:r w:rsidRPr="008048DB">
              <w:rPr>
                <w:rFonts w:asciiTheme="majorBidi" w:hAnsiTheme="majorBidi" w:cstheme="majorBidi"/>
                <w:color w:val="000000"/>
                <w:sz w:val="20"/>
                <w:szCs w:val="20"/>
              </w:rPr>
              <w:t xml:space="preserve"> et al 2007</w:t>
            </w:r>
          </w:p>
        </w:tc>
        <w:tc>
          <w:tcPr>
            <w:tcW w:w="0" w:type="auto"/>
            <w:vAlign w:val="center"/>
          </w:tcPr>
          <w:p w14:paraId="6FDCCAAA"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0457D7FE"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NA</w:t>
            </w:r>
          </w:p>
        </w:tc>
        <w:tc>
          <w:tcPr>
            <w:tcW w:w="0" w:type="auto"/>
            <w:vAlign w:val="center"/>
          </w:tcPr>
          <w:p w14:paraId="3905E4E5"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NA</w:t>
            </w:r>
          </w:p>
        </w:tc>
        <w:tc>
          <w:tcPr>
            <w:tcW w:w="0" w:type="auto"/>
            <w:vAlign w:val="center"/>
          </w:tcPr>
          <w:p w14:paraId="322AF2D1"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34B21CA9"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vAlign w:val="center"/>
          </w:tcPr>
          <w:p w14:paraId="300245FA"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624365B4"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4EA19B15"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28C755AA"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022E16DB"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vAlign w:val="center"/>
          </w:tcPr>
          <w:p w14:paraId="3D2F7699"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7/10</w:t>
            </w:r>
          </w:p>
        </w:tc>
        <w:tc>
          <w:tcPr>
            <w:tcW w:w="0" w:type="auto"/>
            <w:vAlign w:val="center"/>
          </w:tcPr>
          <w:p w14:paraId="60E59769"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Moderate</w:t>
            </w:r>
          </w:p>
        </w:tc>
      </w:tr>
      <w:tr w:rsidR="008048DB" w:rsidRPr="008048DB" w14:paraId="2E438918" w14:textId="77777777" w:rsidTr="008048DB">
        <w:tc>
          <w:tcPr>
            <w:tcW w:w="0" w:type="auto"/>
            <w:tcBorders>
              <w:bottom w:val="single" w:sz="4" w:space="0" w:color="auto"/>
            </w:tcBorders>
            <w:vAlign w:val="bottom"/>
          </w:tcPr>
          <w:p w14:paraId="72DB4969"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lee et al 2010</w:t>
            </w:r>
          </w:p>
        </w:tc>
        <w:tc>
          <w:tcPr>
            <w:tcW w:w="0" w:type="auto"/>
            <w:tcBorders>
              <w:bottom w:val="single" w:sz="4" w:space="0" w:color="auto"/>
            </w:tcBorders>
            <w:vAlign w:val="center"/>
          </w:tcPr>
          <w:p w14:paraId="619C3D39"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tcBorders>
              <w:bottom w:val="single" w:sz="4" w:space="0" w:color="auto"/>
            </w:tcBorders>
            <w:vAlign w:val="center"/>
          </w:tcPr>
          <w:p w14:paraId="41E5AC1E"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tcBorders>
              <w:bottom w:val="single" w:sz="4" w:space="0" w:color="auto"/>
            </w:tcBorders>
            <w:vAlign w:val="center"/>
          </w:tcPr>
          <w:p w14:paraId="2308D0C5"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Unclear</w:t>
            </w:r>
          </w:p>
        </w:tc>
        <w:tc>
          <w:tcPr>
            <w:tcW w:w="0" w:type="auto"/>
            <w:tcBorders>
              <w:bottom w:val="single" w:sz="4" w:space="0" w:color="auto"/>
            </w:tcBorders>
            <w:vAlign w:val="center"/>
          </w:tcPr>
          <w:p w14:paraId="243DCF30"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tcBorders>
              <w:bottom w:val="single" w:sz="4" w:space="0" w:color="auto"/>
            </w:tcBorders>
            <w:vAlign w:val="center"/>
          </w:tcPr>
          <w:p w14:paraId="7242320F"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tcBorders>
              <w:bottom w:val="single" w:sz="4" w:space="0" w:color="auto"/>
            </w:tcBorders>
            <w:vAlign w:val="center"/>
          </w:tcPr>
          <w:p w14:paraId="7087708B"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tcBorders>
              <w:bottom w:val="single" w:sz="4" w:space="0" w:color="auto"/>
            </w:tcBorders>
            <w:vAlign w:val="center"/>
          </w:tcPr>
          <w:p w14:paraId="16F57185"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tcBorders>
              <w:bottom w:val="single" w:sz="4" w:space="0" w:color="auto"/>
            </w:tcBorders>
            <w:vAlign w:val="center"/>
          </w:tcPr>
          <w:p w14:paraId="6110B9E1"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tcBorders>
              <w:bottom w:val="single" w:sz="4" w:space="0" w:color="auto"/>
            </w:tcBorders>
            <w:vAlign w:val="center"/>
          </w:tcPr>
          <w:p w14:paraId="59B7E047"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Yes</w:t>
            </w:r>
          </w:p>
        </w:tc>
        <w:tc>
          <w:tcPr>
            <w:tcW w:w="0" w:type="auto"/>
            <w:tcBorders>
              <w:bottom w:val="single" w:sz="4" w:space="0" w:color="auto"/>
            </w:tcBorders>
            <w:vAlign w:val="center"/>
          </w:tcPr>
          <w:p w14:paraId="7E23E113"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No</w:t>
            </w:r>
          </w:p>
        </w:tc>
        <w:tc>
          <w:tcPr>
            <w:tcW w:w="0" w:type="auto"/>
            <w:tcBorders>
              <w:bottom w:val="single" w:sz="4" w:space="0" w:color="auto"/>
            </w:tcBorders>
            <w:vAlign w:val="center"/>
          </w:tcPr>
          <w:p w14:paraId="417E9B93"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7/10</w:t>
            </w:r>
          </w:p>
        </w:tc>
        <w:tc>
          <w:tcPr>
            <w:tcW w:w="0" w:type="auto"/>
            <w:tcBorders>
              <w:bottom w:val="single" w:sz="4" w:space="0" w:color="auto"/>
            </w:tcBorders>
            <w:vAlign w:val="center"/>
          </w:tcPr>
          <w:p w14:paraId="3123320A"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color w:val="000000"/>
                <w:sz w:val="20"/>
                <w:szCs w:val="20"/>
              </w:rPr>
              <w:t>Moderate</w:t>
            </w:r>
          </w:p>
        </w:tc>
      </w:tr>
      <w:tr w:rsidR="008048DB" w:rsidRPr="008048DB" w14:paraId="76636B93" w14:textId="77777777" w:rsidTr="008048DB">
        <w:tc>
          <w:tcPr>
            <w:tcW w:w="0" w:type="auto"/>
            <w:gridSpan w:val="13"/>
            <w:tcBorders>
              <w:top w:val="single" w:sz="4" w:space="0" w:color="auto"/>
              <w:bottom w:val="single" w:sz="4" w:space="0" w:color="auto"/>
            </w:tcBorders>
            <w:vAlign w:val="center"/>
          </w:tcPr>
          <w:p w14:paraId="6FEF20ED"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 xml:space="preserve">Quality assessment is based on JBI checklist for case series developed by Joanna Briggs Institute which includes 10 questions: </w:t>
            </w:r>
          </w:p>
          <w:p w14:paraId="43CF21AD"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Q1: Were there clear criteria for inclusion in the case series?</w:t>
            </w:r>
          </w:p>
          <w:p w14:paraId="7C4BD42B"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Q2: Was the condition measured in a standard, reliable way for all participants included in the case series?</w:t>
            </w:r>
          </w:p>
          <w:p w14:paraId="04176C29"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Q3: Were valid methods used for identification of the condition for all participants included in the case series?</w:t>
            </w:r>
          </w:p>
          <w:p w14:paraId="119D2203"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Q4: Did the case series have consecutive inclusion of participants?</w:t>
            </w:r>
          </w:p>
          <w:p w14:paraId="542E7AA5"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Q5: Did the case series have complete inclusion of participants?</w:t>
            </w:r>
          </w:p>
          <w:p w14:paraId="1623F691"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Q6: Was there clear reporting of the demographics of the participants in the study?</w:t>
            </w:r>
          </w:p>
          <w:p w14:paraId="7CB6DE5B"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Q7: Was there clear reporting of clinical information of the participants?</w:t>
            </w:r>
          </w:p>
          <w:p w14:paraId="0E7D466B"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Q8: Were the outcomes or follow-up results of cases clearly reported?</w:t>
            </w:r>
          </w:p>
          <w:p w14:paraId="770325FF"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Q9: Was there clear reporting of the presenting site(s)/clinic(s) demographic information?</w:t>
            </w:r>
          </w:p>
          <w:p w14:paraId="4ED5B181"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Q10: Was statistical analysis appropriate?</w:t>
            </w:r>
          </w:p>
          <w:p w14:paraId="77078417" w14:textId="77777777" w:rsidR="008048DB" w:rsidRPr="008048DB" w:rsidRDefault="008048DB" w:rsidP="00C32DD2">
            <w:pPr>
              <w:rPr>
                <w:rFonts w:asciiTheme="majorBidi" w:hAnsiTheme="majorBidi" w:cstheme="majorBidi"/>
                <w:sz w:val="20"/>
                <w:szCs w:val="20"/>
              </w:rPr>
            </w:pPr>
            <w:r w:rsidRPr="008048DB">
              <w:rPr>
                <w:rFonts w:asciiTheme="majorBidi" w:hAnsiTheme="majorBidi" w:cstheme="majorBidi"/>
                <w:sz w:val="20"/>
                <w:szCs w:val="20"/>
              </w:rPr>
              <w:t>Scoring system: Low &gt;</w:t>
            </w:r>
            <w:proofErr w:type="gramStart"/>
            <w:r w:rsidRPr="008048DB">
              <w:rPr>
                <w:rFonts w:asciiTheme="majorBidi" w:hAnsiTheme="majorBidi" w:cstheme="majorBidi"/>
                <w:sz w:val="20"/>
                <w:szCs w:val="20"/>
              </w:rPr>
              <w:t>8 ,</w:t>
            </w:r>
            <w:proofErr w:type="gramEnd"/>
            <w:r w:rsidRPr="008048DB">
              <w:rPr>
                <w:rFonts w:asciiTheme="majorBidi" w:hAnsiTheme="majorBidi" w:cstheme="majorBidi"/>
                <w:sz w:val="20"/>
                <w:szCs w:val="20"/>
              </w:rPr>
              <w:t xml:space="preserve"> 5 &lt; Moderate &lt;=8, High &lt;=5</w:t>
            </w:r>
          </w:p>
        </w:tc>
      </w:tr>
    </w:tbl>
    <w:p w14:paraId="71362E11" w14:textId="77777777" w:rsidR="008048DB" w:rsidRPr="008048DB" w:rsidRDefault="008048DB" w:rsidP="008048DB">
      <w:pPr>
        <w:rPr>
          <w:lang w:val="en-US"/>
        </w:rPr>
      </w:pPr>
    </w:p>
    <w:p w14:paraId="440BA7C1" w14:textId="77777777" w:rsidR="00AA5490" w:rsidRPr="00AA5490" w:rsidRDefault="00AA5490" w:rsidP="00AA5490">
      <w:pPr>
        <w:rPr>
          <w:lang w:val="en-US"/>
        </w:rPr>
      </w:pPr>
    </w:p>
    <w:sectPr w:rsidR="00AA5490" w:rsidRPr="00AA54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12"/>
    <w:rsid w:val="00080812"/>
    <w:rsid w:val="004C2FE3"/>
    <w:rsid w:val="005F2878"/>
    <w:rsid w:val="00607F32"/>
    <w:rsid w:val="006C20DC"/>
    <w:rsid w:val="008048DB"/>
    <w:rsid w:val="009170D7"/>
    <w:rsid w:val="009F4002"/>
    <w:rsid w:val="00A97B66"/>
    <w:rsid w:val="00AA5490"/>
    <w:rsid w:val="00B37C14"/>
    <w:rsid w:val="00E70CB9"/>
  </w:rsids>
  <m:mathPr>
    <m:mathFont m:val="Cambria Math"/>
    <m:brkBin m:val="before"/>
    <m:brkBinSub m:val="--"/>
    <m:smallFrac m:val="0"/>
    <m:dispDef/>
    <m:lMargin m:val="0"/>
    <m:rMargin m:val="0"/>
    <m:defJc m:val="centerGroup"/>
    <m:wrapIndent m:val="1440"/>
    <m:intLim m:val="subSup"/>
    <m:naryLim m:val="undOvr"/>
  </m:mathPr>
  <w:themeFontLang w:val="en-JO" w:bidi="ar-SA"/>
  <w:clrSchemeMapping w:bg1="light1" w:t1="dark1" w:bg2="light2" w:t2="dark2" w:accent1="accent1" w:accent2="accent2" w:accent3="accent3" w:accent4="accent4" w:accent5="accent5" w:accent6="accent6" w:hyperlink="hyperlink" w:followedHyperlink="followedHyperlink"/>
  <w:decimalSymbol w:val="."/>
  <w:listSeparator w:val=","/>
  <w14:docId w14:val="50A7BF13"/>
  <w15:chartTrackingRefBased/>
  <w15:docId w15:val="{637E94F9-FF2D-1648-9F18-481087F0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J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0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080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812"/>
    <w:rPr>
      <w:rFonts w:eastAsiaTheme="majorEastAsia" w:cstheme="majorBidi"/>
      <w:color w:val="272727" w:themeColor="text1" w:themeTint="D8"/>
    </w:rPr>
  </w:style>
  <w:style w:type="paragraph" w:styleId="Title">
    <w:name w:val="Title"/>
    <w:basedOn w:val="Normal"/>
    <w:next w:val="Normal"/>
    <w:link w:val="TitleChar"/>
    <w:uiPriority w:val="10"/>
    <w:qFormat/>
    <w:rsid w:val="00080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812"/>
    <w:pPr>
      <w:spacing w:before="160"/>
      <w:jc w:val="center"/>
    </w:pPr>
    <w:rPr>
      <w:i/>
      <w:iCs/>
      <w:color w:val="404040" w:themeColor="text1" w:themeTint="BF"/>
    </w:rPr>
  </w:style>
  <w:style w:type="character" w:customStyle="1" w:styleId="QuoteChar">
    <w:name w:val="Quote Char"/>
    <w:basedOn w:val="DefaultParagraphFont"/>
    <w:link w:val="Quote"/>
    <w:uiPriority w:val="29"/>
    <w:rsid w:val="00080812"/>
    <w:rPr>
      <w:i/>
      <w:iCs/>
      <w:color w:val="404040" w:themeColor="text1" w:themeTint="BF"/>
    </w:rPr>
  </w:style>
  <w:style w:type="paragraph" w:styleId="ListParagraph">
    <w:name w:val="List Paragraph"/>
    <w:basedOn w:val="Normal"/>
    <w:uiPriority w:val="34"/>
    <w:qFormat/>
    <w:rsid w:val="00080812"/>
    <w:pPr>
      <w:ind w:left="720"/>
      <w:contextualSpacing/>
    </w:pPr>
  </w:style>
  <w:style w:type="character" w:styleId="IntenseEmphasis">
    <w:name w:val="Intense Emphasis"/>
    <w:basedOn w:val="DefaultParagraphFont"/>
    <w:uiPriority w:val="21"/>
    <w:qFormat/>
    <w:rsid w:val="00080812"/>
    <w:rPr>
      <w:i/>
      <w:iCs/>
      <w:color w:val="0F4761" w:themeColor="accent1" w:themeShade="BF"/>
    </w:rPr>
  </w:style>
  <w:style w:type="paragraph" w:styleId="IntenseQuote">
    <w:name w:val="Intense Quote"/>
    <w:basedOn w:val="Normal"/>
    <w:next w:val="Normal"/>
    <w:link w:val="IntenseQuoteChar"/>
    <w:uiPriority w:val="30"/>
    <w:qFormat/>
    <w:rsid w:val="00080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812"/>
    <w:rPr>
      <w:i/>
      <w:iCs/>
      <w:color w:val="0F4761" w:themeColor="accent1" w:themeShade="BF"/>
    </w:rPr>
  </w:style>
  <w:style w:type="character" w:styleId="IntenseReference">
    <w:name w:val="Intense Reference"/>
    <w:basedOn w:val="DefaultParagraphFont"/>
    <w:uiPriority w:val="32"/>
    <w:qFormat/>
    <w:rsid w:val="00080812"/>
    <w:rPr>
      <w:b/>
      <w:bCs/>
      <w:smallCaps/>
      <w:color w:val="0F4761" w:themeColor="accent1" w:themeShade="BF"/>
      <w:spacing w:val="5"/>
    </w:rPr>
  </w:style>
  <w:style w:type="character" w:styleId="Strong">
    <w:name w:val="Strong"/>
    <w:basedOn w:val="DefaultParagraphFont"/>
    <w:uiPriority w:val="22"/>
    <w:qFormat/>
    <w:rsid w:val="004C2FE3"/>
    <w:rPr>
      <w:b/>
      <w:bCs/>
    </w:rPr>
  </w:style>
  <w:style w:type="paragraph" w:styleId="NormalWeb">
    <w:name w:val="Normal (Web)"/>
    <w:uiPriority w:val="99"/>
    <w:semiHidden/>
    <w:unhideWhenUsed/>
    <w:qFormat/>
    <w:rsid w:val="004C2FE3"/>
    <w:pPr>
      <w:spacing w:beforeAutospacing="1" w:after="0" w:afterAutospacing="1" w:line="240" w:lineRule="auto"/>
    </w:pPr>
    <w:rPr>
      <w:rFonts w:ascii="Times New Roman" w:eastAsia="SimSun" w:hAnsi="Times New Roman" w:cs="Times New Roman"/>
      <w:kern w:val="0"/>
      <w:lang w:val="en-US" w:eastAsia="zh-CN"/>
      <w14:ligatures w14:val="none"/>
    </w:rPr>
  </w:style>
  <w:style w:type="table" w:styleId="TableGrid">
    <w:name w:val="Table Grid"/>
    <w:basedOn w:val="TableNormal"/>
    <w:uiPriority w:val="59"/>
    <w:rsid w:val="008048DB"/>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048DB"/>
    <w:pPr>
      <w:bidi/>
      <w:spacing w:after="200" w:line="240" w:lineRule="auto"/>
    </w:pPr>
    <w:rPr>
      <w:i/>
      <w:iCs/>
      <w:color w:val="0E2841"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1706</Words>
  <Characters>9729</Characters>
  <Application>Microsoft Office Word</Application>
  <DocSecurity>0</DocSecurity>
  <Lines>81</Lines>
  <Paragraphs>22</Paragraphs>
  <ScaleCrop>false</ScaleCrop>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Omar Saleh Abu Hamideh</dc:creator>
  <cp:keywords/>
  <dc:description/>
  <cp:lastModifiedBy>Ahmad Omar Saleh Abu Hamideh</cp:lastModifiedBy>
  <cp:revision>7</cp:revision>
  <dcterms:created xsi:type="dcterms:W3CDTF">2025-08-12T04:47:00Z</dcterms:created>
  <dcterms:modified xsi:type="dcterms:W3CDTF">2025-08-12T04:59:00Z</dcterms:modified>
</cp:coreProperties>
</file>