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AE16B" w14:textId="2CF96B4F" w:rsidR="00715B1B" w:rsidRPr="002F2806" w:rsidRDefault="00715B1B" w:rsidP="003F6D47">
      <w:pPr>
        <w:rPr>
          <w:rFonts w:asciiTheme="majorBidi" w:hAnsiTheme="majorBidi" w:cstheme="majorBidi"/>
          <w:sz w:val="24"/>
          <w:szCs w:val="24"/>
        </w:rPr>
      </w:pPr>
    </w:p>
    <w:p w14:paraId="1684E075" w14:textId="4366D277" w:rsidR="003842D3" w:rsidRPr="002F2806" w:rsidRDefault="00BE46D3" w:rsidP="00134F23">
      <w:pPr>
        <w:spacing w:line="360" w:lineRule="auto"/>
        <w:rPr>
          <w:rFonts w:asciiTheme="majorBidi" w:hAnsiTheme="majorBidi" w:cstheme="majorBidi"/>
          <w:sz w:val="24"/>
          <w:szCs w:val="24"/>
        </w:rPr>
        <w:sectPr w:rsidR="003842D3" w:rsidRPr="002F2806">
          <w:footerReference w:type="default" r:id="rId8"/>
          <w:pgSz w:w="12240" w:h="15840"/>
          <w:pgMar w:top="1440" w:right="1440" w:bottom="1440" w:left="1440" w:header="720" w:footer="720" w:gutter="0"/>
          <w:cols w:space="720"/>
          <w:docGrid w:linePitch="360"/>
        </w:sectPr>
      </w:pPr>
      <w:r w:rsidRPr="002F2806">
        <w:rPr>
          <w:rFonts w:asciiTheme="majorBidi" w:hAnsiTheme="majorBidi" w:cstheme="majorBidi"/>
          <w:sz w:val="24"/>
          <w:szCs w:val="24"/>
        </w:rPr>
        <w:br w:type="page"/>
      </w:r>
    </w:p>
    <w:p w14:paraId="024557BF" w14:textId="7D28FDAB" w:rsidR="00BE46D3" w:rsidRPr="001B3E06" w:rsidRDefault="002F2806" w:rsidP="001B3E06">
      <w:pPr>
        <w:pStyle w:val="Heading1"/>
        <w:spacing w:line="360" w:lineRule="auto"/>
        <w:jc w:val="center"/>
        <w:rPr>
          <w:rFonts w:asciiTheme="majorBidi" w:hAnsiTheme="majorBidi"/>
          <w:b/>
          <w:bCs/>
          <w:color w:val="000000"/>
        </w:rPr>
      </w:pPr>
      <w:bookmarkStart w:id="0" w:name="_Toc187255986"/>
      <w:r w:rsidRPr="001B3E06">
        <w:rPr>
          <w:rFonts w:asciiTheme="majorBidi" w:hAnsiTheme="majorBidi"/>
          <w:b/>
          <w:bCs/>
          <w:color w:val="000000"/>
        </w:rPr>
        <w:lastRenderedPageBreak/>
        <w:t>Appendices</w:t>
      </w:r>
      <w:bookmarkEnd w:id="0"/>
      <w:r w:rsidRPr="001B3E06">
        <w:rPr>
          <w:rFonts w:asciiTheme="majorBidi" w:hAnsiTheme="majorBidi"/>
          <w:b/>
          <w:bCs/>
          <w:color w:val="000000"/>
        </w:rPr>
        <w:t xml:space="preserve"> </w:t>
      </w:r>
    </w:p>
    <w:p w14:paraId="12EA74ED" w14:textId="77777777" w:rsidR="00B17833" w:rsidRPr="002F2806" w:rsidRDefault="00B17833" w:rsidP="00B17833">
      <w:pPr>
        <w:spacing w:line="360" w:lineRule="auto"/>
        <w:jc w:val="cente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 xml:space="preserve">Table 1. CASP Scores of Included Studies </w:t>
      </w:r>
    </w:p>
    <w:tbl>
      <w:tblPr>
        <w:tblStyle w:val="TableGridLight1"/>
        <w:tblW w:w="15281" w:type="dxa"/>
        <w:jc w:val="center"/>
        <w:tblLook w:val="04A0" w:firstRow="1" w:lastRow="0" w:firstColumn="1" w:lastColumn="0" w:noHBand="0" w:noVBand="1"/>
      </w:tblPr>
      <w:tblGrid>
        <w:gridCol w:w="1494"/>
        <w:gridCol w:w="1173"/>
        <w:gridCol w:w="1480"/>
        <w:gridCol w:w="1323"/>
        <w:gridCol w:w="1328"/>
        <w:gridCol w:w="1082"/>
        <w:gridCol w:w="1346"/>
        <w:gridCol w:w="1641"/>
        <w:gridCol w:w="1304"/>
        <w:gridCol w:w="1165"/>
        <w:gridCol w:w="1168"/>
        <w:gridCol w:w="777"/>
      </w:tblGrid>
      <w:tr w:rsidR="00B17833" w:rsidRPr="002F2806" w14:paraId="50D75886" w14:textId="77777777" w:rsidTr="002F3CA6">
        <w:trPr>
          <w:trHeight w:val="403"/>
          <w:jc w:val="center"/>
        </w:trPr>
        <w:tc>
          <w:tcPr>
            <w:tcW w:w="1494" w:type="dxa"/>
            <w:hideMark/>
          </w:tcPr>
          <w:p w14:paraId="479454AE"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Authors</w:t>
            </w:r>
          </w:p>
        </w:tc>
        <w:tc>
          <w:tcPr>
            <w:tcW w:w="1173" w:type="dxa"/>
          </w:tcPr>
          <w:p w14:paraId="208173F9"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color w:val="000000" w:themeColor="text1"/>
                <w:sz w:val="20"/>
                <w:szCs w:val="20"/>
              </w:rPr>
              <w:t>Was there a clear statement of aims of research?</w:t>
            </w:r>
          </w:p>
        </w:tc>
        <w:tc>
          <w:tcPr>
            <w:tcW w:w="1480" w:type="dxa"/>
          </w:tcPr>
          <w:p w14:paraId="214AEC5A"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color w:val="000000" w:themeColor="text1"/>
                <w:sz w:val="20"/>
                <w:szCs w:val="20"/>
              </w:rPr>
              <w:t>Is a qualitative methodology appropriate?</w:t>
            </w:r>
          </w:p>
        </w:tc>
        <w:tc>
          <w:tcPr>
            <w:tcW w:w="1323" w:type="dxa"/>
          </w:tcPr>
          <w:p w14:paraId="525A0AD1"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color w:val="000000" w:themeColor="text1"/>
                <w:sz w:val="20"/>
                <w:szCs w:val="20"/>
              </w:rPr>
              <w:t>Was the research design appropriate to address the aims of research?</w:t>
            </w:r>
          </w:p>
        </w:tc>
        <w:tc>
          <w:tcPr>
            <w:tcW w:w="1328" w:type="dxa"/>
          </w:tcPr>
          <w:p w14:paraId="635DD0C3"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color w:val="000000" w:themeColor="text1"/>
                <w:sz w:val="20"/>
                <w:szCs w:val="20"/>
              </w:rPr>
              <w:t>Was the recruitment strategy appropriate to the aims of research?</w:t>
            </w:r>
          </w:p>
        </w:tc>
        <w:tc>
          <w:tcPr>
            <w:tcW w:w="1082" w:type="dxa"/>
          </w:tcPr>
          <w:p w14:paraId="211EA4B4"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color w:val="000000" w:themeColor="text1"/>
                <w:sz w:val="20"/>
                <w:szCs w:val="20"/>
              </w:rPr>
              <w:t>Was the data collected in a way to address the research issue?</w:t>
            </w:r>
          </w:p>
        </w:tc>
        <w:tc>
          <w:tcPr>
            <w:tcW w:w="1346" w:type="dxa"/>
          </w:tcPr>
          <w:p w14:paraId="2FA15B64"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color w:val="000000" w:themeColor="text1"/>
                <w:sz w:val="20"/>
                <w:szCs w:val="20"/>
              </w:rPr>
              <w:t>Has the relationship between researcher and participants adequately considered</w:t>
            </w:r>
          </w:p>
        </w:tc>
        <w:tc>
          <w:tcPr>
            <w:tcW w:w="1641" w:type="dxa"/>
          </w:tcPr>
          <w:p w14:paraId="5C3BE88A" w14:textId="77777777" w:rsidR="00B17833" w:rsidRPr="002F2806" w:rsidRDefault="00B17833" w:rsidP="002F3CA6">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color w:val="000000" w:themeColor="text1"/>
                <w:sz w:val="20"/>
                <w:szCs w:val="20"/>
              </w:rPr>
              <w:t>Have the ethical issues been taken into consideration?</w:t>
            </w:r>
          </w:p>
        </w:tc>
        <w:tc>
          <w:tcPr>
            <w:tcW w:w="1304" w:type="dxa"/>
          </w:tcPr>
          <w:p w14:paraId="0154CE7A" w14:textId="77777777" w:rsidR="00B17833" w:rsidRPr="002F2806" w:rsidRDefault="00B17833" w:rsidP="002F3CA6">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 xml:space="preserve">Was the data analysis sufficiently rigorous?  </w:t>
            </w:r>
          </w:p>
        </w:tc>
        <w:tc>
          <w:tcPr>
            <w:tcW w:w="1165" w:type="dxa"/>
          </w:tcPr>
          <w:p w14:paraId="2D81D7B8" w14:textId="77777777" w:rsidR="00B17833" w:rsidRPr="002F2806" w:rsidRDefault="00B17833" w:rsidP="002F3CA6">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Is there a deer statement of finding?</w:t>
            </w:r>
          </w:p>
        </w:tc>
        <w:tc>
          <w:tcPr>
            <w:tcW w:w="1168" w:type="dxa"/>
          </w:tcPr>
          <w:p w14:paraId="693D6690" w14:textId="77777777" w:rsidR="00B17833" w:rsidRPr="002F2806" w:rsidRDefault="00B17833" w:rsidP="002F3CA6">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How valuable is the research?</w:t>
            </w:r>
          </w:p>
        </w:tc>
        <w:tc>
          <w:tcPr>
            <w:tcW w:w="777" w:type="dxa"/>
          </w:tcPr>
          <w:p w14:paraId="73949AE8" w14:textId="77777777" w:rsidR="00B17833" w:rsidRPr="002F2806" w:rsidRDefault="00B17833" w:rsidP="002F3CA6">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Score</w:t>
            </w:r>
          </w:p>
          <w:p w14:paraId="2707B0B7" w14:textId="77777777" w:rsidR="00B17833" w:rsidRPr="002F2806" w:rsidRDefault="00B17833" w:rsidP="002F3CA6">
            <w:pPr>
              <w:rPr>
                <w:rFonts w:asciiTheme="majorBidi" w:eastAsia="Times New Roman" w:hAnsiTheme="majorBidi" w:cstheme="majorBidi"/>
                <w:color w:val="000000" w:themeColor="text1"/>
                <w:sz w:val="20"/>
                <w:szCs w:val="20"/>
              </w:rPr>
            </w:pPr>
          </w:p>
          <w:p w14:paraId="6D132ED3" w14:textId="77777777" w:rsidR="00B17833" w:rsidRPr="002F2806" w:rsidRDefault="00B17833" w:rsidP="002F3CA6">
            <w:pPr>
              <w:rPr>
                <w:rFonts w:asciiTheme="majorBidi" w:eastAsia="Times New Roman" w:hAnsiTheme="majorBidi" w:cstheme="majorBidi"/>
                <w:color w:val="000000" w:themeColor="text1"/>
                <w:sz w:val="20"/>
                <w:szCs w:val="20"/>
              </w:rPr>
            </w:pPr>
          </w:p>
          <w:p w14:paraId="13F84666" w14:textId="77777777" w:rsidR="00B17833" w:rsidRPr="002F2806" w:rsidRDefault="00B17833" w:rsidP="002F3CA6">
            <w:pPr>
              <w:rPr>
                <w:rFonts w:asciiTheme="majorBidi" w:eastAsia="Times New Roman" w:hAnsiTheme="majorBidi" w:cstheme="majorBidi"/>
                <w:color w:val="000000" w:themeColor="text1"/>
                <w:sz w:val="20"/>
                <w:szCs w:val="20"/>
              </w:rPr>
            </w:pPr>
          </w:p>
          <w:p w14:paraId="36B16057" w14:textId="77777777" w:rsidR="00B17833" w:rsidRPr="002F2806" w:rsidRDefault="00B17833" w:rsidP="002F3CA6">
            <w:pPr>
              <w:rPr>
                <w:rFonts w:asciiTheme="majorBidi" w:eastAsia="Times New Roman" w:hAnsiTheme="majorBidi" w:cstheme="majorBidi"/>
                <w:color w:val="000000" w:themeColor="text1"/>
                <w:sz w:val="20"/>
                <w:szCs w:val="20"/>
              </w:rPr>
            </w:pPr>
          </w:p>
          <w:p w14:paraId="4DC9C6AA" w14:textId="77777777" w:rsidR="00B17833" w:rsidRPr="002F2806" w:rsidRDefault="00B17833" w:rsidP="002F3CA6">
            <w:pPr>
              <w:rPr>
                <w:rFonts w:asciiTheme="majorBidi" w:eastAsia="Times New Roman" w:hAnsiTheme="majorBidi" w:cstheme="majorBidi"/>
                <w:color w:val="000000" w:themeColor="text1"/>
                <w:sz w:val="20"/>
                <w:szCs w:val="20"/>
              </w:rPr>
            </w:pPr>
          </w:p>
        </w:tc>
      </w:tr>
      <w:tr w:rsidR="00C11E5A" w:rsidRPr="002F2806" w14:paraId="65B856F6" w14:textId="77777777" w:rsidTr="002F3CA6">
        <w:trPr>
          <w:trHeight w:val="350"/>
          <w:jc w:val="center"/>
        </w:trPr>
        <w:tc>
          <w:tcPr>
            <w:tcW w:w="1494" w:type="dxa"/>
          </w:tcPr>
          <w:p w14:paraId="706BF4AD" w14:textId="7D1111BB" w:rsidR="00C11E5A" w:rsidRPr="00C11E5A" w:rsidRDefault="00C11E5A" w:rsidP="00C11E5A">
            <w:pPr>
              <w:rPr>
                <w:rFonts w:asciiTheme="majorBidi" w:hAnsiTheme="majorBidi" w:cstheme="majorBidi"/>
                <w:sz w:val="24"/>
                <w:szCs w:val="24"/>
              </w:rPr>
            </w:pPr>
            <w:r w:rsidRPr="00C11E5A">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{"citationItems":[{"id":"ITEM-1","itemData":{"DOI":"10.1080/09540121.2013.861574","ISSN":"13600451","PMID":"24279762","abstract":"Although an increasing number of people living with HIV (PLHIV) in sub-Saharan Africa are benefiting from the rapid scale-up of antiretroviral therapy (ART), retention in HIV care and treatment services remains a major concern. We examined socioeconomic and sociocultural barriers and potential facilitators of retention in ART in Iringa, Tanzania, a region with the second highest prevalence of HIV in the country. In 2012, 116 in-depth interviews were conducted to assess community members' perceptions, barriers and facilitators of HIV treatment in Iringa, including key informants, persons at heightened risk for infection, and HIV service-delivery users. Data were transcribed, translated, entered into Atlas.ti, coded, and analyzed for key themes. In order to provide the full range of perspectives across the community on issues that may affect retention, we report findings from all 116 participants, but draw on verbatim quotes to highlight the experiences of the 14 PLHIV who reported that they were receiving HIV care and treatment services. Despite the growing availability of HIV care and treatment services in Iringa, participants reported significant barriers to retention, including lack of knowledge and misperceptions of treatment, access problems that included difficulties in reaching distant clinics and pervasive poverty that left PLHIV unable to cope with out-of-pocket costs associated with their care, persistent stigmatization of PLHIV and frequent reliance on alternative healing systems instead of biomedical treatment. Positive perceptions of the efficacy of ART, improved ART availability in the region, improved access to care through supplemental aid, and social support were perceived to enhance treatment continuation. Our findings suggest that numerous socioeconomic and sociocultural barriers inhibit retention in HIV care and treatment services in this setting. Intervention strategies that improve ART accessibility, incorporate supplemental aid, enhance social support, reduce stigma, and develop partnerships with alternative healers are needed to improve HIV-related outcomes. © 2013 Taylor &amp; Francis.","author":[{"dropping-particle":"","family":"Tomori","given":"Cecilia","non-dropping-particle":"","parse-names":false,"suffix":""},{"dropping-particle":"","family":"Kennedy","given":"Caitlin E.","non-dropping-particle":"","parse-names":false,"suffix":""},{"dropping-particle":"","family":"Brahmbhatt","given":"Heena","non-dropping-particle":"","parse-names":false,"suffix":""},{"dropping-particle":"","family":"Wagman","given":"Jennifer A.","non-dropping-particle":"","parse-names":false,"suffix":""},{"dropping-particle":"","family":"Mbwambo","given":"Jessie K.","non-dropping-particle":"","parse-names":false,"suffix":""},{"dropping-particle":"","family":"Likindikoki","given":"Samuel","non-dropping-particle":"","parse-names":false,"suffix":""},{"dropping-particle":"","family":"Kerrigan","given":"Deanna L.","non-dropping-particle":"","parse-names":false,"suffix":""}],"container-title":"AIDS Care - Psychological and Socio-Medical Aspects of AIDS/HIV","id":"ITEM-1","issue":"7","issued":{"date-parts":[["2014"]]},"page":"907-913","title":"Barriers and facilitators of retention in HIV care and treatment services in Iringa, Tanzania: The importance of socioeconomic and sociocultural factors","type":"article-journal","volume":"26"},"uris":["http://www.mendeley.com/documents/?uuid=7087e2a4-e397-41a3-af35-d630f4ca704b"]}],"mendeley":{"formattedCitation":"(Tomori &lt;i&gt;et al.&lt;/i&gt;, 2014)","plainTextFormattedCitation":"(Tomori et al., 2014)","previouslyFormattedCitation":"(Tomori et al., 2014)"},"properties":{"noteIndex":0},"schema":"https://github.com/citation-style-language/schema/raw/master/csl-citation.json"}</w:instrText>
            </w:r>
            <w:r w:rsidRPr="00C11E5A">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(Tomori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2014)</w:t>
            </w:r>
            <w:r w:rsidRPr="00C11E5A">
              <w:rPr>
                <w:rFonts w:asciiTheme="majorBidi" w:hAnsiTheme="majorBidi" w:cstheme="majorBidi"/>
                <w:sz w:val="20"/>
                <w:szCs w:val="20"/>
              </w:rPr>
              <w:fldChar w:fldCharType="end"/>
            </w:r>
          </w:p>
        </w:tc>
        <w:tc>
          <w:tcPr>
            <w:tcW w:w="1173" w:type="dxa"/>
          </w:tcPr>
          <w:p w14:paraId="7896958B"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43F3E9B6"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7F59BA76"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30534EC8"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070229B3"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79065FBC"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0493B9D8"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324D416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58D2CD28"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2A154EF9"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0E837F53"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02B268FC" w14:textId="77777777" w:rsidTr="002F3CA6">
        <w:trPr>
          <w:trHeight w:val="403"/>
          <w:jc w:val="center"/>
        </w:trPr>
        <w:tc>
          <w:tcPr>
            <w:tcW w:w="1494" w:type="dxa"/>
          </w:tcPr>
          <w:p w14:paraId="6BED03F7" w14:textId="3CFD0076" w:rsidR="00C11E5A" w:rsidRPr="00C11E5A" w:rsidRDefault="00C11E5A" w:rsidP="00C11E5A">
            <w:pPr>
              <w:rPr>
                <w:rFonts w:asciiTheme="majorBidi" w:hAnsiTheme="majorBidi" w:cstheme="majorBidi"/>
                <w:sz w:val="24"/>
                <w:szCs w:val="24"/>
              </w:rPr>
            </w:pPr>
            <w:r w:rsidRPr="00C11E5A">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{"citationItems":[{"id":"ITEM-1","itemData":{"DOI":"10.1155/2016/7673014","ISSN":"2090-7893","abstract":" Introduction . While four in ten female sex workers (FSWs) in sub-Saharan Africa are infected with HIV, only a small proportion is enrolled in HIV care. We explored facilitators and barriers to linkage to HIV care among FSWs receiving HIV testing services at a community-based organization in periurban Uganda. Methods . The cross-sectional qualitative study was conducted among 28 HIV positive FSWs from May to July 2014. Key informant interviews were conducted with five project staff and eleven peer educators. Data were collected on facilitators for and barriers to linkage to HIV care and manually analyzed following a thematic framework approach. Results . Facilitators for linkage to HIV care included the perceived good quality of health services with same-day results and immediate initiation of treatment, community peer support systems, individual’s need to remain healthy, and having alternative sources of income. Linkage barriers included perceived stigma, fear to be seen at outreach HIV clinics, fear and myths about antiretroviral therapy, lack of time to attend clinic, and financial constraints. Conclusion . Linkage to HIV care among FSWs is influenced by good quality friendly services and peer support. HIV service delivery programs for FSWs should focus on enhancing these and dealing with barriers stemming from stigma and misinformation. ","author":[{"dropping-particle":"","family":"Nakanwagi","given":"Sharon","non-dropping-particle":"","parse-names":false,"suffix":""},{"dropping-particle":"","family":"Matovu","given":"Joseph K. B.","non-dropping-particle":"","parse-names":false,"suffix":""},{"dropping-particle":"","family":"Kintu","given":"Betty N.","non-dropping-particle":"","parse-names":false,"suffix":""},{"dropping-particle":"","family":"Kaharuza","given":"Frank","non-dropping-particle":"","parse-names":false,"suffix":""},{"dropping-particle":"","family":"Wanyenze","given":"Rhoda K.","non-dropping-particle":"","parse-names":false,"suffix":""}],"container-title":"Journal of Sexually Transmitted Diseases","id":"ITEM-1","issued":{"date-parts":[["2016"]]},"page":"1-8","title":"Facilitators and Barriers to Linkage to HIV Care among Female Sex Workers Receiving HIV Testing Services at a Community-Based Organization in Periurban Uganda: A Qualitative Study","type":"article-journal","volume":"2016"},"uris":["http://www.mendeley.com/documents/?uuid=dc0897c2-4899-4f5e-a13a-7ead49282fa1"]}],"mendeley":{"formattedCitation":"(Nakanwagi &lt;i&gt;et al.&lt;/i&gt;, 2016)","plainTextFormattedCitation":"(Nakanwagi et al., 2016)","previouslyFormattedCitation":"(Nakanwagi et al., 2016)"},"properties":{"noteIndex":0},"schema":"https://github.com/citation-style-language/schema/raw/master/csl-citation.json"}</w:instrText>
            </w:r>
            <w:r w:rsidRPr="00C11E5A">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(Nakanwagi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2016)</w:t>
            </w:r>
            <w:r w:rsidRPr="00C11E5A">
              <w:rPr>
                <w:rFonts w:asciiTheme="majorBidi" w:hAnsiTheme="majorBidi" w:cstheme="majorBidi"/>
                <w:sz w:val="20"/>
                <w:szCs w:val="20"/>
              </w:rPr>
              <w:fldChar w:fldCharType="end"/>
            </w:r>
          </w:p>
        </w:tc>
        <w:tc>
          <w:tcPr>
            <w:tcW w:w="1173" w:type="dxa"/>
          </w:tcPr>
          <w:p w14:paraId="7EBE0A72"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5BA3B105"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31CB0587"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549FD76B"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131819B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1EA0106C"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7DA2D1E0"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6A5A8BF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2EB94E70"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1602FD40"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0BBA3C92"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536AC6A6" w14:textId="77777777" w:rsidTr="002F3CA6">
        <w:trPr>
          <w:trHeight w:val="403"/>
          <w:jc w:val="center"/>
        </w:trPr>
        <w:tc>
          <w:tcPr>
            <w:tcW w:w="1494" w:type="dxa"/>
          </w:tcPr>
          <w:p w14:paraId="11724B04" w14:textId="5DC67184" w:rsidR="00C11E5A" w:rsidRPr="00C11E5A" w:rsidRDefault="00C11E5A" w:rsidP="00C11E5A">
            <w:pPr>
              <w:rPr>
                <w:rFonts w:asciiTheme="majorBidi" w:hAnsiTheme="majorBidi" w:cstheme="majorBidi"/>
                <w:sz w:val="24"/>
                <w:szCs w:val="24"/>
              </w:rPr>
            </w:pPr>
            <w:r w:rsidRPr="00C11E5A">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{"citationItems":[{"id":"ITEM-1","itemData":{"DOI":"10.1186/s12889-016-3165-z","ISBN":"1288901631","ISSN":"14712458","PMID":"27296862","abstract":"Background: Though research has documented experiences of stigma and its effects on the lives of women living with HIV/AIDS, there is limited research on heterosexual positive HIV men experience of stigma in Nigeria. This study explored how social context surrounding HIV diagnosis impacts stigma experiences of heterosexual HIV positive men and their construction of masculinity in southwest Nigeria. Methods: Using purposive sampling, 17 heterosexual HIV positive men were recruited through community based organization to participate in two hours focus group discussions or 45 min in-depth interviews that were audio-recorded. Without using the word stigma, discussions and interviews were guided by four questions that explored participants' experiences of living with HIV/AIDS. Interviews and discussions were conducted in three languages: English, Yoruba and Pidgin English. Thematic data analysis approach was in coding transcribed data, while social constructivist thinking guided data analysis. Results: Participants ranged in age from 30 to 57 years old, and all were receiving antiretroviral therapy. Findings indicated that participants' experiences of stigma might be moderated by the social context surrounding their HIV diagnosis, and whether they have met the socio-cultural construction of masculinity. Participants whose diagnosis were preceded by immediate family members' diagnosis were less likely to report experiencing HIV stigma and more likely to report \"not feeling less than a man\" and educating others about HIV/AIDS. Contrarily, participants whose diagnosis was preceded by their own sickness were more likely to report isolation, sigma and feeling of being less than a man. All participants reported limiting their sexual intimacy, and those with children reported adjusting how they performed their role as fathers. Conclusions: Social context surrounding HIV diagnosis impact how heterosexual HIV positive men experience HIV related stigma and how they perceive themselves as men, which may influence their care seeking behaviors. These findings have implications for HIV programs geared towards African heterosexual men in general and HIV positive men in particular.","author":[{"dropping-particle":"","family":"Okoror","given":"Titilayo Ainegbesua","non-dropping-particle":"","parse-names":false,"suffix":""},{"dropping-particle":"","family":"Falade","given":"Catherine Olufunke","non-dropping-particle":"","parse-names":false,"suffix":""},{"dropping-particle":"","family":"Walker","given":"Ebunlomo Mary","non-dropping-particle":"","parse-names":false,"suffix":""},{"dropping-particle":"","family":"Olorunlana","given":"Adetayo","non-dropping-particle":"","parse-names":false,"suffix":""},{"dropping-particle":"","family":"Anaele","given":"Agaptus","non-dropping-particle":"","parse-names":false,"suffix":""}],"container-title":"BMC Public Health","id":"ITEM-1","issue":"1","issued":{"date-parts":[["2016"]]},"page":"1-10","publisher":"BMC Public Health","title":"Social context surrounding HIV diagnosis and construction of masculinity: A qualitative study of stigma experiences of heterosexual HIV positive men in southwest Nigeria","type":"article-journal","volume":"16"},"uris":["http://www.mendeley.com/documents/?uuid=daf8c751-add1-4073-925c-9e7b935f48f6"]}],"mendeley":{"formattedCitation":"(Okoror &lt;i&gt;et al.&lt;/i&gt;, 2016)","plainTextFormattedCitation":"(Okoror et al., 2016)","previouslyFormattedCitation":"(Okoror et al., 2016)"},"properties":{"noteIndex":0},"schema":"https://github.com/citation-style-language/schema/raw/master/csl-citation.json"}</w:instrText>
            </w:r>
            <w:r w:rsidRPr="00C11E5A">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(Okoror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2016)</w:t>
            </w:r>
            <w:r w:rsidRPr="00C11E5A">
              <w:rPr>
                <w:rFonts w:asciiTheme="majorBidi" w:hAnsiTheme="majorBidi" w:cstheme="majorBidi"/>
                <w:sz w:val="20"/>
                <w:szCs w:val="20"/>
              </w:rPr>
              <w:fldChar w:fldCharType="end"/>
            </w:r>
          </w:p>
        </w:tc>
        <w:tc>
          <w:tcPr>
            <w:tcW w:w="1173" w:type="dxa"/>
          </w:tcPr>
          <w:p w14:paraId="68B48629"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708BBC1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3BBBBF75"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2CACC425"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7AED94B5"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076ED8B9"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427CD326"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49BD3D82"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7BED82DC"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61C21B92"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6EA88E5F"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15AE7E20" w14:textId="77777777" w:rsidTr="002F3CA6">
        <w:trPr>
          <w:trHeight w:val="403"/>
          <w:jc w:val="center"/>
        </w:trPr>
        <w:tc>
          <w:tcPr>
            <w:tcW w:w="1494" w:type="dxa"/>
          </w:tcPr>
          <w:p w14:paraId="4253BD20" w14:textId="02E4BD3E" w:rsidR="00C11E5A" w:rsidRPr="00C11E5A" w:rsidRDefault="00C11E5A" w:rsidP="00C11E5A">
            <w:pPr>
              <w:rPr>
                <w:rFonts w:asciiTheme="majorBidi" w:hAnsiTheme="majorBidi" w:cstheme="majorBidi"/>
                <w:sz w:val="24"/>
                <w:szCs w:val="24"/>
              </w:rPr>
            </w:pPr>
            <w:r w:rsidRPr="00C11E5A">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{"citationItems":[{"id":"ITEM-1","itemData":{"DOI":"10.1186/s12914-017-0119-1","ISSN":"1472698X","PMID":"28476153","abstract":"Background: HIV prevalence among female sex workers (FSWs) in high burden countries in sub-Saharan Africa varies between 24 and 72%, however their access to HIV services remains limited. This study explored FSWs' perspectives of the barriers and opportunities to HIV service access in Uganda. Methods: The cross-sectional qualitative study was conducted between October and December 2013. Twenty-four focus group discussions were conducted with 190 FSWs in 12 districts. Data were analysed using manifest content analysis, using Atlas.ti software, based on the socio-ecological model. Results: FSWs indicated that HIV services were available and these included condoms, HIV testing and treatment, and management of sexually transmitted infections. However, access to HIV services was affected by several individual, societal, structural, and policy related barriers. Individual level factors included limited awareness of some prevention services, fears, and misconceptions while societal stigma was prominent. Structural and policy level barriers included inconvenient hours of operation of the clinics, inflexible facility based distribution of condoms, interuptions in the supply of condoms and other commodities, and limited package of services with virtually no access to lubricants, HIV pre- and post-exposure prophylaxis, and support following client perpetrated violence. Policies such as partner testing and involvement at antenatal care, and using only one facility for antiretroviral drug refills hindered HIV service uptake and retention in care. FSWs had major concerns with the quality of services especially discrimination and rude remarks from providers, denial or delay of services, and potential for breach of confidentiality. However, some FSWs reported positive experiences including interface with friendly providers and participated in formal and informal FSW groups, which supported them to access health services. Conclusion: Despite availability of services, FSWs faced major challenges in access to services. Comprehensive multilevel interventions targeting individual, societal, structural and policy level barriers are required to increase access to HIVservices among FSWs in Uganda. Policy and institutional adjustments should emphasize quality friendly services and expanding the package of services to meet the needs of FSWs.","author":[{"dropping-particle":"","family":"Wanyenze","given":"Rhoda K.","non-dropping-particle":"","parse-names":false,"suffix":""},{"dropping-particle":"","family":"Musinguzi","given":"Geofrey","non-dropping-particle":"","parse-names":false,"suffix":""},{"dropping-particle":"","family":"Kiguli","given":"Juliet","non-dropping-particle":"","parse-names":false,"suffix":""},{"dropping-particle":"","family":"Nuwaha","given":"Fred","non-dropping-particle":"","parse-names":false,"suffix":""},{"dropping-particle":"","family":"Mujisha","given":"Geoffrey","non-dropping-particle":"","parse-names":false,"suffix":""},{"dropping-particle":"","family":"Musinguzi","given":"Joshua","non-dropping-particle":"","parse-names":false,"suffix":""},{"dropping-particle":"","family":"Arinaitwe","given":"Jim","non-dropping-particle":"","parse-names":false,"suffix":""},{"dropping-particle":"","family":"Matovu","given":"Joseph K.B.","non-dropping-particle":"","parse-names":false,"suffix":""}],"container-title":"BMC International Health and Human Rights","id":"ITEM-1","issue":"1","issued":{"date-parts":[["2017"]]},"page":"1-11","publisher":"BMC International Health and Human Rights","title":"\"when they know that you are a sex worker, you will be the last person to be treated\": Perceptions and experiences of female sex workers in accessing HIV services in Uganda","type":"article-journal","volume":"17"},"uris":["http://www.mendeley.com/documents/?uuid=73f8ee75-278b-47fb-bc6b-ad762bed2aeb"]}],"mendeley":{"formattedCitation":"(Wanyenze &lt;i&gt;et al.&lt;/i&gt;, 2017)","plainTextFormattedCitation":"(Wanyenze et al., 2017)","previouslyFormattedCitation":"(Wanyenze et al., 2017)"},"properties":{"noteIndex":0},"schema":"https://github.com/citation-style-language/schema/raw/master/csl-citation.json"}</w:instrText>
            </w:r>
            <w:r w:rsidRPr="00C11E5A">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(Wanyenze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2017)</w:t>
            </w:r>
            <w:r w:rsidRPr="00C11E5A">
              <w:rPr>
                <w:rFonts w:asciiTheme="majorBidi" w:hAnsiTheme="majorBidi" w:cstheme="majorBidi"/>
                <w:sz w:val="20"/>
                <w:szCs w:val="20"/>
              </w:rPr>
              <w:fldChar w:fldCharType="end"/>
            </w:r>
          </w:p>
        </w:tc>
        <w:tc>
          <w:tcPr>
            <w:tcW w:w="1173" w:type="dxa"/>
          </w:tcPr>
          <w:p w14:paraId="218B40E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7645B44F"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6B232518"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3E530739"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1248F924"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148A8EFB"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229BEFCD"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534B634A"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0E2CE33B"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6B15FDA3"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45B040B0"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6DA7B49C" w14:textId="77777777" w:rsidTr="002F3CA6">
        <w:trPr>
          <w:trHeight w:val="403"/>
          <w:jc w:val="center"/>
        </w:trPr>
        <w:tc>
          <w:tcPr>
            <w:tcW w:w="1494" w:type="dxa"/>
          </w:tcPr>
          <w:p w14:paraId="62295176" w14:textId="759C9388" w:rsidR="00C11E5A" w:rsidRPr="00EB28EE" w:rsidRDefault="00C11E5A" w:rsidP="00EB28EE">
            <w:pPr>
              <w:rPr>
                <w:rFonts w:asciiTheme="majorBidi" w:hAnsiTheme="majorBidi" w:cstheme="majorBidi"/>
                <w:sz w:val="24"/>
                <w:szCs w:val="24"/>
              </w:rPr>
            </w:pPr>
            <w:r w:rsidRPr="00EB28E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{"citationItems":[{"id":"ITEM-1","itemData":{"DOI":"10.1371/journal.pone.0169388","ISBN":"1111111111","ISSN":"19326203","PMID":"28046104","abstract":"Objective: Young women bear the greatest burden of sexually transmitted infections (STIs), so it is important to identify and address barriers to STI screening in this population. We conducted a qualitative study to explore the feasibility of STI screening among adolescent girls and young women in Mombasa, Kenya. Methods: We conducted 17 in-depth interviews (IDIs) (8 with adolescent girls and 9 with young women) and 6 focus group discussions (FGDs) (4 with adolescent girls and 2 with young women, total 55 participants). The audio recordings for the IDIs and FGDs were translated and transcribed into English. Transcripts were independently reviewed by two researchers, and a set of codes was designed to help analyze the data using the content analysis approach. Data content was then analyzed manually and digitally using ATLAS. ti, and consensus was reached on central and specific emergent themes discussed by the research team. Results: Adolescent girls and young women in Mombasa, Kenya expressed willingness to participate in STI screening. A major incentive for screening was participants' desire to know their STI status, especially following perceived high-risk sexual behavior. Lack of symptoms and fear of positive test results were identified as barriers to STI screening at the individual level, while parental notification and stigmatization from parents, family members and the community were identified as barriers at the community level. Uncomfortable or embarrassing methods of specimen collection were an additional barrier. Thus, urine-based screening was felt to be the most acceptable. Conclusion: Kenyan adolescent girls and young women seem willing to participate in screening for STIs using urine testing. Addressing stigmatization by parents, health care workers and the community could further facilitate STI screening in this population.","author":[{"dropping-particle":"","family":"Avuvika","given":"Ethel","non-dropping-particle":"","parse-names":false,"suffix":""},{"dropping-particle":"","family":"Masese","given":"Linnet N.","non-dropping-particle":"","parse-names":false,"suffix":""},{"dropping-particle":"","family":"Wanje","given":"George","non-dropping-particle":"","parse-names":false,"suffix":""},{"dropping-particle":"","family":"Wanyonyi","given":"Juliet","non-dropping-particle":"","parse-names":false,"suffix":""},{"dropping-particle":"","family":"Nyaribo","given":"Benard","non-dropping-particle":"","parse-names":false,"suffix":""},{"dropping-particle":"","family":"Omoni","given":"Grace","non-dropping-particle":"","parse-names":false,"suffix":""},{"dropping-particle":"","family":"Baghazal","given":"Anisa","non-dropping-particle":"","parse-names":false,"suffix":""},{"dropping-particle":"","family":"McClelland","given":"R. Scott","non-dropping-particle":"","parse-names":false,"suffix":""}],"container-title":"PLoS ONE","id":"ITEM-1","issue":"1","issued":{"date-parts":[["2017"]]},"page":"1-12","title":"Barriers and facilitators of screening for sexually transmitted infections in adolescent girls and young women in Mombasa, Kenya: A qualitative study","type":"article-journal","volume":"12"},"uris":["http://www.mendeley.com/documents/?uuid=3531beb6-fd11-4632-9f66-175d43ab5057"]}],"mendeley":{"formattedCitation":"(Avuvika &lt;i&gt;et al.&lt;/i&gt;, 2017)","plainTextFormattedCitation":"(Avuvika et al., 2017)","previouslyFormattedCitation":"(Avuvika et al., 2017)"},"properties":{"noteIndex":0},"schema":"https://github.com/citation-style-language/schema/raw/master/csl-citation.json"}</w:instrText>
            </w:r>
            <w:r w:rsidRPr="00EB28E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(Avuvika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2017)</w:t>
            </w:r>
            <w:r w:rsidRPr="00EB28EE">
              <w:rPr>
                <w:rFonts w:asciiTheme="majorBidi" w:hAnsiTheme="majorBidi" w:cstheme="majorBidi"/>
                <w:sz w:val="20"/>
                <w:szCs w:val="20"/>
              </w:rPr>
              <w:fldChar w:fldCharType="end"/>
            </w:r>
          </w:p>
        </w:tc>
        <w:tc>
          <w:tcPr>
            <w:tcW w:w="1173" w:type="dxa"/>
          </w:tcPr>
          <w:p w14:paraId="662712C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04084040"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w:t>
            </w:r>
          </w:p>
        </w:tc>
        <w:tc>
          <w:tcPr>
            <w:tcW w:w="1323" w:type="dxa"/>
          </w:tcPr>
          <w:p w14:paraId="4B959690"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44BDFECF"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47E525A3"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3CE1C145"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3BC052DA"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5C37466B"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4F954CD0"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2DB0AE84"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6E23C775"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18ED6CC0" w14:textId="77777777" w:rsidTr="002F3CA6">
        <w:tblPrEx>
          <w:jc w:val="left"/>
        </w:tblPrEx>
        <w:trPr>
          <w:trHeight w:val="403"/>
        </w:trPr>
        <w:tc>
          <w:tcPr>
            <w:tcW w:w="1494" w:type="dxa"/>
          </w:tcPr>
          <w:p w14:paraId="55C8AE18" w14:textId="00747102" w:rsidR="00C11E5A" w:rsidRPr="00EB28EE" w:rsidRDefault="00C11E5A" w:rsidP="00EB28EE">
            <w:pPr>
              <w:rPr>
                <w:rFonts w:asciiTheme="majorBidi" w:hAnsiTheme="majorBidi" w:cstheme="majorBidi"/>
                <w:sz w:val="24"/>
                <w:szCs w:val="24"/>
              </w:rPr>
            </w:pPr>
            <w:r w:rsidRPr="00EB28E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{"citationItems":[{"id":"ITEM-1","itemData":{"DOI":"10.7448/IAS.20.4.21591","ISSN":"17582652","PMID":"28530038","abstract":"Introduction: In 2013, an estimated 2.1 million adolescents (age 10–19 years) were living with HIV globally. The extent to which health facilities provide appropriate treatment and care was unknown. To support understanding of service availability in 2014, Paediatric-Adolescent Treatment Africa (PATA), a non-governmental organisation (NGO) supporting a network of health facilities across sub-Saharan Africa, undertook a facility-level situational analysis of adolescent HIV treatment and care services in 23 countries. Methods: Two hundred and eighteen facilities, responsible for an estimated 80,072 HIV-infected adolescents in care, were surveyed. Sixty per cent of the sample were from PATA’s network, with the remaining gathered via local NGO partners and snowball sampling. Data were analysed using descriptive statistics and coding to describe central tendencies and identify themes. Results: Respondents represented three subregions: West and Central Africa (n = 59; 27%), East Africa (n = 77, 35%) and southern Africa (n = 82, 38%). Half (50%) of the facilities were in urban areas, 17% peri-urban and 33% rural settings. Insufficient data disaggregation and outcomes monitoring were critical issues. A quarter of facilities did not have a working definition of adolescence. Facilities reported non-adherence as their key challenge in adolescent service provision, but had insufficient protocols for determining and managing poor adherence and loss to follow-up. Adherence counselling focused on implications of non-adherence rather than its drivers. Facilities recommended peer support as an effective adherence and retention intervention, yet not all offered these services. Almost two-thirds reported attending to adolescents with adults and/or children, and half had no transitioning protocols. Of those with transitioning protocols, 21% moved pregnant adolescents into adult services earlier than their peers. There was limited sexual and reproductive health integration, with 63% of facilities offering these services within their HIV programmes and 46% catering to the special needs of HIV-infected pregnant adolescents. Conclusions: Results indicate that providers are challenged by adolescent adherence and reflect an insufficiently targeted approach for adolescents. Guidance on standard definitions for adherence, retention and counselling approaches is needed. Peer support may create an enabling environment and sensitize personnel. Service delivery gaps should be addresse…","author":[{"dropping-particle":"","family":"Mark","given":"Daniella","non-dropping-particle":"","parse-names":false,"suffix":""},{"dropping-particle":"","family":"Armstrong","given":"Alice","non-dropping-particle":"","parse-names":false,"suffix":""},{"dropping-particle":"","family":"Andrade","given":"Catarina","non-dropping-particle":"","parse-names":false,"suffix":""},{"dropping-particle":"","family":"Penazzato","given":"Martina","non-dropping-particle":"","parse-names":false,"suffix":""},{"dropping-particle":"","family":"Hatane","given":"Luann","non-dropping-particle":"","parse-names":false,"suffix":""},{"dropping-particle":"","family":"Taing","given":"Lina","non-dropping-particle":"","parse-names":false,"suffix":""},{"dropping-particle":"","family":"Runciman","given":"Toby","non-dropping-particle":"","parse-names":false,"suffix":""},{"dropping-particle":"","family":"Ferguson","given":"Jane","non-dropping-particle":"","parse-names":false,"suffix":""}],"container-title":"Journal of the International AIDS Society","id":"ITEM-1","issue":"Suppl 3","issued":{"date-parts":[["2017"]]},"page":"25-33","title":"HIV treatment and care services for adolescents: A situational analysis of 218 facilities in 23 sub-Saharan African countries","type":"article-journal","volume":"20"},"uris":["http://www.mendeley.com/documents/?uuid=7bb3bbcd-fb1e-4b2e-8087-6e03cbd5e3da"]}],"mendeley":{"formattedCitation":"(Mark &lt;i&gt;et al.&lt;/i&gt;, 2017)","plainTextFormattedCitation":"(Mark et al., 2017)","previouslyFormattedCitation":"(Mark et al., 2017)"},"properties":{"noteIndex":0},"schema":"https://github.com/citation-style-language/schema/raw/master/csl-citation.json"}</w:instrText>
            </w:r>
            <w:r w:rsidRPr="00EB28E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(Mark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2017)</w:t>
            </w:r>
            <w:r w:rsidRPr="00EB28EE">
              <w:rPr>
                <w:rFonts w:asciiTheme="majorBidi" w:hAnsiTheme="majorBidi" w:cstheme="majorBidi"/>
                <w:sz w:val="20"/>
                <w:szCs w:val="20"/>
              </w:rPr>
              <w:fldChar w:fldCharType="end"/>
            </w:r>
          </w:p>
        </w:tc>
        <w:tc>
          <w:tcPr>
            <w:tcW w:w="1173" w:type="dxa"/>
          </w:tcPr>
          <w:p w14:paraId="0ECBBE71"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3955A1DC"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w:t>
            </w:r>
          </w:p>
        </w:tc>
        <w:tc>
          <w:tcPr>
            <w:tcW w:w="1323" w:type="dxa"/>
          </w:tcPr>
          <w:p w14:paraId="252F403A"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20BFB99A"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76401C30"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14865613"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00A0DB7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36101F6D"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23925F1C"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41577131"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529E2B3C"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0D9D78EF" w14:textId="77777777" w:rsidTr="002F3CA6">
        <w:tblPrEx>
          <w:jc w:val="left"/>
        </w:tblPrEx>
        <w:trPr>
          <w:trHeight w:val="403"/>
        </w:trPr>
        <w:tc>
          <w:tcPr>
            <w:tcW w:w="1494" w:type="dxa"/>
          </w:tcPr>
          <w:p w14:paraId="6771ADF5" w14:textId="209D1D96" w:rsidR="00C11E5A" w:rsidRPr="00EB28EE" w:rsidRDefault="00C11E5A" w:rsidP="00EB28EE">
            <w:pPr>
              <w:rPr>
                <w:rFonts w:asciiTheme="majorBidi" w:hAnsiTheme="majorBidi" w:cstheme="majorBidi"/>
                <w:sz w:val="24"/>
                <w:szCs w:val="24"/>
              </w:rPr>
            </w:pPr>
            <w:r w:rsidRPr="00EB28E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{"citationItems":[{"id":"ITEM-1","itemData":{"DOI":"10.1136/sextrans-2016-052973","ISSN":"14723263","PMID":"28736392","abstract":"Objectives The nature of patient-provider interactions and communication is widely documented to significantly impact on patient experiences, treatment adherence and health outcomes. Yet little is known about the broader contextual factors and dynamics that shape patient-provider interactions in high HIV prevalence and limited-resource settings. Drawing on qualitative research from five sub-Saharan African countries, we seek to unpack local dynamics that serve to hinder or facilitate productive patient-provider interactions. Methods This qualitative study, conducted in Kisumu (Kenya), Kisesa (Tanzania), Manicaland (Zimbabwe), Karonga (Malawi) and uMkhanyakude (South Africa), draws upon 278 in-depth interviews with purposively sampled people living with HIV with different diagnosis and treatment histories, 29 family members of people who died due to HIV and 38 HIV healthcare workers. Data were collected using topic guides that explored patient testing and antiretroviral therapy treatment journeys. Thematic analysis was conducted, aided by NVivo V.8.0 software. Results Our analysis revealed an array of inter-related contextual factors and power dynamics shaping patient-provider interactions. These included (1) participants' perceptions of roles and identities of 'self' and 'other'; (2) conformity or resistance to the 'rules of HIV service engagement' and a 'patient-persona'; (3) the influence of significant others' views on service provision; and (4) resources in health services. We observed that these four factors/dynamics were located in the wider context of conceptualisations of power, autonomy and structure. Conclusion Patient-provider interaction is complex, multidimensional and deeply embedded in wider social dynamics. Multiple contextual domains shape patient-provider interactions in the context of HIV in sub-Saharan Africa. Interventions to improve patient experiences and treatment adherence through enhanced interactions need to go beyond the existing focus on patient-provider communication strategies.","author":[{"dropping-particle":"","family":"Ondenge","given":"Ken","non-dropping-particle":"","parse-names":false,"suffix":""},{"dropping-particle":"","family":"Renju","given":"Jenny","non-dropping-particle":"","parse-names":false,"suffix":""},{"dropping-particle":"","family":"Bonnington","given":"Oliver","non-dropping-particle":"","parse-names":false,"suffix":""},{"dropping-particle":"","family":"Moshabela","given":"Mosa","non-dropping-particle":"","parse-names":false,"suffix":""},{"dropping-particle":"","family":"Wamoyi","given":"Joyce","non-dropping-particle":"","parse-names":false,"suffix":""},{"dropping-particle":"","family":"Nyamukapa","given":"Constance","non-dropping-particle":"","parse-names":false,"suffix":""},{"dropping-particle":"","family":"Seeley","given":"Janet","non-dropping-particle":"","parse-names":false,"suffix":""},{"dropping-particle":"","family":"Wringe","given":"Alison","non-dropping-particle":"","parse-names":false,"suffix":""},{"dropping-particle":"","family":"Skovdal","given":"Morten","non-dropping-particle":"","parse-names":false,"suffix":""}],"container-title":"Sexually Transmitted Infections","id":"ITEM-1","issued":{"date-parts":[["2017"]]},"page":"1-6","title":"'I am treated well if i adhere to my HIV medication': Putting patient-provider interactions in context through insights from qualitative research in five sub-Saharan African countries","type":"article-journal","volume":"93"},"uris":["http://www.mendeley.com/documents/?uuid=33c01325-142d-4173-ae3e-c6bd9284f9f2"]}],"mendeley":{"formattedCitation":"(Ondenge &lt;i&gt;et al.&lt;/i&gt;, 2017)","plainTextFormattedCitation":"(Ondenge et al., 2017)","previouslyFormattedCitation":"(Ondenge et al., 2017)"},"properties":{"noteIndex":0},"schema":"https://github.com/citation-style-language/schema/raw/master/csl-citation.json"}</w:instrText>
            </w:r>
            <w:r w:rsidRPr="00EB28E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(Ondenge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2017)</w:t>
            </w:r>
            <w:r w:rsidRPr="00EB28EE">
              <w:rPr>
                <w:rFonts w:asciiTheme="majorBidi" w:hAnsiTheme="majorBidi" w:cstheme="majorBidi"/>
                <w:sz w:val="20"/>
                <w:szCs w:val="20"/>
              </w:rPr>
              <w:fldChar w:fldCharType="end"/>
            </w:r>
          </w:p>
        </w:tc>
        <w:tc>
          <w:tcPr>
            <w:tcW w:w="1173" w:type="dxa"/>
          </w:tcPr>
          <w:p w14:paraId="0F2B704A"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107F8A06"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w:t>
            </w:r>
          </w:p>
        </w:tc>
        <w:tc>
          <w:tcPr>
            <w:tcW w:w="1323" w:type="dxa"/>
          </w:tcPr>
          <w:p w14:paraId="07DEB212"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0561FE43"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1B63F9C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65720BED"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63406B9F"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396D9B83"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3CF3C7E2"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6F47F40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3669A2F6"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46EA2D01" w14:textId="77777777" w:rsidTr="002F3CA6">
        <w:tblPrEx>
          <w:jc w:val="left"/>
        </w:tblPrEx>
        <w:trPr>
          <w:trHeight w:val="403"/>
        </w:trPr>
        <w:tc>
          <w:tcPr>
            <w:tcW w:w="1494" w:type="dxa"/>
          </w:tcPr>
          <w:p w14:paraId="50C95051" w14:textId="3B5BAAE0" w:rsidR="00C11E5A" w:rsidRPr="00EB28EE" w:rsidRDefault="00C11E5A" w:rsidP="00EB28EE">
            <w:pPr>
              <w:rPr>
                <w:rFonts w:asciiTheme="majorBidi" w:hAnsiTheme="majorBidi" w:cstheme="majorBidi"/>
                <w:sz w:val="20"/>
                <w:szCs w:val="20"/>
              </w:rPr>
            </w:pPr>
            <w:r w:rsidRPr="00EB28E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{"citationItems":[{"id":"ITEM-1","itemData":{"DOI":"10.1186/s12913-018-3136-4","ISSN":"14726963","PMID":"29855292","abstract":"Background: Unmet need for contraception results in several health challenges such as unintended pregnancies, unwanted births and unsafe abortions. Most interventions have been unable to successfully address this unmet need due to various community and health system level factors. Identifying these inhibiting and enabling factors prior to implementation of interventions forms the basis for planning efforts to increase met needs. This qualitative study was part of the formative phase of a larger research project that aimed to develop an intervention to increase met needs for contraception through community and health system participation. The specific study component reported here explores barriers and enablers to family planning and contraceptive services provision and utilisation at community and health systems levels. Methods: Twelve focus group discussions were conducted with community members (n = 114) and two with healthcare providers (n = 19). Ten in-depth interviews were held with key stakeholders. The study was conducted in Kabwe district, Zambia. Interviews/discussions were translated and transcribed verbatim. Data were coded and organised using NVivo 10 (QSR international), and were analysed using thematic analysis. Results: Health systems barriers include long distances to healthcare facilities, stock-outs of preferred methods, lack of policies facilitating contraceptive provision in schools, and undesirable provider attitudes. Community level barriers comprise women's experience with contraceptive side effects, myths, rumours and misconceptions, societal stigma, and negative traditional and religious beliefs. On the other hand, health systems enablers consist of political will from government to expand contraceptive services access, integration of contraceptive services, provision of couples counselling, and availability of personnel to offer basic methods mix. Functional community health system structures, community desire to delay pregnancy, and knowledge of contraceptive services are enablers at a community level. Conclusions: These study findings highlight key community and health systems factors that should be considered by policy, program planners and implementers in the design and implementation of family planning and contraceptive services programmes, to ensure sustained uptake and increased met needs for contraceptive methods and services.","author":[{"dropping-particle":"","family":"Silumbwe","given":"Adam","non-dropping-particle":"","parse-names":false,"suffix":""},{"dropping-particle":"","family":"Nkole","given":"Theresa","non-dropping-particle":"","parse-names":false,"suffix":""},{"dropping-particle":"","family":"Munakampe","given":"Margarate Nzala","non-dropping-particle":"","parse-names":false,"suffix":""},{"dropping-particle":"","family":"Milford","given":"Cecilia","non-dropping-particle":"","parse-names":false,"suffix":""},{"dropping-particle":"","family":"Cordero","given":"Joanna Paula","non-dropping-particle":"","parse-names":false,"suffix":""},{"dropping-particle":"","family":"Kriel","given":"Yolandie","non-dropping-particle":"","parse-names":false,"suffix":""},{"dropping-particle":"","family":"Zulu","given":"Joseph Mumba","non-dropping-particle":"","parse-names":false,"suffix":""},{"dropping-particle":"","family":"Steyn","given":"Petrus S.","non-dropping-particle":"","parse-names":false,"suffix":""}],"container-title":"BMC Health Services Research","id":"ITEM-1","issue":"1","issued":{"date-parts":[["2018"]]},"page":"1-11","publisher":"BMC Health Services Research","title":"Community and health systems barriers and enablers to family planning and contraceptive services provision and use in Kabwe District, Zambia","type":"article-journal","volume":"18"},"uris":["http://www.mendeley.com/documents/?uuid=ad3cb0fe-a167-4199-9d9a-04c1ef1ac174"]}],"mendeley":{"formattedCitation":"(Silumbwe &lt;i&gt;et al.&lt;/i&gt;, 2018)","plainTextFormattedCitation":"(Silumbwe et al., 2018)","previouslyFormattedCitation":"(Silumbwe et al., 2018)"},"properties":{"noteIndex":0},"schema":"https://github.com/citation-style-language/schema/raw/master/csl-citation.json"}</w:instrText>
            </w:r>
            <w:r w:rsidRPr="00EB28E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(Silumbwe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2018)</w:t>
            </w:r>
            <w:r w:rsidRPr="00EB28EE">
              <w:rPr>
                <w:rFonts w:asciiTheme="majorBidi" w:hAnsiTheme="majorBidi" w:cstheme="majorBidi"/>
                <w:sz w:val="20"/>
                <w:szCs w:val="20"/>
              </w:rPr>
              <w:fldChar w:fldCharType="end"/>
            </w:r>
          </w:p>
          <w:p w14:paraId="6D3519D3" w14:textId="408E7630" w:rsidR="00C11E5A" w:rsidRPr="002F2806" w:rsidRDefault="00C11E5A" w:rsidP="00C11E5A">
            <w:pPr>
              <w:rPr>
                <w:rFonts w:asciiTheme="majorBidi" w:hAnsiTheme="majorBidi" w:cstheme="majorBidi"/>
                <w:color w:val="000000" w:themeColor="text1"/>
                <w:sz w:val="20"/>
                <w:szCs w:val="20"/>
              </w:rPr>
            </w:pPr>
          </w:p>
        </w:tc>
        <w:tc>
          <w:tcPr>
            <w:tcW w:w="1173" w:type="dxa"/>
          </w:tcPr>
          <w:p w14:paraId="292CABEA"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31CBF804"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w:t>
            </w:r>
          </w:p>
        </w:tc>
        <w:tc>
          <w:tcPr>
            <w:tcW w:w="1323" w:type="dxa"/>
          </w:tcPr>
          <w:p w14:paraId="78F67A48"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22BE0B4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6FC364A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35F94DE9"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382EA535"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7084B99E"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2ED1DAA9"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43BE4D6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76AC313F"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43B441CB" w14:textId="77777777" w:rsidTr="002F3CA6">
        <w:tblPrEx>
          <w:jc w:val="left"/>
        </w:tblPrEx>
        <w:trPr>
          <w:trHeight w:val="403"/>
        </w:trPr>
        <w:tc>
          <w:tcPr>
            <w:tcW w:w="1494" w:type="dxa"/>
          </w:tcPr>
          <w:p w14:paraId="20CD6797" w14:textId="418DD276" w:rsidR="00C11E5A" w:rsidRPr="00EB28EE" w:rsidRDefault="00C11E5A" w:rsidP="00EB28EE">
            <w:pPr>
              <w:rPr>
                <w:rFonts w:asciiTheme="majorBidi" w:hAnsiTheme="majorBidi" w:cstheme="majorBidi"/>
                <w:sz w:val="24"/>
                <w:szCs w:val="24"/>
              </w:rPr>
            </w:pPr>
            <w:r w:rsidRPr="00EB28E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{"citationItems":[{"id":"ITEM-1","itemData":{"DOI":"10.1080/23761407.2017.1397580","ISSN":"23761415","PMID":"29236624","abstract":"Background: In spite of the global decline in HIV infections, sub-Saharan Africa still accounts for a non-proportional majority of global new infections. While many studies have documented the importance of facilitating access to anti-retroviral therapy (ART) as a means of reducing infections, the relationship between interpersonal, community, healthcare facility, and policy-level factors and treatment adherence in Africa have not been well-described. The authors examined these factors in the context of prevention of mother-to-child transmission (PMTCT) of HIV in rural north-central Nigeria, where HIV burden is high and service coverage is low. Methods: Eleven focus groups (n = 105) were conducted among PMTCT clients, male partners, young women, and other community members from 39 rural and semi-rural communities to explore factors related to HIV and antenatal care service use. Data were analyzed using the Constant Comparative Method. Results: Irrespective of HIV status, participants reported barriers to access including long clinic wait times, transportation availability and cost, and the lack of HIV treatment medications. For HIV-positive women, stigma from family members, providers, and the local community affected their ability to obtain care and remain ART-adherent. In the face of these barriers, these women reflected on the importance of peer and community support, as well as the passage of laws to combat barriers to treatment access, uptake, and adherence. Conclusions: Facilitating treatment adherence may require not only focusing on the medical treatment needs of these women but also structural issues, such as the availability of providers and drugs, and systemic stigmatization of HIV-positive patients.","author":[{"dropping-particle":"","family":"Cornelius","given":"Llewellyn J.","non-dropping-particle":"","parse-names":false,"suffix":""},{"dropping-particle":"","family":"Erekaha","given":"Salome C.","non-dropping-particle":"","parse-names":false,"suffix":""},{"dropping-particle":"","family":"Okundaye","given":"Joshua N.","non-dropping-particle":"","parse-names":false,"suffix":""},{"dropping-particle":"","family":"Sam-Agudu","given":"Nadia A.","non-dropping-particle":"","parse-names":false,"suffix":""}],"container-title":"Journal of Evidence-Informed Social Work","id":"ITEM-1","issue":"1","issued":{"date-parts":[["2018"]]},"page":"38-51","publisher":"Routledge","title":"A Socio-Ecological Examination of Treatment Access, Uptake and Adherence Issues Encountered By HIV-Positive Women in Rural North-Central Nigeria","type":"article-journal","volume":"15"},"uris":["http://www.mendeley.com/documents/?uuid=b66d9c20-c807-4998-8201-1ac1ad5f4e8b"]}],"mendeley":{"formattedCitation":"(Cornelius &lt;i&gt;et al.&lt;/i&gt;, 2018)","plainTextFormattedCitation":"(Cornelius et al., 2018)","previouslyFormattedCitation":"(Cornelius et al., 2018)"},"properties":{"noteIndex":0},"schema":"https://github.com/citation-style-language/schema/raw/master/csl-citation.json"}</w:instrText>
            </w:r>
            <w:r w:rsidRPr="00EB28E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(Cornelius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2018)</w:t>
            </w:r>
            <w:r w:rsidRPr="00EB28EE">
              <w:rPr>
                <w:rFonts w:asciiTheme="majorBidi" w:hAnsiTheme="majorBidi" w:cstheme="majorBidi"/>
                <w:sz w:val="20"/>
                <w:szCs w:val="20"/>
              </w:rPr>
              <w:fldChar w:fldCharType="end"/>
            </w:r>
          </w:p>
        </w:tc>
        <w:tc>
          <w:tcPr>
            <w:tcW w:w="1173" w:type="dxa"/>
          </w:tcPr>
          <w:p w14:paraId="030BD8BC"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788665B5"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56F8C08C"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1FFFAC14"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2E79405A"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7CA6824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1AE1BA5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60B734F6"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6F779D87"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5AE32DEA"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58655D2C"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05D5F4E0" w14:textId="77777777" w:rsidTr="002F3CA6">
        <w:tblPrEx>
          <w:jc w:val="left"/>
        </w:tblPrEx>
        <w:trPr>
          <w:trHeight w:val="403"/>
        </w:trPr>
        <w:tc>
          <w:tcPr>
            <w:tcW w:w="1494" w:type="dxa"/>
          </w:tcPr>
          <w:p w14:paraId="754CD64B" w14:textId="5A48752C" w:rsidR="00C11E5A" w:rsidRPr="00EB28EE" w:rsidRDefault="00C11E5A" w:rsidP="00EB28EE">
            <w:pPr>
              <w:rPr>
                <w:rFonts w:asciiTheme="majorBidi" w:hAnsiTheme="majorBidi" w:cstheme="majorBidi"/>
                <w:sz w:val="24"/>
                <w:szCs w:val="24"/>
              </w:rPr>
            </w:pPr>
            <w:r w:rsidRPr="00EB28EE">
              <w:rPr>
                <w:rFonts w:asciiTheme="majorBidi" w:hAnsiTheme="majorBidi" w:cstheme="majorBidi"/>
                <w:sz w:val="20"/>
                <w:szCs w:val="20"/>
              </w:rPr>
              <w:fldChar w:fldCharType="begin" w:fldLock="1"/>
            </w:r>
            <w:r w:rsidRPr="00EB28EE">
              <w:rPr>
                <w:rFonts w:asciiTheme="majorBidi" w:hAnsiTheme="majorBidi" w:cstheme="majorBidi"/>
                <w:sz w:val="20"/>
                <w:szCs w:val="20"/>
              </w:rPr>
              <w:instrText>ADDIN CSL_CITATION {"citationItems":[{"id":"ITEM-1","itemData":{"DOI":"10.1108/JHR-10-2018-0119","ISSN":"2586940X","abstract":"Purpose: The purpose of this paper is to explore perceived barriers to accessing and using adolescent health services in Ghana. Design/methodology/approach: The study was a qualitative study adopting a case study design. In total, 24 adolescents were recruited from four adolescent health facilities in Tema, a suburb of Ghana, using convenient sampling. In-depth interviews with respondents were conducted coupled with the taking of field notes and personal observations. Data collection took place between January and May 2017. Data were transcribed, managed and coded for themes. Thematic analysis was guided by Braun and Clarke’s (2006) Framework. Findings: The findings of this study revealed that majority of the respondents were females (54 percent) older adolescents (above 15 years (60 percent), students (79 percent)), had junior high school education and stayed with their biological parent(s) (70 percent). Adolescents in this study perceived four main barriers that restrict their access to or use of adolescent health services. The barriers were found at the facility level, provider level, community level and personal level. Originality/value: The findings of this study provide evidence-based information for planning adolescent health care interventions that would improve adolescents’ access to and use of health services in Ghana.","author":[{"dropping-particle":"","family":"Abuosi","given":"Aaron Asibi","non-dropping-particle":"","parse-names":false,"suffix":""},{"dropping-particle":"","family":"Anaba","given":"Emmanuel Anongeba","non-dropping-particle":"","parse-names":false,"suffix":""}],"container-title":"Journal of Health Research","id":"ITEM-1","issue":"3","issued":{"date-parts":[["2019"]]},"page":"197-207","title":"Barriers on access to and use of adolescent health services in Ghana","type":"article-journal","volume":"33"},"uris":["http://www.mendeley.com/documents/?uuid=e0e1922b-11a7-4aa8-89cd-b020d772ab99"]}],"mendeley":{"formattedCitation":"(Abuosi and Anaba, 2019)","plainTextFormattedCitation":"(Abuosi and Anaba, 2019)","previouslyFormattedCitation":"(Abuosi and Anaba, 2019)"},"properties":{"noteIndex":0},"schema":"https://github.com/citation-style-language/schema/raw/master/csl-citation.json"}</w:instrText>
            </w:r>
            <w:r w:rsidRPr="00EB28EE">
              <w:rPr>
                <w:rFonts w:asciiTheme="majorBidi" w:hAnsiTheme="majorBidi" w:cstheme="majorBidi"/>
                <w:sz w:val="20"/>
                <w:szCs w:val="20"/>
              </w:rPr>
              <w:fldChar w:fldCharType="separate"/>
            </w:r>
            <w:r w:rsidRPr="00EB28EE">
              <w:rPr>
                <w:rFonts w:asciiTheme="majorBidi" w:hAnsiTheme="majorBidi" w:cstheme="majorBidi"/>
                <w:noProof/>
                <w:sz w:val="20"/>
                <w:szCs w:val="20"/>
              </w:rPr>
              <w:t>(Abuosi and Anaba, 2019)</w:t>
            </w:r>
            <w:r w:rsidRPr="00EB28EE">
              <w:rPr>
                <w:rFonts w:asciiTheme="majorBidi" w:hAnsiTheme="majorBidi" w:cstheme="majorBidi"/>
                <w:sz w:val="20"/>
                <w:szCs w:val="20"/>
              </w:rPr>
              <w:fldChar w:fldCharType="end"/>
            </w:r>
          </w:p>
        </w:tc>
        <w:tc>
          <w:tcPr>
            <w:tcW w:w="1173" w:type="dxa"/>
          </w:tcPr>
          <w:p w14:paraId="1FC5FB60"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09495CBB"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5E773704"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1E86806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28F9A59F"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0C539E4E"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7EECCC22"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5D601E39"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4B7463DF"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4B2842D2"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62983FD7"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23C9593A" w14:textId="77777777" w:rsidTr="002F3CA6">
        <w:tblPrEx>
          <w:jc w:val="left"/>
        </w:tblPrEx>
        <w:trPr>
          <w:trHeight w:val="403"/>
        </w:trPr>
        <w:tc>
          <w:tcPr>
            <w:tcW w:w="1494" w:type="dxa"/>
          </w:tcPr>
          <w:p w14:paraId="28CD0F55" w14:textId="26244821" w:rsidR="00C11E5A" w:rsidRPr="00EB28EE" w:rsidRDefault="00C11E5A" w:rsidP="00EB28EE">
            <w:pPr>
              <w:rPr>
                <w:rFonts w:asciiTheme="majorBidi" w:hAnsiTheme="majorBidi" w:cstheme="majorBidi"/>
                <w:sz w:val="20"/>
                <w:szCs w:val="20"/>
              </w:rPr>
            </w:pPr>
            <w:r w:rsidRPr="00EB28E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{"citationItems":[{"id":"ITEM-1","itemData":{"DOI":"10.1089/apc.2019.0053","ISSN":"15577449","PMID":"31517526","abstract":"Previous qualitative studies about antiretroviral therapy (ART) adherence have largely focused on patient experiences. Less is known about the perspective of health care providers - particularly in low-income countries - who serve as gatekeepers and influencers of patients' HIV care experiences. This study explored patients' and providers' perceptions of important ART adherence determinants. Interviews were conducted at HIV treatment sites in Tanzania and Uganda, with adult patients on ART (n = 148), and with health care providers (n = 49). Patients were asked about their experiences with ART adherence, and providers were asked about their perceptions of what adherence challenges are faced by their patients. All interviews were conducted in local languages; transcripts were translated into English and analyzed using a codebook informed by the social ecological model. Themes were examined across and within countries. Adherence-related challenges were frequently reported, but patients and providers did not often agree about the reasons. Many patients cited challenges related to being away from home and therefore away from their pill supply; and, in Uganda, challenges picking up refills (access to care) and related to food sufficiency/diet. Providers also identified these access to care barriers, but otherwise focused on different key determinants (e.g., they rarely mentioned food/diet); instead, providers were more likely to mention alcohol/alcoholism, stigma, and lack of understanding about the importance of adhering. These findings suggest areas of opportunity for future research and for improving clinical care by aligning perceptions of adherence challenges, to deliver better-informed and useful ART counseling and support.","author":[{"dropping-particle":"","family":"Moucheraud","given":"Corrina","non-dropping-particle":"","parse-names":false,"suffix":""},{"dropping-particle":"","family":"Stern","given":"Amy F.","non-dropping-particle":"","parse-names":false,"suffix":""},{"dropping-particle":"","family":"Ahearn","given":"Canice","non-dropping-particle":"","parse-names":false,"suffix":""},{"dropping-particle":"","family":"Ismail","given":"Anisa","non-dropping-particle":"","parse-names":false,"suffix":""},{"dropping-particle":"","family":"Nsubuga-Nyombi","given":"Tamara","non-dropping-particle":"","parse-names":false,"suffix":""},{"dropping-particle":"","family":"Ngonyani","given":"Monica M.","non-dropping-particle":"","parse-names":false,"suffix":""},{"dropping-particle":"","family":"Mvungi","given":"Jane","non-dropping-particle":"","parse-names":false,"suffix":""},{"dropping-particle":"","family":"Ssensamba","given":"Jude","non-dropping-particle":"","parse-names":false,"suffix":""}],"container-title":"AIDS Patient Care and STDs","id":"ITEM-1","issue":"9","issued":{"date-parts":[["2019"]]},"page":"406-413","title":"Barriers to HIV treatment adherence: A qualitative study of discrepancies between perceptions of patients and health providers in Tanzania and Uganda","type":"article-journal","volume":"33"},"uris":["http://www.mendeley.com/documents/?uuid=288cbcac-09b1-4f3f-83e6-673fbaeab5b9"]}],"mendeley":{"formattedCitation":"(Moucheraud &lt;i&gt;et al.&lt;/i&gt;, 2019)","plainTextFormattedCitation":"(Moucheraud et al., 2019)","previouslyFormattedCitation":"(Moucheraud et al., 2019)"},"properties":{"noteIndex":0},"schema":"https://github.com/citation-style-language/schema/raw/master/csl-citation.json"}</w:instrText>
            </w:r>
            <w:r w:rsidRPr="00EB28E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(Moucheraud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2019)</w:t>
            </w:r>
            <w:r w:rsidRPr="00EB28EE">
              <w:rPr>
                <w:rFonts w:asciiTheme="majorBidi" w:hAnsiTheme="majorBidi" w:cstheme="majorBidi"/>
                <w:sz w:val="20"/>
                <w:szCs w:val="20"/>
              </w:rPr>
              <w:fldChar w:fldCharType="end"/>
            </w:r>
          </w:p>
          <w:p w14:paraId="7C1FD9B6" w14:textId="5211196E" w:rsidR="00C11E5A" w:rsidRPr="002F2806" w:rsidRDefault="00C11E5A" w:rsidP="00C11E5A">
            <w:pPr>
              <w:rPr>
                <w:rFonts w:asciiTheme="majorBidi" w:hAnsiTheme="majorBidi" w:cstheme="majorBidi"/>
                <w:color w:val="000000" w:themeColor="text1"/>
                <w:sz w:val="20"/>
                <w:szCs w:val="20"/>
              </w:rPr>
            </w:pPr>
          </w:p>
        </w:tc>
        <w:tc>
          <w:tcPr>
            <w:tcW w:w="1173" w:type="dxa"/>
          </w:tcPr>
          <w:p w14:paraId="6CF01EF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52E1C420"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3A2DCEFA"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0A6A0E03"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21A83D9E"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4E509689"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04ABF232"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53771545"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1A77DF3F"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03BC2BF0"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64EE4491"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7D1889B0" w14:textId="77777777" w:rsidTr="002F3CA6">
        <w:tblPrEx>
          <w:jc w:val="left"/>
        </w:tblPrEx>
        <w:trPr>
          <w:trHeight w:val="403"/>
        </w:trPr>
        <w:tc>
          <w:tcPr>
            <w:tcW w:w="1494" w:type="dxa"/>
          </w:tcPr>
          <w:p w14:paraId="7E70C4C8" w14:textId="12A4A09F" w:rsidR="00C11E5A" w:rsidRPr="00EB28EE" w:rsidRDefault="00C11E5A" w:rsidP="00EB28EE">
            <w:pPr>
              <w:rPr>
                <w:rFonts w:asciiTheme="majorBidi" w:hAnsiTheme="majorBidi" w:cstheme="majorBidi"/>
                <w:sz w:val="24"/>
                <w:szCs w:val="24"/>
              </w:rPr>
            </w:pPr>
            <w:r w:rsidRPr="00EB28E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{"citationItems":[{"id":"ITEM-1","itemData":{"DOI":"10.1186/s12879-020-05649-5","ISSN":"14712334","PMID":"33287723","abstract":"Background: Trans-women sex workers bear the greatest brunt of HIV and other sexually transmitted infections (STI). Trans-women are 49 times more at risk of HIV infections compared to the general population. However, they remain underserved and continue to grapple with access to and utilisation of HIV/STI prevention services. This study explored barriers to access and utilisation of HIV/STI prevention services and associated coping mechanisms. Methods: This exploratory qualitative study was conducted among trans-women sex workers in the Greater Kampala Metropolitan area, Uganda. A total of 22 in-depth interviews, 6 key informant interviews and 9 focus group discussions were conducted to obtain data on barriers to access and utilisation of HIV and other STI prevention and care services, and coping strategies of trans-women sex workers. Data were analysed through thematic analysis using a hybrid of inductive and deductive approaches. Results: Individual level barriers to access and utilisation of HIV/STI prevention and care services included internalised stigma and low socio-economic status. Healthcare system barriers included social exclusion and lack of recognition by other key population groups; stigmatisation by some healthcare providers; breach of confidentiality by some healthcare providers; limited hours of operation of some key population-friendly healthcare facilities; discrimination by straight patients and healthcare providers; stockout of STI drugs; inadequate access to well-equipped treatment centres and high cost of drugs. At community level, transphobia hindered access and utilisation of HIV/STI prevention and care services. The coping strategies included use of substitutes such as lotions, avocado or yoghurt to cope with a lack of lubricants. Herbs were used as substitutes for STI drugs, while psychoactive substances were used to cope with stigma and discrimination, and changing the dress code to hide their preferred gender identity. Conclusions: Individual, community and healthcare system barriers hindered access and utilisation of HIV/STI prevention and care services among the trans-women sex workers. There is a need to create an enabling environment in order to enhance access to and utilisation of HIV/STI prevention and care services for trans-women sex workers through sensitisation of healthcare providers, other key population groups and the community at large on the transgender identity.","author":[{"dropping-particle":"","family":"Ssekamatte","given":"Tonny","non-dropping-particle":"","parse-names":false,"suffix":""},{"dropping-particle":"","family":"Isunju","given":"John Bosco","non-dropping-particle":"","parse-names":false,"suffix":""},{"dropping-particle":"","family":"Naume","given":"Muyanga","non-dropping-particle":"","parse-names":false,"suffix":""},{"dropping-particle":"","family":"Buregyeya","given":"Esther","non-dropping-particle":"","parse-names":false,"suffix":""},{"dropping-particle":"","family":"Mugambe","given":"Richard K.","non-dropping-particle":"","parse-names":false,"suffix":""},{"dropping-particle":"","family":"Wanyenze","given":"Rhoda K.","non-dropping-particle":"","parse-names":false,"suffix":""},{"dropping-particle":"","family":"Bukenya","given":"Justine N.","non-dropping-particle":"","parse-names":false,"suffix":""}],"container-title":"BMC Infectious Diseases","id":"ITEM-1","issue":"1","issued":{"date-parts":[["2020"]]},"page":"1-15","publisher":"BMC Infectious Diseases","title":"Barriers to access and utilisation of HIV/STIs prevention and care services among trans-women sex workers in the greater Kampala metropolitan area, Uganda","type":"article-journal","volume":"20"},"uris":["http://www.mendeley.com/documents/?uuid=59be3ca4-06e0-4729-9af6-d15897cb3cbe"]}],"mendeley":{"formattedCitation":"(Ssekamatte &lt;i&gt;et al.&lt;/i&gt;, 2020)","plainTextFormattedCitation":"(Ssekamatte et al., 2020)","previouslyFormattedCitation":"(Ssekamatte et al., 2020)"},"properties":{"noteIndex":0},"schema":"https://github.com/citation-style-language/schema/raw/master/csl-citation.json"}</w:instrText>
            </w:r>
            <w:r w:rsidRPr="00EB28E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(Ssekamatte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2020)</w:t>
            </w:r>
            <w:r w:rsidRPr="00EB28EE">
              <w:rPr>
                <w:rFonts w:asciiTheme="majorBidi" w:hAnsiTheme="majorBidi" w:cstheme="majorBidi"/>
                <w:sz w:val="20"/>
                <w:szCs w:val="20"/>
              </w:rPr>
              <w:fldChar w:fldCharType="end"/>
            </w:r>
          </w:p>
        </w:tc>
        <w:tc>
          <w:tcPr>
            <w:tcW w:w="1173" w:type="dxa"/>
          </w:tcPr>
          <w:p w14:paraId="473A2E22"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1E08A366"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4C7139C0"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2EC14F58"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490DBF94"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2F7B7E16"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2FA0EC5B"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4B983B25"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2A21DD59"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7035702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4D1D6E2D"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11AFD0DB" w14:textId="77777777" w:rsidTr="002F3CA6">
        <w:tblPrEx>
          <w:jc w:val="left"/>
        </w:tblPrEx>
        <w:trPr>
          <w:trHeight w:val="403"/>
        </w:trPr>
        <w:tc>
          <w:tcPr>
            <w:tcW w:w="1494" w:type="dxa"/>
          </w:tcPr>
          <w:p w14:paraId="0875DF51" w14:textId="66652064" w:rsidR="00C11E5A" w:rsidRPr="00455FFE" w:rsidRDefault="00C11E5A" w:rsidP="00455FFE">
            <w:pPr>
              <w:rPr>
                <w:rFonts w:asciiTheme="majorBidi" w:hAnsiTheme="majorBidi" w:cstheme="majorBidi"/>
                <w:sz w:val="20"/>
                <w:szCs w:val="20"/>
              </w:rPr>
            </w:pPr>
            <w:r w:rsidRPr="00455FFE">
              <w:rPr>
                <w:rFonts w:asciiTheme="majorBidi" w:hAnsiTheme="majorBidi" w:cstheme="majorBidi"/>
                <w:sz w:val="20"/>
                <w:szCs w:val="20"/>
              </w:rPr>
              <w:lastRenderedPageBreak/>
              <w:fldChar w:fldCharType="begin" w:fldLock="1"/>
            </w:r>
            <w:r w:rsidR="00517FC3">
              <w:rPr>
                <w:rFonts w:asciiTheme="majorBidi" w:hAnsiTheme="majorBidi" w:cstheme="majorBidi"/>
                <w:sz w:val="20"/>
                <w:szCs w:val="20"/>
              </w:rPr>
              <w:instrText>ADDIN CSL_CITATION {"citationItems":[{"id":"ITEM-1","itemData":{"DOI":"10.1016/S2352-4642(20)30335-7","ISSN":"23524642","PMID":"33417838","abstract":"Background: The prevalence of sexually transmitted infections (STIs) among youth is high in sub-Saharan Africa. We investigated the uptake of testing for and prevalence of Chlamydia trachomatis (chlamydia) and Neisseria gonorrhoeae (gonorrhoea) infections among youth in community-based settings in Zimbabwe, and explored the facilitators and barriers to testing. Methods: This study was nested within a cluster randomised trial of community-based delivery of integrated HIV and sexual and reproductive health services for youth aged 16–24 years. Chlamydia and gonorrhoea testing via urine samples using the Xpert CT/NG test was offered in the four intervention clusters in Harare, Zimbabwe. Factors associated with testing uptake were investigated in a subset of participants (n=257) using hierarchical multivariate logistic regression. In-depth interviews with a separate purposively selected sample (n=26) explored facilitators and barriers to STI testing and partner notification and were analysed using thematic analysis. Findings: Between June 1, 2019, and Jan 31, 2020, there were 6200 attendances by 4440 participants (78·2% women, 21·8% men) median age 20·3 (IQR 17·9–22·8) years. 1478 participants had 1501 tests done, and 248 tests were positive and 1253 tests were negative for chlamydia or gonorrhoea, or both. STI test uptake was 33·3% (95% CI 31·9–34·7), increasing from 11·7% in June, 2019, to 37·1% in January, 2020. The prevalence of chlamydia or gonorrhoea, or both, was 16·5% (95% CI 14·7–18·5; 248 of 1501), with only seven participants (3%) showing symptoms. The overall yield of testing was 4·0% (95% CI 3·5–4·5; 248 of 6200). Uptake was associated with having symptoms (adjusted odds ratio [OR] 14·8, 95% CI 1·66–132·07) and negatively associated with being single (adjusted OR 0·33, 95% CI 0·13–0·84) or having a boyfriend or girlfriend (adjusted OR 0·19, 95% CI 0·087–0·43) compared with being married, and being a student compared with being employed (adjusted OR 0·26, 95% CI 0·10–0·68). Perceived risk and symptoms of STIs were motivators for testing whereas misinformation, anticipated stigma, and concern about confidentiality were barriers. Interpretation: The prevalence of chlamydia or gonorrhoea, or both, was high among youth but only a minority were symptomatic. Therefore most infections would remain untreated without access to STI testing. Provision of education, counselling, and confidentiality are essential to improve uptake and acceptability of STI tes…","author":[{"dropping-particle":"","family":"Martin","given":"Kevin","non-dropping-particle":"","parse-names":false,"suffix":""},{"dropping-particle":"","family":"Olaru","given":"Ioana D.","non-dropping-particle":"","parse-names":false,"suffix":""},{"dropping-particle":"","family":"Buwu","given":"Nyasha","non-dropping-particle":"","parse-names":false,"suffix":""},{"dropping-particle":"","family":"Bandason","given":"Tsitsi","non-dropping-particle":"","parse-names":false,"suffix":""},{"dropping-particle":"","family":"Marks","given":"Michael","non-dropping-particle":"","parse-names":false,"suffix":""},{"dropping-particle":"","family":"Dauya","given":"Ethel","non-dropping-particle":"","parse-names":false,"suffix":""},{"dropping-particle":"","family":"Muzangwa","given":"Joice","non-dropping-particle":"","parse-names":false,"suffix":""},{"dropping-particle":"","family":"Mabey","given":"David","non-dropping-particle":"","parse-names":false,"suffix":""},{"dropping-particle":"","family":"Dziva Chikwari","given":"Chido","non-dropping-particle":"","parse-names":false,"suffix":""},{"dropping-particle":"","family":"Francis","given":"Suzanna C.","non-dropping-particle":"","parse-names":false,"suffix":""},{"dropping-particle":"","family":"Tembo","given":"Mandikudza","non-dropping-particle":"","parse-names":false,"suffix":""},{"dropping-particle":"","family":"Mavodza","given":"Constancia","non-dropping-particle":"","parse-names":false,"suffix":""},{"dropping-particle":"","family":"Simms","given":"Victoria","non-dropping-particle":"","parse-names":false,"suffix":""},{"dropping-particle":"","family":"Mackworth-Young","given":"Constance R.S.","non-dropping-particle":"","parse-names":false,"suffix":""},{"dropping-particle":"","family":"Machiha","given":"Anna","non-dropping-particle":"","parse-names":false,"suffix":""},{"dropping-particle":"","family":"Kranzer","given":"Katharina","non-dropping-particle":"","parse-names":false,"suffix":""},{"dropping-particle":"","family":"Ferrand","given":"Rashida A.","non-dropping-particle":"","parse-names":false,"suffix":""}],"container-title":"The Lancet Child and Adolescent Health","id":"ITEM-1","issue":"2","issued":{"date-parts":[["2021"]]},"page":"122-132","publisher":"The Author(s). Published by Elsevier Ltd. This is an Open Access article under the CC BY 4.0 license","title":"Uptake of and factors associated with testing for sexually transmitted infections in community-based settings among youth in Zimbabwe: a mixed-methods study","type":"article-journal","volume":"5"},"uris":["http://www.mendeley.com/documents/?uuid=e09d0fcf-358b-4f93-84e3-cbfa440fe08d"]}],"mendeley":{"formattedCitation":"(Martin &lt;i&gt;et al.&lt;/i&gt;, 2021)","plainTextFormattedCitation":"(Martin et al., 2021)","previouslyFormattedCitation":"(Martin et al., 2021)"},"properties":{"noteIndex":0},"schema":"https://github.com/citation-style-language/schema/raw/master/csl-citation.json"}</w:instrText>
            </w:r>
            <w:r w:rsidRPr="00455FF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(Martin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2021)</w:t>
            </w:r>
            <w:r w:rsidRPr="00455FFE">
              <w:rPr>
                <w:rFonts w:asciiTheme="majorBidi" w:hAnsiTheme="majorBidi" w:cstheme="majorBidi"/>
                <w:sz w:val="20"/>
                <w:szCs w:val="20"/>
              </w:rPr>
              <w:fldChar w:fldCharType="end"/>
            </w:r>
          </w:p>
          <w:p w14:paraId="316720DF" w14:textId="77777777" w:rsidR="00C11E5A" w:rsidRPr="002F2806" w:rsidRDefault="00C11E5A" w:rsidP="00C11E5A">
            <w:pPr>
              <w:rPr>
                <w:rFonts w:asciiTheme="majorBidi" w:hAnsiTheme="majorBidi" w:cstheme="majorBidi"/>
                <w:color w:val="000000" w:themeColor="text1"/>
                <w:sz w:val="20"/>
                <w:szCs w:val="20"/>
              </w:rPr>
            </w:pPr>
          </w:p>
        </w:tc>
        <w:tc>
          <w:tcPr>
            <w:tcW w:w="1173" w:type="dxa"/>
          </w:tcPr>
          <w:p w14:paraId="5C64CF45"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2270761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4F700D87"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18C3C977"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2A149068"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71F4A5C4"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5188550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7633AF82"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37E0FB9F"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4D21E418"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283844B0"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3F7A2196" w14:textId="77777777" w:rsidTr="002F3CA6">
        <w:tblPrEx>
          <w:jc w:val="left"/>
        </w:tblPrEx>
        <w:trPr>
          <w:trHeight w:val="458"/>
        </w:trPr>
        <w:tc>
          <w:tcPr>
            <w:tcW w:w="1494" w:type="dxa"/>
          </w:tcPr>
          <w:p w14:paraId="281BBCBA" w14:textId="0ACB6E94" w:rsidR="00C11E5A" w:rsidRPr="00455FFE" w:rsidRDefault="00C11E5A" w:rsidP="00455FFE">
            <w:pPr>
              <w:rPr>
                <w:rFonts w:asciiTheme="majorBidi" w:hAnsiTheme="majorBidi" w:cstheme="majorBidi"/>
                <w:sz w:val="20"/>
                <w:szCs w:val="20"/>
              </w:rPr>
            </w:pPr>
            <w:r w:rsidRPr="00455FF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{"citationItems":[{"id":"ITEM-1","itemData":{"DOI":"10.1186/s12889-021-12095-8","ISSN":"14712458","PMID":"34727898","abstract":"Background: Periodic testing of female sex workers (FSW) for sexually transmitted infections (STIs) is a core component of global and national responses to achieve population-level STI elimination. We conducted a qualitative study to explore barriers and facilitators of regular syphilis and HIV testing among FSW in Uganda. Methods: Within a quasi-experimental study among 436 FSW to assess the effect of peer education and text message reminders on uptake of regular STI and HIV testing among FSW, we conducted 48 qualitative interviews in four cities in Uganda from August–December 2018. We purposively selected FSW who tested for syphilis and HIV every 3–6 months; 12 FSW were interviewed in each city. Sex worker interviews explored: 1) reasons for periodic syphilis and HIV testing; 2) barriers and facilitators of testing; 3) experiences of testing; and 4) challenges faced while seeking testing services. Data were analyzed using thematic content analysis. Results: Thematic analysis revealed individual- and health system-level barriers and facilitators of testing. For syphilis, barriers were a) interpersonal stigma, low perceived severity of syphilis and testing misconceptions (individual); and b) judgmental provider attitudes, paucity of facilities offering syphilis testing, stockouts of test kits and high cost (health system). Facilitators were c) desire to remain healthy, get married and have children, knowing the benefits of early treatment, influence of male partners/clients and normative testing behaviors (individual); and d) sex worker clinics offering dual syphilis/HIV testing (health system). For HIV, barriers included: a) internalized stigma (individual); and b) unfavorable clinic hours, stigma, discrimination, and unfriendly provider (health system). Facilitators were a) motivations to stay healthy and attract clients, habitual testing, self-efficacy, doubts about accuracy of negative test results, and use of post-exposure prophylaxis (individual); and d) availability of testing facilities (health system). Syphilis and HIV had similar testing barriers and facilitators. Conclusions: HIV programs are likely to be important entry points for syphilis testing among FSW. Multi-level interventions to address testing barriers should consider focusing on these service delivery points. Extending the dual syphilis and HIV testing approach to FSW may improve testing uptake for both infections at public health facilities and decrease population-level incidence.","author":[{"dropping-particle":"","family":"Muhindo","given":"Richard","non-dropping-particle":"","parse-names":false,"suffix":""},{"dropping-particle":"","family":"Mujugira","given":"Andrew","non-dropping-particle":"","parse-names":false,"suffix":""},{"dropping-particle":"","family":"Castelnuovo","given":"Barbara","non-dropping-particle":"","parse-names":false,"suffix":""},{"dropping-particle":"","family":"Sewankambo","given":"Nelson K.","non-dropping-particle":"","parse-names":false,"suffix":""},{"dropping-particle":"","family":"Parkes-Ratanshi","given":"Rosalind","non-dropping-particle":"","parse-names":false,"suffix":""},{"dropping-particle":"","family":"Tumwesigye","given":"Nazarius Mbona","non-dropping-particle":"","parse-names":false,"suffix":""},{"dropping-particle":"","family":"Nakku-Joloba","given":"Edith","non-dropping-particle":"","parse-names":false,"suffix":""},{"dropping-particle":"","family":"Kiguli","given":"Juliet","non-dropping-particle":"","parse-names":false,"suffix":""}],"container-title":"BMC Public Health","id":"ITEM-1","issue":"1","issued":{"date-parts":[["2021"]]},"page":"1-12","publisher":"BMC Public Health","title":"“I felt very small and embarrassed by the health care provider when I requested to be tested for syphilis”: barriers and facilitators of regular syphilis and HIV testing among female sex workers in Uganda","type":"article-journal","volume":"21"},"uris":["http://www.mendeley.com/documents/?uuid=f90352ae-3b0a-406c-a350-727e40acacf8"]}],"mendeley":{"formattedCitation":"(Muhindo &lt;i&gt;et al.&lt;/i&gt;, 2021)","plainTextFormattedCitation":"(Muhindo et al., 2021)","previouslyFormattedCitation":"(Muhindo et al., 2021)"},"properties":{"noteIndex":0},"schema":"https://github.com/citation-style-language/schema/raw/master/csl-citation.json"}</w:instrText>
            </w:r>
            <w:r w:rsidRPr="00455FF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(Muhindo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2021)</w:t>
            </w:r>
            <w:r w:rsidRPr="00455FFE">
              <w:rPr>
                <w:rFonts w:asciiTheme="majorBidi" w:hAnsiTheme="majorBidi" w:cstheme="majorBidi"/>
                <w:sz w:val="20"/>
                <w:szCs w:val="20"/>
              </w:rPr>
              <w:fldChar w:fldCharType="end"/>
            </w:r>
          </w:p>
          <w:p w14:paraId="20EC2EE3" w14:textId="0610C39D" w:rsidR="00C11E5A" w:rsidRPr="002F2806" w:rsidRDefault="00C11E5A" w:rsidP="00C11E5A">
            <w:pPr>
              <w:rPr>
                <w:rFonts w:asciiTheme="majorBidi" w:hAnsiTheme="majorBidi" w:cstheme="majorBidi"/>
                <w:color w:val="000000" w:themeColor="text1"/>
                <w:sz w:val="20"/>
                <w:szCs w:val="20"/>
              </w:rPr>
            </w:pPr>
          </w:p>
        </w:tc>
        <w:tc>
          <w:tcPr>
            <w:tcW w:w="1173" w:type="dxa"/>
          </w:tcPr>
          <w:p w14:paraId="1FCF7F54"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76546A37"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1F7BC2BC"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69EA586C"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5E4F14EE"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1AE2C54E"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08B808D2"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17371EB5"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38A1C4FF"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310F29CD" w14:textId="777777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2DC37C09" w14:textId="7777777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31ABBAB6" w14:textId="77777777" w:rsidTr="002F3CA6">
        <w:tblPrEx>
          <w:jc w:val="left"/>
        </w:tblPrEx>
        <w:trPr>
          <w:trHeight w:val="458"/>
        </w:trPr>
        <w:tc>
          <w:tcPr>
            <w:tcW w:w="1494" w:type="dxa"/>
          </w:tcPr>
          <w:p w14:paraId="579CE318" w14:textId="21460954" w:rsidR="00C11E5A" w:rsidRPr="00455FFE" w:rsidRDefault="00C11E5A" w:rsidP="00455FFE">
            <w:pPr>
              <w:rPr>
                <w:rFonts w:asciiTheme="majorBidi" w:hAnsiTheme="majorBidi" w:cstheme="majorBidi"/>
                <w:sz w:val="24"/>
                <w:szCs w:val="24"/>
              </w:rPr>
            </w:pPr>
            <w:r w:rsidRPr="00455FF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{"citationItems":[{"id":"ITEM-1","itemData":{"DOI":"10.1002/jia2.25933","ISSN":"17582652","PMID":"35818868","abstract":"Introduction: Transgender men and women in Nigeria experience many barriers in accessing HIV prevention and treatment services, particularly given the environment of transphobia (including harassment, violence and discrimination) and punitive laws in the country. HIV epidemic control in Nigeria requires improving access to and quality of HIV services for key populations at high risk, including transgender men and women. We assessed how stigma influences HIV services for transgender people in Lagos, Nigeria. Methods: In-depth interviews (IDIs) and focus group discussions were conducted with transgender men (n = 13) and transgender women (n = 25); IDIs were conducted with community service organization (CSO) staff (n = 8) and healthcare providers from CSO clinics and public health facilities (n = 10) working with the transgender population in March 2021 in Lagos. Content analysis was used to identify how stigma influences transgender people's experiences with HIV services. Results and discussion: Three main findings emerged. First, gender identity disclosure is challenging due to anticipated stigma experienced by transgender persons and fear of legal repercussions. Fear of being turned in to authorities was a major barrier to disclose to providers in facilities not affiliated with a transgender-inclusive clinic. Providers also reported difficulty in eliciting information about the client's gender identity. Second, respondents reported lack of sensitivity among providers about gender identity and conflation of transgender men with lesbian women and transgender women with being gay or men who have sex with men, the latter being more of a common occurrence. Transgender participants also reported feeling disrespected when providers were not sensitive to their pronoun of preference. Third, HIV services that are not transgender-inclusive and gender-affirming can reinforce stigma. Both transgender men and women spoke about experiencing stigma and being refused HIV services, especially in mainstream public health facilities, as opposed to transgender-inclusive CSO clinics. Conclusions: This study highlights how stigma impedes access to appropriate HIV services for transgender men and women, which can have a negative impact along the HIV care continuum. There is a need for transgender-inclusive HIV services and competency trainings for healthcare providers so that transgender clients can receive appropriate and gender-affirming HIV services.","author":[{"dropping-particle":"","family":"Tun","given":"Waimar","non-dropping-particle":"","parse-names":false,"suffix":""},{"dropping-particle":"","family":"Pulerwitz","given":"Julie","non-dropping-particle":"","parse-names":false,"suffix":""},{"dropping-particle":"","family":"Shoyemi","given":"Elizabeth","non-dropping-particle":"","parse-names":false,"suffix":""},{"dropping-particle":"","family":"Fernandez","given":"Anita","non-dropping-particle":"","parse-names":false,"suffix":""},{"dropping-particle":"","family":"Adeniran","given":"Adepeju","non-dropping-particle":"","parse-names":false,"suffix":""},{"dropping-particle":"","family":"Ejiogu","given":"Franklin","non-dropping-particle":"","parse-names":false,"suffix":""},{"dropping-particle":"","family":"Sangowawa","given":"Olusegun","non-dropping-particle":"","parse-names":false,"suffix":""},{"dropping-particle":"","family":"Granger","given":"Krista","non-dropping-particle":"","parse-names":false,"suffix":""},{"dropping-particle":"","family":"Dirisu","given":"Osasuyi","non-dropping-particle":"","parse-names":false,"suffix":""},{"dropping-particle":"","family":"Adedimeji","given":"Adebola A.","non-dropping-particle":"","parse-names":false,"suffix":""}],"container-title":"Journal of the International AIDS Society","id":"ITEM-1","issue":"S1","issued":{"date-parts":[["2022"]]},"page":"21-27","title":"A qualitative study of how stigma influences HIV services for transgender men and women in Nigeria","type":"article-journal","volume":"25"},"uris":["http://www.mendeley.com/documents/?uuid=24404d91-fcc9-4dcb-95c4-131e9c38daf1"]}],"mendeley":{"formattedCitation":"(Tun &lt;i&gt;et al.&lt;/i&gt;, 2022)","plainTextFormattedCitation":"(Tun et al., 2022)","previouslyFormattedCitation":"(Tun et al., 2022)"},"properties":{"noteIndex":0},"schema":"https://github.com/citation-style-language/schema/raw/master/csl-citation.json"}</w:instrText>
            </w:r>
            <w:r w:rsidRPr="00455FF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(Tun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2022)</w:t>
            </w:r>
            <w:r w:rsidRPr="00455FFE">
              <w:rPr>
                <w:rFonts w:asciiTheme="majorBidi" w:hAnsiTheme="majorBidi" w:cstheme="majorBidi"/>
                <w:sz w:val="20"/>
                <w:szCs w:val="20"/>
              </w:rPr>
              <w:fldChar w:fldCharType="end"/>
            </w:r>
          </w:p>
        </w:tc>
        <w:tc>
          <w:tcPr>
            <w:tcW w:w="1173" w:type="dxa"/>
          </w:tcPr>
          <w:p w14:paraId="38C0FD44" w14:textId="7734DF23"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5EC0E29B" w14:textId="42613DA6"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28C24A66" w14:textId="2786E47F"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40ACE8B9" w14:textId="7CF891C8"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4468C77D" w14:textId="66FDA7F4"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02B9EECA" w14:textId="2C21370D"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320A6FD5" w14:textId="1149A76C"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55711DEA" w14:textId="51A8887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6F957B30" w14:textId="498819D7"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54A3D0D4" w14:textId="05543A6E"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2B8F408A" w14:textId="0B5241F7"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r w:rsidR="00C11E5A" w:rsidRPr="002F2806" w14:paraId="163C3EA6" w14:textId="77777777" w:rsidTr="002F3CA6">
        <w:tblPrEx>
          <w:jc w:val="left"/>
        </w:tblPrEx>
        <w:trPr>
          <w:trHeight w:val="458"/>
        </w:trPr>
        <w:tc>
          <w:tcPr>
            <w:tcW w:w="1494" w:type="dxa"/>
          </w:tcPr>
          <w:p w14:paraId="700E53B8" w14:textId="028DDE7A" w:rsidR="00C11E5A" w:rsidRPr="00455FFE" w:rsidRDefault="00C11E5A" w:rsidP="00455FFE">
            <w:pPr>
              <w:rPr>
                <w:rFonts w:asciiTheme="majorBidi" w:hAnsiTheme="majorBidi" w:cstheme="majorBidi"/>
                <w:sz w:val="24"/>
                <w:szCs w:val="24"/>
              </w:rPr>
            </w:pPr>
            <w:r w:rsidRPr="00455FFE">
              <w:rPr>
                <w:rFonts w:asciiTheme="majorBidi" w:hAnsiTheme="majorBidi" w:cstheme="majorBidi"/>
                <w:sz w:val="20"/>
                <w:szCs w:val="20"/>
              </w:rPr>
              <w:fldChar w:fldCharType="begin" w:fldLock="1"/>
            </w:r>
            <w:r w:rsidR="00517FC3">
              <w:rPr>
                <w:rFonts w:asciiTheme="majorBidi" w:hAnsiTheme="majorBidi" w:cstheme="majorBidi"/>
                <w:sz w:val="20"/>
                <w:szCs w:val="20"/>
              </w:rPr>
              <w:instrText>ADDIN CSL_CITATION {"citationItems":[{"id":"ITEM-1","itemData":{"DOI":"10.1186/s12913-023-10353-6","ISSN":"14726963","PMID":"38238703","abstract":"Background: Syndromic management in the main non-laboratory-based management approach for sexually transmitted infections (STI) in most low- and middle-income countries (LMICs) but it has limitations. Self-sampling has been proven as a suitable alternative approach to help improve management STIs by improving access to diagnosis among vulnerable populations. We sought to determine health workers’ perspectives on user-friendly self-sampling interventions for STIs among young women in eThekwini District Municipality. Methods: Healthcare workers providing STI healthcare services in the study location participated in a nominal group technique (NGT) workshop. The NGT workshop was aimed enabling collaboration with key health providers in identifying user-friendly self-sampling interventions for diagnosis of STIs among young women. Data collection was conducted in two phases: phase 1 determined barrier that hinder young women from accessing current STI healthcare services and phase 2 focused on determining the key strategies for self-sampling interventions to diagnose STIs in young women. Thematic analysis and percentage form analysis were used to examine qualitative and quantitative data respectively. Results: The following barriers were identified: negligence; myths about STIs; fear of judgement; denial; operating hours; lack of knowledge of STI symptoms and safe sex practices; and stigma associated with STIs. The following strategies were suggested: hand out self-sampling kits at popular restaurants; collect self-sampling kits from security guard at primary healthcare clinics (PHCs); receive STI diagnostic results via SMS or email or the clinic for treatment; improve youth friendly services at PHCs; educate the public on proper use of the kits. Education about STIs and handing out self-sampling kits at clinics, universities, schools, pharmacies or via outreach teams were ranked high priority strategies. Conclusions: The findings highlight the need to address stigma and fear of judgment and provide comprehensive education to improve healthcare-seeking behaviour in young women. Additionally, the study also indicates that using eHealth solutions could significantly enhance the accessibility and efficiency of STI healthcare services in LMICs.","author":[{"dropping-particle":"","family":"Jaya","given":"Ziningi N.","non-dropping-particle":"","parse-names":false,"suffix":""},{"dropping-particle":"","family":"Mapanga","given":"Witness","non-dropping-particle":"","parse-names":false,"suffix":""},{"dropping-particle":"","family":"Moetlhoa","given":"Boitumelo","non-dropping-particle":"","parse-names":false,"suffix":""},{"dropping-particle":"","family":"Mashamba-Thompson","given":"Tivani P.","non-dropping-particle":"","parse-names":false,"suffix":""}],"container-title":"BMC Health Services Research","id":"ITEM-1","issue":"1","issued":{"date-parts":[["2024"]]},"page":"1-10","publisher":"BioMed Central","title":"Nurses’ perspectives on user-friendly self-sampling interventions for diagnosis of sexually transmitted infections among young women in eThekwini district municipality: a nominal group technique","type":"article-journal","volume":"24"},"uris":["http://www.mendeley.com/documents/?uuid=513f4d98-3bfd-42b2-a4b1-b34b58ca6fee"]}],"mendeley":{"formattedCitation":"(Jaya &lt;i&gt;et al.&lt;/i&gt;, 2024)","plainTextFormattedCitation":"(Jaya et al., 2024)","previouslyFormattedCitation":"(Jaya et al., 2024)"},"properties":{"noteIndex":0},"schema":"https://github.com/citation-style-language/schema/raw/master/csl-citation.json"}</w:instrText>
            </w:r>
            <w:r w:rsidRPr="00455FFE">
              <w:rPr>
                <w:rFonts w:asciiTheme="majorBidi" w:hAnsiTheme="majorBidi" w:cstheme="majorBidi"/>
                <w:sz w:val="20"/>
                <w:szCs w:val="20"/>
              </w:rPr>
              <w:fldChar w:fldCharType="separate"/>
            </w:r>
            <w:r w:rsidR="00517FC3" w:rsidRPr="00517FC3">
              <w:rPr>
                <w:rFonts w:asciiTheme="majorBidi" w:hAnsiTheme="majorBidi" w:cstheme="majorBidi"/>
                <w:noProof/>
                <w:sz w:val="20"/>
                <w:szCs w:val="20"/>
              </w:rPr>
              <w:t xml:space="preserve">(Jaya </w:t>
            </w:r>
            <w:r w:rsidR="00517FC3" w:rsidRPr="00517FC3">
              <w:rPr>
                <w:rFonts w:asciiTheme="majorBidi" w:hAnsiTheme="majorBidi" w:cstheme="majorBidi"/>
                <w:i/>
                <w:noProof/>
                <w:sz w:val="20"/>
                <w:szCs w:val="20"/>
              </w:rPr>
              <w:t>et al.</w:t>
            </w:r>
            <w:r w:rsidR="00517FC3" w:rsidRPr="00517FC3">
              <w:rPr>
                <w:rFonts w:asciiTheme="majorBidi" w:hAnsiTheme="majorBidi" w:cstheme="majorBidi"/>
                <w:noProof/>
                <w:sz w:val="20"/>
                <w:szCs w:val="20"/>
              </w:rPr>
              <w:t>, 2024)</w:t>
            </w:r>
            <w:r w:rsidRPr="00455FFE">
              <w:rPr>
                <w:rFonts w:asciiTheme="majorBidi" w:hAnsiTheme="majorBidi" w:cstheme="majorBidi"/>
                <w:sz w:val="20"/>
                <w:szCs w:val="20"/>
              </w:rPr>
              <w:fldChar w:fldCharType="end"/>
            </w:r>
          </w:p>
        </w:tc>
        <w:tc>
          <w:tcPr>
            <w:tcW w:w="1173" w:type="dxa"/>
          </w:tcPr>
          <w:p w14:paraId="70AEBDF1" w14:textId="6DB95674"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480" w:type="dxa"/>
          </w:tcPr>
          <w:p w14:paraId="7AB9A961" w14:textId="7A36830B"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3" w:type="dxa"/>
          </w:tcPr>
          <w:p w14:paraId="3FA3DE8E" w14:textId="184E3436"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28" w:type="dxa"/>
          </w:tcPr>
          <w:p w14:paraId="0C9DD238" w14:textId="0B35AECC"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082" w:type="dxa"/>
          </w:tcPr>
          <w:p w14:paraId="1D965FA6" w14:textId="257F7DE9"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46" w:type="dxa"/>
          </w:tcPr>
          <w:p w14:paraId="2CE02AB6" w14:textId="270E1728"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641" w:type="dxa"/>
          </w:tcPr>
          <w:p w14:paraId="2ED365EE" w14:textId="629B2642"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304" w:type="dxa"/>
          </w:tcPr>
          <w:p w14:paraId="7EFA1ED1" w14:textId="75178BD0"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5" w:type="dxa"/>
          </w:tcPr>
          <w:p w14:paraId="5C7D4371" w14:textId="235BA29A"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1168" w:type="dxa"/>
          </w:tcPr>
          <w:p w14:paraId="4C912848" w14:textId="0D79A120" w:rsidR="00C11E5A" w:rsidRPr="002F2806" w:rsidRDefault="00C11E5A" w:rsidP="00C11E5A">
            <w:pPr>
              <w:rPr>
                <w:rFonts w:asciiTheme="majorBidi" w:eastAsia="Times New Roman" w:hAnsiTheme="majorBidi" w:cstheme="majorBidi"/>
                <w:b/>
                <w:bCs/>
                <w:color w:val="000000" w:themeColor="text1"/>
                <w:sz w:val="20"/>
                <w:szCs w:val="20"/>
              </w:rPr>
            </w:pPr>
            <w:r w:rsidRPr="002F2806">
              <w:rPr>
                <w:rFonts w:asciiTheme="majorBidi" w:eastAsia="Times New Roman" w:hAnsiTheme="majorBidi" w:cstheme="majorBidi"/>
                <w:b/>
                <w:bCs/>
                <w:color w:val="000000" w:themeColor="text1"/>
                <w:sz w:val="20"/>
                <w:szCs w:val="20"/>
              </w:rPr>
              <w:t>+</w:t>
            </w:r>
          </w:p>
        </w:tc>
        <w:tc>
          <w:tcPr>
            <w:tcW w:w="777" w:type="dxa"/>
          </w:tcPr>
          <w:p w14:paraId="77C33103" w14:textId="0E26FE6D" w:rsidR="00C11E5A" w:rsidRPr="002F2806" w:rsidRDefault="00C11E5A" w:rsidP="00C11E5A">
            <w:pPr>
              <w:rPr>
                <w:rFonts w:asciiTheme="majorBidi" w:eastAsia="Times New Roman" w:hAnsiTheme="majorBidi" w:cstheme="majorBidi"/>
                <w:color w:val="000000" w:themeColor="text1"/>
                <w:sz w:val="20"/>
                <w:szCs w:val="20"/>
              </w:rPr>
            </w:pPr>
            <w:r w:rsidRPr="002F2806">
              <w:rPr>
                <w:rFonts w:asciiTheme="majorBidi" w:eastAsia="Times New Roman" w:hAnsiTheme="majorBidi" w:cstheme="majorBidi"/>
                <w:color w:val="000000" w:themeColor="text1"/>
                <w:sz w:val="20"/>
                <w:szCs w:val="20"/>
              </w:rPr>
              <w:t>10/10</w:t>
            </w:r>
          </w:p>
        </w:tc>
      </w:tr>
    </w:tbl>
    <w:p w14:paraId="4B6759CC" w14:textId="77777777" w:rsidR="00B17833" w:rsidRPr="002F2806" w:rsidRDefault="00B17833" w:rsidP="00B17833">
      <w:pPr>
        <w:spacing w:line="360" w:lineRule="auto"/>
        <w:jc w:val="center"/>
        <w:rPr>
          <w:rFonts w:asciiTheme="majorBidi" w:hAnsiTheme="majorBidi" w:cstheme="majorBidi"/>
          <w:color w:val="000000" w:themeColor="text1"/>
          <w:sz w:val="24"/>
          <w:szCs w:val="24"/>
        </w:rPr>
      </w:pPr>
    </w:p>
    <w:p w14:paraId="56ECCCF0" w14:textId="77777777" w:rsidR="00B17833" w:rsidRPr="002F2806" w:rsidRDefault="00B17833" w:rsidP="00B17833">
      <w:pPr>
        <w:spacing w:line="360" w:lineRule="auto"/>
        <w:jc w:val="center"/>
        <w:rPr>
          <w:rFonts w:asciiTheme="majorBidi" w:hAnsiTheme="majorBidi" w:cstheme="majorBidi"/>
          <w:sz w:val="24"/>
          <w:szCs w:val="24"/>
        </w:rPr>
      </w:pPr>
      <w:r w:rsidRPr="002F2806">
        <w:rPr>
          <w:rFonts w:asciiTheme="majorBidi" w:hAnsiTheme="majorBidi" w:cstheme="majorBidi"/>
          <w:sz w:val="24"/>
          <w:szCs w:val="24"/>
        </w:rPr>
        <w:t>Table 2. Data Extraction Details of Selected Studies</w:t>
      </w:r>
    </w:p>
    <w:tbl>
      <w:tblPr>
        <w:tblStyle w:val="TableGrid"/>
        <w:tblW w:w="15115" w:type="dxa"/>
        <w:jc w:val="center"/>
        <w:tblLook w:val="04A0" w:firstRow="1" w:lastRow="0" w:firstColumn="1" w:lastColumn="0" w:noHBand="0" w:noVBand="1"/>
      </w:tblPr>
      <w:tblGrid>
        <w:gridCol w:w="1885"/>
        <w:gridCol w:w="2250"/>
        <w:gridCol w:w="2520"/>
        <w:gridCol w:w="3330"/>
        <w:gridCol w:w="2700"/>
        <w:gridCol w:w="2430"/>
      </w:tblGrid>
      <w:tr w:rsidR="00B17833" w:rsidRPr="002F2806" w14:paraId="1DD52F17" w14:textId="77777777" w:rsidTr="002F3CA6">
        <w:trPr>
          <w:trHeight w:val="1150"/>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557EE742" w14:textId="77777777" w:rsidR="00B17833" w:rsidRPr="002F2806" w:rsidRDefault="00B17833" w:rsidP="002F3CA6">
            <w:pPr>
              <w:spacing w:line="276" w:lineRule="auto"/>
              <w:jc w:val="center"/>
              <w:rPr>
                <w:rFonts w:asciiTheme="majorBidi" w:hAnsiTheme="majorBidi" w:cstheme="majorBidi"/>
                <w:b/>
                <w:bCs/>
                <w:color w:val="000000" w:themeColor="text1"/>
                <w:sz w:val="24"/>
                <w:szCs w:val="24"/>
              </w:rPr>
            </w:pPr>
            <w:r w:rsidRPr="002F2806">
              <w:rPr>
                <w:rFonts w:asciiTheme="majorBidi" w:hAnsiTheme="majorBidi" w:cstheme="majorBidi"/>
                <w:b/>
                <w:bCs/>
                <w:color w:val="000000" w:themeColor="text1"/>
                <w:sz w:val="24"/>
                <w:szCs w:val="24"/>
              </w:rPr>
              <w:t>Authors, Years, and Country</w:t>
            </w:r>
          </w:p>
        </w:tc>
        <w:tc>
          <w:tcPr>
            <w:tcW w:w="2250"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007AA12D" w14:textId="77777777" w:rsidR="00B17833" w:rsidRPr="002F2806" w:rsidRDefault="00B17833" w:rsidP="002F3CA6">
            <w:pPr>
              <w:spacing w:line="276" w:lineRule="auto"/>
              <w:jc w:val="center"/>
              <w:rPr>
                <w:rFonts w:asciiTheme="majorBidi" w:hAnsiTheme="majorBidi" w:cstheme="majorBidi"/>
                <w:b/>
                <w:bCs/>
                <w:color w:val="000000" w:themeColor="text1"/>
                <w:sz w:val="24"/>
                <w:szCs w:val="24"/>
              </w:rPr>
            </w:pPr>
            <w:r w:rsidRPr="002F2806">
              <w:rPr>
                <w:rFonts w:asciiTheme="majorBidi" w:hAnsiTheme="majorBidi" w:cstheme="majorBidi"/>
                <w:b/>
                <w:bCs/>
                <w:color w:val="000000" w:themeColor="text1"/>
                <w:sz w:val="24"/>
                <w:szCs w:val="24"/>
              </w:rPr>
              <w:t xml:space="preserve">Aims and objectives </w:t>
            </w:r>
          </w:p>
        </w:tc>
        <w:tc>
          <w:tcPr>
            <w:tcW w:w="2520"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7B85F8C9" w14:textId="77777777" w:rsidR="00B17833" w:rsidRPr="002F2806" w:rsidRDefault="00B17833" w:rsidP="002F3CA6">
            <w:pPr>
              <w:spacing w:line="276" w:lineRule="auto"/>
              <w:jc w:val="center"/>
              <w:rPr>
                <w:rFonts w:asciiTheme="majorBidi" w:hAnsiTheme="majorBidi" w:cstheme="majorBidi"/>
                <w:b/>
                <w:bCs/>
                <w:color w:val="000000" w:themeColor="text1"/>
                <w:sz w:val="24"/>
                <w:szCs w:val="24"/>
              </w:rPr>
            </w:pPr>
            <w:r w:rsidRPr="002F2806">
              <w:rPr>
                <w:rFonts w:asciiTheme="majorBidi" w:hAnsiTheme="majorBidi" w:cstheme="majorBidi"/>
                <w:b/>
                <w:bCs/>
                <w:color w:val="000000" w:themeColor="text1"/>
                <w:sz w:val="24"/>
                <w:szCs w:val="24"/>
              </w:rPr>
              <w:t xml:space="preserve">Methods and Sample </w:t>
            </w:r>
          </w:p>
        </w:tc>
        <w:tc>
          <w:tcPr>
            <w:tcW w:w="3330" w:type="dxa"/>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5DA63520" w14:textId="77777777" w:rsidR="00B17833" w:rsidRPr="002F2806" w:rsidRDefault="00B17833" w:rsidP="002F3CA6">
            <w:pPr>
              <w:spacing w:line="276" w:lineRule="auto"/>
              <w:jc w:val="center"/>
              <w:rPr>
                <w:rFonts w:asciiTheme="majorBidi" w:hAnsiTheme="majorBidi" w:cstheme="majorBidi"/>
                <w:b/>
                <w:bCs/>
                <w:color w:val="000000" w:themeColor="text1"/>
                <w:sz w:val="24"/>
                <w:szCs w:val="24"/>
              </w:rPr>
            </w:pPr>
            <w:r w:rsidRPr="002F2806">
              <w:rPr>
                <w:rFonts w:asciiTheme="majorBidi" w:hAnsiTheme="majorBidi" w:cstheme="majorBidi"/>
                <w:b/>
                <w:bCs/>
                <w:color w:val="000000" w:themeColor="text1"/>
                <w:sz w:val="24"/>
                <w:szCs w:val="24"/>
              </w:rPr>
              <w:t xml:space="preserve">Research Findings </w:t>
            </w:r>
          </w:p>
        </w:tc>
        <w:tc>
          <w:tcPr>
            <w:tcW w:w="2700" w:type="dxa"/>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4C50E69D" w14:textId="77777777" w:rsidR="00B17833" w:rsidRPr="002F2806" w:rsidRDefault="00B17833" w:rsidP="002F3CA6">
            <w:pPr>
              <w:spacing w:line="276" w:lineRule="auto"/>
              <w:jc w:val="center"/>
              <w:rPr>
                <w:rFonts w:asciiTheme="majorBidi" w:hAnsiTheme="majorBidi" w:cstheme="majorBidi"/>
                <w:b/>
                <w:bCs/>
                <w:color w:val="000000" w:themeColor="text1"/>
                <w:sz w:val="24"/>
                <w:szCs w:val="24"/>
              </w:rPr>
            </w:pPr>
            <w:r w:rsidRPr="002F2806">
              <w:rPr>
                <w:rFonts w:asciiTheme="majorBidi" w:hAnsiTheme="majorBidi" w:cstheme="majorBidi"/>
                <w:b/>
                <w:bCs/>
                <w:color w:val="000000" w:themeColor="text1"/>
                <w:sz w:val="24"/>
                <w:szCs w:val="24"/>
              </w:rPr>
              <w:t>Conclusion</w:t>
            </w:r>
          </w:p>
        </w:tc>
        <w:tc>
          <w:tcPr>
            <w:tcW w:w="2430" w:type="dxa"/>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56ABF4A5" w14:textId="77777777" w:rsidR="00B17833" w:rsidRPr="002F2806" w:rsidRDefault="00B17833" w:rsidP="002F3CA6">
            <w:pPr>
              <w:spacing w:line="276" w:lineRule="auto"/>
              <w:jc w:val="center"/>
              <w:rPr>
                <w:rFonts w:asciiTheme="majorBidi" w:hAnsiTheme="majorBidi" w:cstheme="majorBidi"/>
                <w:b/>
                <w:bCs/>
                <w:color w:val="000000" w:themeColor="text1"/>
                <w:sz w:val="24"/>
                <w:szCs w:val="24"/>
              </w:rPr>
            </w:pPr>
            <w:r w:rsidRPr="002F2806">
              <w:rPr>
                <w:rFonts w:asciiTheme="majorBidi" w:hAnsiTheme="majorBidi" w:cstheme="majorBidi"/>
                <w:b/>
                <w:bCs/>
                <w:color w:val="000000" w:themeColor="text1"/>
                <w:sz w:val="24"/>
                <w:szCs w:val="24"/>
              </w:rPr>
              <w:t>Limitations</w:t>
            </w:r>
          </w:p>
        </w:tc>
      </w:tr>
      <w:tr w:rsidR="00B17833" w:rsidRPr="002F2806" w14:paraId="0705AB9A"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167C5455" w14:textId="7AF683FC"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{"citationItems":[{"id":"ITEM-1","itemData":{"DOI":"10.1080/09540121.2013.861574","ISSN":"13600451","PMID":"24279762","abstract":"Although an increasing number of people living with HIV (PLHIV) in sub-Saharan Africa are benefiting from the rapid scale-up of antiretroviral therapy (ART), retention in HIV care and treatment services remains a major concern. We examined socioeconomic and sociocultural barriers and potential facilitators of retention in ART in Iringa, Tanzania, a region with the second highest prevalence of HIV in the country. In 2012, 116 in-depth interviews were conducted to assess community members' perceptions, barriers and facilitators of HIV treatment in Iringa, including key informants, persons at heightened risk for infection, and HIV service-delivery users. Data were transcribed, translated, entered into Atlas.ti, coded, and analyzed for key themes. In order to provide the full range of perspectives across the community on issues that may affect retention, we report findings from all 116 participants, but draw on verbatim quotes to highlight the experiences of the 14 PLHIV who reported that they were receiving HIV care and treatment services. Despite the growing availability of HIV care and treatment services in Iringa, participants reported significant barriers to retention, including lack of knowledge and misperceptions of treatment, access problems that included difficulties in reaching distant clinics and pervasive poverty that left PLHIV unable to cope with out-of-pocket costs associated with their care, persistent stigmatization of PLHIV and frequent reliance on alternative healing systems instead of biomedical treatment. Positive perceptions of the efficacy of ART, improved ART availability in the region, improved access to care through supplemental aid, and social support were perceived to enhance treatment continuation. Our findings suggest that numerous socioeconomic and sociocultural barriers inhibit retention in HIV care and treatment services in this setting. Intervention strategies that improve ART accessibility, incorporate supplemental aid, enhance social support, reduce stigma, and develop partnerships with alternative healers are needed to improve HIV-related outcomes. © 2013 Taylor &amp; Francis.","author":[{"dropping-particle":"","family":"Tomori","given":"Cecilia","non-dropping-particle":"","parse-names":false,"suffix":""},{"dropping-particle":"","family":"Kennedy","given":"Caitlin E.","non-dropping-particle":"","parse-names":false,"suffix":""},{"dropping-particle":"","family":"Brahmbhatt","given":"Heena","non-dropping-particle":"","parse-names":false,"suffix":""},{"dropping-particle":"","family":"Wagman","given":"Jennifer A.","non-dropping-particle":"","parse-names":false,"suffix":""},{"dropping-particle":"","family":"Mbwambo","given":"Jessie K.","non-dropping-particle":"","parse-names":false,"suffix":""},{"dropping-particle":"","family":"Likindikoki","given":"Samuel","non-dropping-particle":"","parse-names":false,"suffix":""},{"dropping-particle":"","family":"Kerrigan","given":"Deanna L.","non-dropping-particle":"","parse-names":false,"suffix":""}],"container-title":"AIDS Care - Psychological and Socio-Medical Aspects of AIDS/HIV","id":"ITEM-1","issue":"7","issued":{"date-parts":[["2014"]]},"page":"907-913","title":"Barriers and facilitators of retention in HIV care and treatment services in Iringa, Tanzania: The importance of socioeconomic and sociocultural factors","type":"article-journal","volume":"26"},"uris":["http://www.mendeley.com/documents/?uuid=7087e2a4-e397-41a3-af35-d630f4ca704b"]}],"mendeley":{"formattedCitation":"(Tomori &lt;i&gt;et al.&lt;/i&gt;, 2014)","plainTextFormattedCitation":"(Tomori et al., 2014)","previouslyFormattedCitation":"(Tomori et al., 2014)"},"properties":{"noteIndex":0},"schema":"https://github.com/citation-style-language/schema/raw/master/csl-citation.json"}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(Tomori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2014)</w:t>
            </w:r>
            <w:r w:rsidRPr="002F2806">
              <w:rPr>
                <w:rFonts w:asciiTheme="majorBidi" w:hAnsiTheme="majorBidi" w:cstheme="majorBidi"/>
                <w:sz w:val="24"/>
                <w:szCs w:val="24"/>
              </w:rPr>
              <w:fldChar w:fldCharType="end"/>
            </w:r>
          </w:p>
          <w:p w14:paraId="3ABC0597" w14:textId="77777777" w:rsidR="00B17833" w:rsidRPr="002F2806" w:rsidRDefault="00B17833" w:rsidP="002F3CA6">
            <w:pPr>
              <w:rPr>
                <w:rFonts w:asciiTheme="majorBidi" w:hAnsiTheme="majorBidi" w:cstheme="majorBidi"/>
                <w:sz w:val="24"/>
                <w:szCs w:val="24"/>
              </w:rPr>
            </w:pPr>
          </w:p>
          <w:p w14:paraId="5A2F3AFC" w14:textId="77777777" w:rsidR="00B17833" w:rsidRPr="002F2806" w:rsidRDefault="00B17833" w:rsidP="002F3CA6">
            <w:pPr>
              <w:rPr>
                <w:rFonts w:asciiTheme="majorBidi" w:hAnsiTheme="majorBidi" w:cstheme="majorBidi"/>
                <w:sz w:val="24"/>
                <w:szCs w:val="24"/>
              </w:rPr>
            </w:pPr>
          </w:p>
          <w:p w14:paraId="60F6BA2D" w14:textId="77777777" w:rsidR="00B17833" w:rsidRPr="002F2806" w:rsidRDefault="00B17833" w:rsidP="002F3CA6">
            <w:pPr>
              <w:pStyle w:val="NormalWeb"/>
              <w:rPr>
                <w:rFonts w:asciiTheme="majorBidi" w:hAnsiTheme="majorBidi" w:cstheme="majorBidi"/>
              </w:rPr>
            </w:pPr>
            <w:r w:rsidRPr="002F2806">
              <w:rPr>
                <w:rFonts w:asciiTheme="majorBidi" w:hAnsiTheme="majorBidi" w:cstheme="majorBidi"/>
              </w:rPr>
              <w:t>Tanzania</w:t>
            </w:r>
          </w:p>
        </w:tc>
        <w:tc>
          <w:tcPr>
            <w:tcW w:w="2250" w:type="dxa"/>
            <w:tcBorders>
              <w:top w:val="single" w:sz="4" w:space="0" w:color="auto"/>
              <w:left w:val="single" w:sz="4" w:space="0" w:color="auto"/>
              <w:bottom w:val="single" w:sz="4" w:space="0" w:color="auto"/>
              <w:right w:val="single" w:sz="4" w:space="0" w:color="auto"/>
            </w:tcBorders>
          </w:tcPr>
          <w:p w14:paraId="74512803"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To examine the socioeconomic and sociocultural barriers and facilitators to maintaining HIV care and treatment</w:t>
            </w:r>
          </w:p>
        </w:tc>
        <w:tc>
          <w:tcPr>
            <w:tcW w:w="2520" w:type="dxa"/>
            <w:tcBorders>
              <w:top w:val="single" w:sz="4" w:space="0" w:color="auto"/>
              <w:left w:val="single" w:sz="4" w:space="0" w:color="auto"/>
              <w:bottom w:val="single" w:sz="4" w:space="0" w:color="auto"/>
              <w:right w:val="single" w:sz="4" w:space="0" w:color="auto"/>
            </w:tcBorders>
          </w:tcPr>
          <w:p w14:paraId="6878E8DC"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t xml:space="preserve">The qualitative research design, specifically employing semi-structured on </w:t>
            </w:r>
            <w:r w:rsidRPr="002F2806">
              <w:rPr>
                <w:rFonts w:asciiTheme="majorBidi" w:eastAsia="Times New Roman" w:hAnsiTheme="majorBidi" w:cstheme="majorBidi"/>
                <w:kern w:val="0"/>
                <w:sz w:val="24"/>
                <w:szCs w:val="24"/>
                <w14:ligatures w14:val="none"/>
              </w:rPr>
              <w:t>total of 116 participants.</w:t>
            </w:r>
          </w:p>
        </w:tc>
        <w:tc>
          <w:tcPr>
            <w:tcW w:w="3330" w:type="dxa"/>
            <w:tcBorders>
              <w:top w:val="single" w:sz="4" w:space="0" w:color="auto"/>
              <w:left w:val="single" w:sz="4" w:space="0" w:color="auto"/>
              <w:bottom w:val="single" w:sz="4" w:space="0" w:color="auto"/>
              <w:right w:val="single" w:sz="4" w:space="0" w:color="auto"/>
            </w:tcBorders>
          </w:tcPr>
          <w:p w14:paraId="018A1DD0"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w:t>
            </w:r>
          </w:p>
          <w:p w14:paraId="2AA65888" w14:textId="77777777" w:rsidR="00B17833" w:rsidRPr="002F2806" w:rsidRDefault="00B17833" w:rsidP="002F3CA6">
            <w:pPr>
              <w:numPr>
                <w:ilvl w:val="0"/>
                <w:numId w:val="4"/>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Long distances to treatment facilities, which increased travel costs.</w:t>
            </w:r>
          </w:p>
          <w:p w14:paraId="4A9F1413" w14:textId="77777777" w:rsidR="00B17833" w:rsidRPr="002F2806" w:rsidRDefault="00B17833" w:rsidP="002F3CA6">
            <w:pPr>
              <w:numPr>
                <w:ilvl w:val="0"/>
                <w:numId w:val="4"/>
              </w:numPr>
              <w:spacing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Lack of free supportive medical services.</w:t>
            </w:r>
          </w:p>
          <w:p w14:paraId="53D20ADC" w14:textId="77777777" w:rsidR="00B17833" w:rsidRPr="002F2806" w:rsidRDefault="00B17833" w:rsidP="002F3CA6">
            <w:pPr>
              <w:numPr>
                <w:ilvl w:val="0"/>
                <w:numId w:val="4"/>
              </w:numPr>
              <w:spacing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Inadequate food supplies, which affected the ability to adhere to treatment.</w:t>
            </w:r>
          </w:p>
          <w:p w14:paraId="3BF775EF" w14:textId="77777777" w:rsidR="00B17833" w:rsidRPr="002F2806" w:rsidRDefault="00B17833" w:rsidP="002F3CA6">
            <w:pPr>
              <w:numPr>
                <w:ilvl w:val="0"/>
                <w:numId w:val="4"/>
              </w:numPr>
              <w:spacing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HIV-related stigma, which led to social isolation and </w:t>
            </w:r>
            <w:r w:rsidRPr="002F2806">
              <w:rPr>
                <w:rFonts w:asciiTheme="majorBidi" w:eastAsia="Times New Roman" w:hAnsiTheme="majorBidi" w:cstheme="majorBidi"/>
                <w:kern w:val="0"/>
                <w:sz w:val="24"/>
                <w:szCs w:val="24"/>
                <w14:ligatures w14:val="none"/>
              </w:rPr>
              <w:lastRenderedPageBreak/>
              <w:t>discrimination against PLHIV.</w:t>
            </w:r>
          </w:p>
          <w:p w14:paraId="1F742DC3" w14:textId="77777777" w:rsidR="00B17833" w:rsidRPr="002F2806" w:rsidRDefault="00B17833" w:rsidP="002F3CA6">
            <w:pPr>
              <w:numPr>
                <w:ilvl w:val="0"/>
                <w:numId w:val="4"/>
              </w:numPr>
              <w:spacing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Reliance on alternative healing systems instead of biomedical treatment, which complicated adherence to antiretroviral therapy (ART).</w:t>
            </w:r>
          </w:p>
        </w:tc>
        <w:tc>
          <w:tcPr>
            <w:tcW w:w="2700" w:type="dxa"/>
            <w:tcBorders>
              <w:top w:val="single" w:sz="4" w:space="0" w:color="auto"/>
              <w:left w:val="single" w:sz="4" w:space="0" w:color="auto"/>
              <w:bottom w:val="single" w:sz="4" w:space="0" w:color="auto"/>
              <w:right w:val="single" w:sz="4" w:space="0" w:color="auto"/>
            </w:tcBorders>
          </w:tcPr>
          <w:p w14:paraId="470C66CF"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lastRenderedPageBreak/>
              <w:t>Addressing the socioeconomic and sociocultural barriers is crucial for improving retention in HIV care and treatment services</w:t>
            </w:r>
          </w:p>
        </w:tc>
        <w:tc>
          <w:tcPr>
            <w:tcW w:w="2430" w:type="dxa"/>
            <w:tcBorders>
              <w:top w:val="single" w:sz="4" w:space="0" w:color="auto"/>
              <w:left w:val="single" w:sz="4" w:space="0" w:color="auto"/>
              <w:bottom w:val="single" w:sz="4" w:space="0" w:color="auto"/>
              <w:right w:val="single" w:sz="4" w:space="0" w:color="auto"/>
            </w:tcBorders>
          </w:tcPr>
          <w:p w14:paraId="41D0EC4A"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Potential biases in self-reported data from participants</w:t>
            </w:r>
          </w:p>
        </w:tc>
      </w:tr>
      <w:bookmarkStart w:id="1" w:name="_Hlk187183324"/>
      <w:tr w:rsidR="00B17833" w:rsidRPr="002F2806" w14:paraId="0C196368"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7F94E8D1" w14:textId="63D33FB3"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{"citationItems":[{"id":"ITEM-1","itemData":{"DOI":"10.1155/2016/7673014","ISSN":"2090-7893","abstract":" Introduction . While four in ten female sex workers (FSWs) in sub-Saharan Africa are infected with HIV, only a small proportion is enrolled in HIV care. We explored facilitators and barriers to linkage to HIV care among FSWs receiving HIV testing services at a community-based organization in periurban Uganda. Methods . The cross-sectional qualitative study was conducted among 28 HIV positive FSWs from May to July 2014. Key informant interviews were conducted with five project staff and eleven peer educators. Data were collected on facilitators for and barriers to linkage to HIV care and manually analyzed following a thematic framework approach. Results . Facilitators for linkage to HIV care included the perceived good quality of health services with same-day results and immediate initiation of treatment, community peer support systems, individual’s need to remain healthy, and having alternative sources of income. Linkage barriers included perceived stigma, fear to be seen at outreach HIV clinics, fear and myths about antiretroviral therapy, lack of time to attend clinic, and financial constraints. Conclusion . Linkage to HIV care among FSWs is influenced by good quality friendly services and peer support. HIV service delivery programs for FSWs should focus on enhancing these and dealing with barriers stemming from stigma and misinformation. ","author":[{"dropping-particle":"","family":"Nakanwagi","given":"Sharon","non-dropping-particle":"","parse-names":false,"suffix":""},{"dropping-particle":"","family":"Matovu","given":"Joseph K. B.","non-dropping-particle":"","parse-names":false,"suffix":""},{"dropping-particle":"","family":"Kintu","given":"Betty N.","non-dropping-particle":"","parse-names":false,"suffix":""},{"dropping-particle":"","family":"Kaharuza","given":"Frank","non-dropping-particle":"","parse-names":false,"suffix":""},{"dropping-particle":"","family":"Wanyenze","given":"Rhoda K.","non-dropping-particle":"","parse-names":false,"suffix":""}],"container-title":"Journal of Sexually Transmitted Diseases","id":"ITEM-1","issued":{"date-parts":[["2016"]]},"page":"1-8","title":"Facilitators and Barriers to Linkage to HIV Care among Female Sex Workers Receiving HIV Testing Services at a Community-Based Organization in Periurban Uganda: A Qualitative Study","type":"article-journal","volume":"2016"},"uris":["http://www.mendeley.com/documents/?uuid=dc0897c2-4899-4f5e-a13a-7ead49282fa1"]}],"mendeley":{"formattedCitation":"(Nakanwagi &lt;i&gt;et al.&lt;/i&gt;, 2016)","plainTextFormattedCitation":"(Nakanwagi et al., 2016)","previouslyFormattedCitation":"(Nakanwagi et al., 2016)"},"properties":{"noteIndex":0},"schema":"https://github.com/citation-style-language/schema/raw/master/csl-citation.json"}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(Nakanwagi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2016)</w:t>
            </w:r>
            <w:r w:rsidRPr="002F2806">
              <w:rPr>
                <w:rFonts w:asciiTheme="majorBidi" w:hAnsiTheme="majorBidi" w:cstheme="majorBidi"/>
                <w:sz w:val="24"/>
                <w:szCs w:val="24"/>
              </w:rPr>
              <w:fldChar w:fldCharType="end"/>
            </w:r>
            <w:bookmarkEnd w:id="1"/>
          </w:p>
          <w:p w14:paraId="0EB48AC5" w14:textId="77777777" w:rsidR="00B17833" w:rsidRPr="002F2806" w:rsidRDefault="00B17833" w:rsidP="002F3CA6">
            <w:pPr>
              <w:rPr>
                <w:rFonts w:asciiTheme="majorBidi" w:hAnsiTheme="majorBidi" w:cstheme="majorBidi"/>
                <w:sz w:val="24"/>
                <w:szCs w:val="24"/>
              </w:rPr>
            </w:pPr>
          </w:p>
          <w:p w14:paraId="3F3C7052" w14:textId="77777777" w:rsidR="00B17833" w:rsidRPr="002F2806" w:rsidRDefault="00B17833" w:rsidP="002F3CA6">
            <w:pPr>
              <w:rPr>
                <w:rFonts w:asciiTheme="majorBidi" w:hAnsiTheme="majorBidi" w:cstheme="majorBidi"/>
                <w:sz w:val="24"/>
                <w:szCs w:val="24"/>
              </w:rPr>
            </w:pPr>
          </w:p>
          <w:p w14:paraId="0CADE1F1"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 xml:space="preserve">Uganda </w:t>
            </w:r>
          </w:p>
        </w:tc>
        <w:tc>
          <w:tcPr>
            <w:tcW w:w="2250" w:type="dxa"/>
            <w:tcBorders>
              <w:top w:val="single" w:sz="4" w:space="0" w:color="auto"/>
              <w:left w:val="single" w:sz="4" w:space="0" w:color="auto"/>
              <w:bottom w:val="single" w:sz="4" w:space="0" w:color="auto"/>
              <w:right w:val="single" w:sz="4" w:space="0" w:color="auto"/>
            </w:tcBorders>
          </w:tcPr>
          <w:p w14:paraId="05C1A076"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To explore the facilitators and barriers to linkage to HIV care among female sex workers (FSWs) receiving HIV testing services at a community-based organization</w:t>
            </w:r>
          </w:p>
        </w:tc>
        <w:tc>
          <w:tcPr>
            <w:tcW w:w="2520" w:type="dxa"/>
            <w:tcBorders>
              <w:top w:val="single" w:sz="4" w:space="0" w:color="auto"/>
              <w:left w:val="single" w:sz="4" w:space="0" w:color="auto"/>
              <w:bottom w:val="single" w:sz="4" w:space="0" w:color="auto"/>
              <w:right w:val="single" w:sz="4" w:space="0" w:color="auto"/>
            </w:tcBorders>
          </w:tcPr>
          <w:p w14:paraId="70359466" w14:textId="4A067781"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t>The study employed a qualitative research design utili</w:t>
            </w:r>
            <w:r w:rsidR="00F745AD">
              <w:rPr>
                <w:rFonts w:asciiTheme="majorBidi" w:hAnsiTheme="majorBidi" w:cstheme="majorBidi"/>
                <w:color w:val="000000" w:themeColor="text1"/>
                <w:sz w:val="24"/>
                <w:szCs w:val="24"/>
              </w:rPr>
              <w:t>sin</w:t>
            </w:r>
            <w:r w:rsidRPr="002F2806">
              <w:rPr>
                <w:rFonts w:asciiTheme="majorBidi" w:hAnsiTheme="majorBidi" w:cstheme="majorBidi"/>
                <w:color w:val="000000" w:themeColor="text1"/>
                <w:sz w:val="24"/>
                <w:szCs w:val="24"/>
              </w:rPr>
              <w:t xml:space="preserve">g in-depth interviews and </w:t>
            </w:r>
            <w:r w:rsidRPr="002F2806">
              <w:rPr>
                <w:rFonts w:asciiTheme="majorBidi" w:eastAsia="Times New Roman" w:hAnsiTheme="majorBidi" w:cstheme="majorBidi"/>
                <w:kern w:val="0"/>
                <w:sz w:val="24"/>
                <w:szCs w:val="24"/>
                <w14:ligatures w14:val="none"/>
              </w:rPr>
              <w:t>included a total of 28 female sex workers.</w:t>
            </w:r>
          </w:p>
        </w:tc>
        <w:tc>
          <w:tcPr>
            <w:tcW w:w="3330" w:type="dxa"/>
            <w:tcBorders>
              <w:top w:val="single" w:sz="4" w:space="0" w:color="auto"/>
              <w:left w:val="single" w:sz="4" w:space="0" w:color="auto"/>
              <w:bottom w:val="single" w:sz="4" w:space="0" w:color="auto"/>
              <w:right w:val="single" w:sz="4" w:space="0" w:color="auto"/>
            </w:tcBorders>
          </w:tcPr>
          <w:p w14:paraId="528AFC79"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w:t>
            </w:r>
          </w:p>
          <w:p w14:paraId="39048BB1" w14:textId="77777777" w:rsidR="00B17833" w:rsidRPr="002F2806" w:rsidRDefault="00B17833" w:rsidP="002F3CA6">
            <w:pPr>
              <w:numPr>
                <w:ilvl w:val="0"/>
                <w:numId w:val="5"/>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Negative attitudes of health workers, rigid treatment policies, and discrimination at government health facilities.</w:t>
            </w:r>
          </w:p>
          <w:p w14:paraId="7E6FE80E" w14:textId="77777777" w:rsidR="00B17833" w:rsidRPr="002F2806" w:rsidRDefault="00B17833" w:rsidP="002F3CA6">
            <w:pPr>
              <w:numPr>
                <w:ilvl w:val="0"/>
                <w:numId w:val="5"/>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Stigma associated with being seen at clinics and myths about HIV and antiretroviral therapy (ARVs).</w:t>
            </w:r>
          </w:p>
          <w:p w14:paraId="26264A5D" w14:textId="77777777" w:rsidR="00B17833" w:rsidRPr="002F2806" w:rsidRDefault="00B17833" w:rsidP="002F3CA6">
            <w:pPr>
              <w:numPr>
                <w:ilvl w:val="0"/>
                <w:numId w:val="5"/>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Busy work schedules and the need to travel for clients, making it difficult to access care.</w:t>
            </w:r>
          </w:p>
          <w:p w14:paraId="25FF8D35" w14:textId="77777777" w:rsidR="00B17833" w:rsidRPr="002F2806" w:rsidRDefault="00B17833" w:rsidP="002F3CA6">
            <w:pPr>
              <w:numPr>
                <w:ilvl w:val="0"/>
                <w:numId w:val="5"/>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Lack of money for food and transport costs to health facilities.</w:t>
            </w:r>
          </w:p>
        </w:tc>
        <w:tc>
          <w:tcPr>
            <w:tcW w:w="2700" w:type="dxa"/>
            <w:tcBorders>
              <w:top w:val="single" w:sz="4" w:space="0" w:color="auto"/>
              <w:left w:val="single" w:sz="4" w:space="0" w:color="auto"/>
              <w:bottom w:val="single" w:sz="4" w:space="0" w:color="auto"/>
              <w:right w:val="single" w:sz="4" w:space="0" w:color="auto"/>
            </w:tcBorders>
          </w:tcPr>
          <w:p w14:paraId="57D8DF4D"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While there are facilitators that can enhance linkage to HIV care among female sex workers, significant barriers persist.</w:t>
            </w:r>
          </w:p>
        </w:tc>
        <w:tc>
          <w:tcPr>
            <w:tcW w:w="2430" w:type="dxa"/>
            <w:tcBorders>
              <w:top w:val="single" w:sz="4" w:space="0" w:color="auto"/>
              <w:left w:val="single" w:sz="4" w:space="0" w:color="auto"/>
              <w:bottom w:val="single" w:sz="4" w:space="0" w:color="auto"/>
              <w:right w:val="single" w:sz="4" w:space="0" w:color="auto"/>
            </w:tcBorders>
          </w:tcPr>
          <w:p w14:paraId="35FB7DE4"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Small sample size</w:t>
            </w:r>
          </w:p>
        </w:tc>
      </w:tr>
      <w:bookmarkStart w:id="2" w:name="_Hlk187183351"/>
      <w:tr w:rsidR="00B17833" w:rsidRPr="002F2806" w14:paraId="3BC3E99A"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45073C83" w14:textId="367C7953"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{"citationItems":[{"id":"ITEM-1","itemData":{"DOI":"10.1186/s12889-016-3165-z","ISBN":"1288901631","ISSN":"14712458","PMID":"27296862","abstract":"Background: Though research has documented experiences of stigma and its effects on the lives of women living with HIV/AIDS, there is limited research on heterosexual positive HIV men experience of stigma in Nigeria. This study explored how social context surrounding HIV diagnosis impacts stigma experiences of heterosexual HIV positive men and their construction of masculinity in southwest Nigeria. Methods: Using purposive sampling, 17 heterosexual HIV positive men were recruited through community based organization to participate in two hours focus group discussions or 45 min in-depth interviews that were audio-recorded. Without using the word stigma, discussions and interviews were guided by four questions that explored participants' experiences of living with HIV/AIDS. Interviews and discussions were conducted in three languages: English, Yoruba and Pidgin English. Thematic data analysis approach was in coding transcribed data, while social constructivist thinking guided data analysis. Results: Participants ranged in age from 30 to 57 years old, and all were receiving antiretroviral therapy. Findings indicated that participants' experiences of stigma might be moderated by the social context surrounding their HIV diagnosis, and whether they have met the socio-cultural construction of masculinity. Participants whose diagnosis were preceded by immediate family members' diagnosis were less likely to report experiencing HIV stigma and more likely to report \"not feeling less than a man\" and educating others about HIV/AIDS. Contrarily, participants whose diagnosis was preceded by their own sickness were more likely to report isolation, sigma and feeling of being less than a man. All participants reported limiting their sexual intimacy, and those with children reported adjusting how they performed their role as fathers. Conclusions: Social context surrounding HIV diagnosis impact how heterosexual HIV positive men experience HIV related stigma and how they perceive themselves as men, which may influence their care seeking behaviors. These findings have implications for HIV programs geared towards African heterosexual men in general and HIV positive men in particular.","author":[{"dropping-particle":"","family":"Okoror","given":"Titilayo Ainegbesua","non-dropping-particle":"","parse-names":false,"suffix":""},{"dropping-particle":"","family":"Falade","given":"Catherine Olufunke","non-dropping-particle":"","parse-names":false,"suffix":""},{"dropping-particle":"","family":"Walker","given":"Ebunlomo Mary","non-dropping-particle":"","parse-names":false,"suffix":""},{"dropping-particle":"","family":"Olorunlana","given":"Adetayo","non-dropping-particle":"","parse-names":false,"suffix":""},{"dropping-particle":"","family":"Anaele","given":"Agaptus","non-dropping-particle":"","parse-names":false,"suffix":""}],"container-title":"BMC Public Health","id":"ITEM-1","issue":"1","issued":{"date-parts":[["2016"]]},"page":"1-10","publisher":"BMC Public Health","title":"Social context surrounding HIV diagnosis and construction of masculinity: A qualitative study of stigma experiences of heterosexual HIV positive men in southwest Nigeria","type":"article-journal","volume":"16"},"uris":["http://www.mendeley.com/documents/?uuid=daf8c751-add1-4073-925c-9e7b935f48f6"]}],"mendeley":{"formattedCitation":"(Okoror &lt;i&gt;et al.&lt;/i&gt;, 2016)","plainTextFormattedCitation":"(Okoror et al., 2016)","previouslyFormattedCitation":"(Okoror et al., 2016)"},"properties":{"noteIndex":0},"schema":"https://github.com/citation-style-language/schema/raw/master/csl-citation.json"}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(Okoror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2016)</w:t>
            </w:r>
            <w:r w:rsidRPr="002F2806">
              <w:rPr>
                <w:rFonts w:asciiTheme="majorBidi" w:hAnsiTheme="majorBidi" w:cstheme="majorBidi"/>
                <w:sz w:val="24"/>
                <w:szCs w:val="24"/>
              </w:rPr>
              <w:fldChar w:fldCharType="end"/>
            </w:r>
            <w:bookmarkEnd w:id="2"/>
          </w:p>
          <w:p w14:paraId="41A93C1D" w14:textId="77777777" w:rsidR="00B17833" w:rsidRPr="002F2806" w:rsidRDefault="00B17833" w:rsidP="002F3CA6">
            <w:pPr>
              <w:rPr>
                <w:rFonts w:asciiTheme="majorBidi" w:hAnsiTheme="majorBidi" w:cstheme="majorBidi"/>
                <w:sz w:val="24"/>
                <w:szCs w:val="24"/>
              </w:rPr>
            </w:pPr>
          </w:p>
          <w:p w14:paraId="14740C2A" w14:textId="77777777" w:rsidR="00B17833" w:rsidRPr="002F2806" w:rsidRDefault="00B17833" w:rsidP="002F3CA6">
            <w:pPr>
              <w:rPr>
                <w:rFonts w:asciiTheme="majorBidi" w:hAnsiTheme="majorBidi" w:cstheme="majorBidi"/>
                <w:sz w:val="24"/>
                <w:szCs w:val="24"/>
              </w:rPr>
            </w:pPr>
          </w:p>
          <w:p w14:paraId="430362C0"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 xml:space="preserve">Nigeria </w:t>
            </w:r>
          </w:p>
        </w:tc>
        <w:tc>
          <w:tcPr>
            <w:tcW w:w="2250" w:type="dxa"/>
            <w:tcBorders>
              <w:top w:val="single" w:sz="4" w:space="0" w:color="auto"/>
              <w:left w:val="single" w:sz="4" w:space="0" w:color="auto"/>
              <w:bottom w:val="single" w:sz="4" w:space="0" w:color="auto"/>
              <w:right w:val="single" w:sz="4" w:space="0" w:color="auto"/>
            </w:tcBorders>
          </w:tcPr>
          <w:p w14:paraId="73F04221"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To explore how the social context surrounding HIV diagnosis impacts the stigma experiences of heterosexual HIV positive men</w:t>
            </w:r>
          </w:p>
        </w:tc>
        <w:tc>
          <w:tcPr>
            <w:tcW w:w="2520" w:type="dxa"/>
            <w:tcBorders>
              <w:top w:val="single" w:sz="4" w:space="0" w:color="auto"/>
              <w:left w:val="single" w:sz="4" w:space="0" w:color="auto"/>
              <w:bottom w:val="single" w:sz="4" w:space="0" w:color="auto"/>
              <w:right w:val="single" w:sz="4" w:space="0" w:color="auto"/>
            </w:tcBorders>
          </w:tcPr>
          <w:p w14:paraId="6325D8C8" w14:textId="69368019"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research employed a qualitative study design, utili</w:t>
            </w:r>
            <w:r w:rsidR="00F745AD">
              <w:rPr>
                <w:rFonts w:asciiTheme="majorBidi" w:eastAsia="Times New Roman" w:hAnsiTheme="majorBidi" w:cstheme="majorBidi"/>
                <w:kern w:val="0"/>
                <w:sz w:val="24"/>
                <w:szCs w:val="24"/>
                <w14:ligatures w14:val="none"/>
              </w:rPr>
              <w:t>sin</w:t>
            </w:r>
            <w:r w:rsidRPr="002F2806">
              <w:rPr>
                <w:rFonts w:asciiTheme="majorBidi" w:eastAsia="Times New Roman" w:hAnsiTheme="majorBidi" w:cstheme="majorBidi"/>
                <w:kern w:val="0"/>
                <w:sz w:val="24"/>
                <w:szCs w:val="24"/>
                <w14:ligatures w14:val="none"/>
              </w:rPr>
              <w:t xml:space="preserve">g in-depth interviews and focus group discussions among 17 heterosexual HIV positive men </w:t>
            </w:r>
          </w:p>
        </w:tc>
        <w:tc>
          <w:tcPr>
            <w:tcW w:w="3330" w:type="dxa"/>
            <w:tcBorders>
              <w:top w:val="single" w:sz="4" w:space="0" w:color="auto"/>
              <w:left w:val="single" w:sz="4" w:space="0" w:color="auto"/>
              <w:bottom w:val="single" w:sz="4" w:space="0" w:color="auto"/>
              <w:right w:val="single" w:sz="4" w:space="0" w:color="auto"/>
            </w:tcBorders>
          </w:tcPr>
          <w:p w14:paraId="3DFA66F8"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several barriers to treatment, including stigma associated with HIV diagnosis, challenges in accepting their status, and societal expectations of masculinity that may hinder men from seeking timely care and support.</w:t>
            </w:r>
          </w:p>
        </w:tc>
        <w:tc>
          <w:tcPr>
            <w:tcW w:w="2700" w:type="dxa"/>
            <w:tcBorders>
              <w:top w:val="single" w:sz="4" w:space="0" w:color="auto"/>
              <w:left w:val="single" w:sz="4" w:space="0" w:color="auto"/>
              <w:bottom w:val="single" w:sz="4" w:space="0" w:color="auto"/>
              <w:right w:val="single" w:sz="4" w:space="0" w:color="auto"/>
            </w:tcBorders>
          </w:tcPr>
          <w:p w14:paraId="4A4D0AAA"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Participants expressed concerns about potential discrimination from family, friends, and community members, which influenced their willingness to disclose their status and seek treatment.</w:t>
            </w:r>
          </w:p>
          <w:p w14:paraId="089EFC0B" w14:textId="77777777" w:rsidR="00B17833" w:rsidRPr="002F2806" w:rsidRDefault="00B17833" w:rsidP="002F3CA6">
            <w:pPr>
              <w:rPr>
                <w:rFonts w:asciiTheme="majorBidi" w:eastAsia="Times New Roman" w:hAnsiTheme="majorBidi" w:cstheme="majorBidi"/>
                <w:kern w:val="0"/>
                <w:sz w:val="24"/>
                <w:szCs w:val="24"/>
                <w14:ligatures w14:val="none"/>
              </w:rPr>
            </w:pPr>
          </w:p>
        </w:tc>
        <w:tc>
          <w:tcPr>
            <w:tcW w:w="2430" w:type="dxa"/>
            <w:tcBorders>
              <w:top w:val="single" w:sz="4" w:space="0" w:color="auto"/>
              <w:left w:val="single" w:sz="4" w:space="0" w:color="auto"/>
              <w:bottom w:val="single" w:sz="4" w:space="0" w:color="auto"/>
              <w:right w:val="single" w:sz="4" w:space="0" w:color="auto"/>
            </w:tcBorders>
          </w:tcPr>
          <w:p w14:paraId="5637F521"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Small sample size</w:t>
            </w:r>
          </w:p>
        </w:tc>
      </w:tr>
      <w:bookmarkStart w:id="3" w:name="_Hlk187183356"/>
      <w:tr w:rsidR="00B17833" w:rsidRPr="002F2806" w14:paraId="540D6F7B"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65E58106" w14:textId="4613421B"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{"citationItems":[{"id":"ITEM-1","itemData":{"DOI":"10.1186/s12914-017-0119-1","ISSN":"1472698X","PMID":"28476153","abstract":"Background: HIV prevalence among female sex workers (FSWs) in high burden countries in sub-Saharan Africa varies between 24 and 72%, however their access to HIV services remains limited. This study explored FSWs' perspectives of the barriers and opportunities to HIV service access in Uganda. Methods: The cross-sectional qualitative study was conducted between October and December 2013. Twenty-four focus group discussions were conducted with 190 FSWs in 12 districts. Data were analysed using manifest content analysis, using Atlas.ti software, based on the socio-ecological model. Results: FSWs indicated that HIV services were available and these included condoms, HIV testing and treatment, and management of sexually transmitted infections. However, access to HIV services was affected by several individual, societal, structural, and policy related barriers. Individual level factors included limited awareness of some prevention services, fears, and misconceptions while societal stigma was prominent. Structural and policy level barriers included inconvenient hours of operation of the clinics, inflexible facility based distribution of condoms, interuptions in the supply of condoms and other commodities, and limited package of services with virtually no access to lubricants, HIV pre- and post-exposure prophylaxis, and support following client perpetrated violence. Policies such as partner testing and involvement at antenatal care, and using only one facility for antiretroviral drug refills hindered HIV service uptake and retention in care. FSWs had major concerns with the quality of services especially discrimination and rude remarks from providers, denial or delay of services, and potential for breach of confidentiality. However, some FSWs reported positive experiences including interface with friendly providers and participated in formal and informal FSW groups, which supported them to access health services. Conclusion: Despite availability of services, FSWs faced major challenges in access to services. Comprehensive multilevel interventions targeting individual, societal, structural and policy level barriers are required to increase access to HIVservices among FSWs in Uganda. Policy and institutional adjustments should emphasize quality friendly services and expanding the package of services to meet the needs of FSWs.","author":[{"dropping-particle":"","family":"Wanyenze","given":"Rhoda K.","non-dropping-particle":"","parse-names":false,"suffix":""},{"dropping-particle":"","family":"Musinguzi","given":"Geofrey","non-dropping-particle":"","parse-names":false,"suffix":""},{"dropping-particle":"","family":"Kiguli","given":"Juliet","non-dropping-particle":"","parse-names":false,"suffix":""},{"dropping-particle":"","family":"Nuwaha","given":"Fred","non-dropping-particle":"","parse-names":false,"suffix":""},{"dropping-particle":"","family":"Mujisha","given":"Geoffrey","non-dropping-particle":"","parse-names":false,"suffix":""},{"dropping-particle":"","family":"Musinguzi","given":"Joshua","non-dropping-particle":"","parse-names":false,"suffix":""},{"dropping-particle":"","family":"Arinaitwe","given":"Jim","non-dropping-particle":"","parse-names":false,"suffix":""},{"dropping-particle":"","family":"Matovu","given":"Joseph K.B.","non-dropping-particle":"","parse-names":false,"suffix":""}],"container-title":"BMC International Health and Human Rights","id":"ITEM-1","issue":"1","issued":{"date-parts":[["2017"]]},"page":"1-11","publisher":"BMC International Health and Human Rights","title":"\"when they know that you are a sex worker, you will be the last person to be treated\": Perceptions and experiences of female sex workers in accessing HIV services in Uganda","type":"article-journal","volume":"17"},"uris":["http://www.mendeley.com/documents/?uuid=73f8ee75-278b-47fb-bc6b-ad762bed2aeb"]}],"mendeley":{"formattedCitation":"(Wanyenze &lt;i&gt;et al.&lt;/i&gt;, 2017)","plainTextFormattedCitation":"(Wanyenze et al., 2017)","previouslyFormattedCitation":"(Wanyenze et al., 2017)"},"properties":{"noteIndex":0},"schema":"https://github.com/citation-style-language/schema/raw/master/csl-citation.json"}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(Wanyenze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2017)</w:t>
            </w:r>
            <w:r w:rsidRPr="002F2806">
              <w:rPr>
                <w:rFonts w:asciiTheme="majorBidi" w:hAnsiTheme="majorBidi" w:cstheme="majorBidi"/>
                <w:sz w:val="24"/>
                <w:szCs w:val="24"/>
              </w:rPr>
              <w:fldChar w:fldCharType="end"/>
            </w:r>
            <w:bookmarkEnd w:id="3"/>
          </w:p>
          <w:p w14:paraId="3093B958" w14:textId="77777777" w:rsidR="00B17833" w:rsidRPr="002F2806" w:rsidRDefault="00B17833" w:rsidP="002F3CA6">
            <w:pPr>
              <w:rPr>
                <w:rFonts w:asciiTheme="majorBidi" w:hAnsiTheme="majorBidi" w:cstheme="majorBidi"/>
                <w:sz w:val="24"/>
                <w:szCs w:val="24"/>
              </w:rPr>
            </w:pPr>
          </w:p>
          <w:p w14:paraId="2E3A299B" w14:textId="77777777" w:rsidR="00B17833" w:rsidRPr="002F2806" w:rsidRDefault="00B17833" w:rsidP="002F3CA6">
            <w:pPr>
              <w:rPr>
                <w:rFonts w:asciiTheme="majorBidi" w:hAnsiTheme="majorBidi" w:cstheme="majorBidi"/>
                <w:sz w:val="24"/>
                <w:szCs w:val="24"/>
              </w:rPr>
            </w:pPr>
          </w:p>
          <w:p w14:paraId="085AE179" w14:textId="77777777" w:rsidR="00B17833" w:rsidRPr="002F2806" w:rsidRDefault="00B17833" w:rsidP="002F3CA6">
            <w:pPr>
              <w:rPr>
                <w:rFonts w:asciiTheme="majorBidi" w:hAnsiTheme="majorBidi" w:cstheme="majorBidi"/>
                <w:sz w:val="24"/>
                <w:szCs w:val="24"/>
              </w:rPr>
            </w:pPr>
          </w:p>
          <w:p w14:paraId="2188A158" w14:textId="77777777" w:rsidR="00B17833" w:rsidRPr="002F2806" w:rsidRDefault="00B17833" w:rsidP="002F3CA6">
            <w:pPr>
              <w:rPr>
                <w:rFonts w:asciiTheme="majorBidi" w:hAnsiTheme="majorBidi" w:cstheme="majorBidi"/>
                <w:sz w:val="24"/>
                <w:szCs w:val="24"/>
              </w:rPr>
            </w:pPr>
          </w:p>
          <w:p w14:paraId="11A28443"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Uganda</w:t>
            </w:r>
          </w:p>
        </w:tc>
        <w:tc>
          <w:tcPr>
            <w:tcW w:w="2250" w:type="dxa"/>
            <w:tcBorders>
              <w:top w:val="single" w:sz="4" w:space="0" w:color="auto"/>
              <w:left w:val="single" w:sz="4" w:space="0" w:color="auto"/>
              <w:bottom w:val="single" w:sz="4" w:space="0" w:color="auto"/>
              <w:right w:val="single" w:sz="4" w:space="0" w:color="auto"/>
            </w:tcBorders>
          </w:tcPr>
          <w:p w14:paraId="22B8C945"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To assess the multi-level barriers and opportunities for increasing access to HIV services among female sex workers (FSWs)</w:t>
            </w:r>
          </w:p>
        </w:tc>
        <w:tc>
          <w:tcPr>
            <w:tcW w:w="2520" w:type="dxa"/>
            <w:tcBorders>
              <w:top w:val="single" w:sz="4" w:space="0" w:color="auto"/>
              <w:left w:val="single" w:sz="4" w:space="0" w:color="auto"/>
              <w:bottom w:val="single" w:sz="4" w:space="0" w:color="auto"/>
              <w:right w:val="single" w:sz="4" w:space="0" w:color="auto"/>
            </w:tcBorders>
          </w:tcPr>
          <w:p w14:paraId="260E281F" w14:textId="40DDD2B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employed a qualitative research design, utili</w:t>
            </w:r>
            <w:r w:rsidR="00F745AD">
              <w:rPr>
                <w:rFonts w:asciiTheme="majorBidi" w:eastAsia="Times New Roman" w:hAnsiTheme="majorBidi" w:cstheme="majorBidi"/>
                <w:kern w:val="0"/>
                <w:sz w:val="24"/>
                <w:szCs w:val="24"/>
                <w14:ligatures w14:val="none"/>
              </w:rPr>
              <w:t>sin</w:t>
            </w:r>
            <w:r w:rsidRPr="002F2806">
              <w:rPr>
                <w:rFonts w:asciiTheme="majorBidi" w:eastAsia="Times New Roman" w:hAnsiTheme="majorBidi" w:cstheme="majorBidi"/>
                <w:kern w:val="0"/>
                <w:sz w:val="24"/>
                <w:szCs w:val="24"/>
                <w14:ligatures w14:val="none"/>
              </w:rPr>
              <w:t>g focus group discussions of 190 FSWs</w:t>
            </w:r>
          </w:p>
          <w:p w14:paraId="0825EEC1" w14:textId="77777777" w:rsidR="00B17833" w:rsidRPr="002F2806" w:rsidRDefault="00B17833" w:rsidP="002F3CA6">
            <w:pPr>
              <w:spacing w:after="240"/>
              <w:rPr>
                <w:rFonts w:asciiTheme="majorBidi" w:hAnsiTheme="majorBidi" w:cstheme="majorBidi"/>
                <w:color w:val="000000" w:themeColor="text1"/>
                <w:sz w:val="24"/>
                <w:szCs w:val="24"/>
              </w:rPr>
            </w:pPr>
          </w:p>
        </w:tc>
        <w:tc>
          <w:tcPr>
            <w:tcW w:w="3330" w:type="dxa"/>
            <w:tcBorders>
              <w:top w:val="single" w:sz="4" w:space="0" w:color="auto"/>
              <w:left w:val="single" w:sz="4" w:space="0" w:color="auto"/>
              <w:bottom w:val="single" w:sz="4" w:space="0" w:color="auto"/>
              <w:right w:val="single" w:sz="4" w:space="0" w:color="auto"/>
            </w:tcBorders>
          </w:tcPr>
          <w:p w14:paraId="32450C2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w:t>
            </w:r>
          </w:p>
          <w:p w14:paraId="1DEFE3D3" w14:textId="77777777" w:rsidR="00B17833" w:rsidRPr="002F2806" w:rsidRDefault="00B17833" w:rsidP="002F3CA6">
            <w:pPr>
              <w:numPr>
                <w:ilvl w:val="0"/>
                <w:numId w:val="6"/>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Poverty, client-perpetrated violence, and stigma.</w:t>
            </w:r>
          </w:p>
          <w:p w14:paraId="1703DD36" w14:textId="77777777" w:rsidR="00B17833" w:rsidRPr="002F2806" w:rsidRDefault="00B17833" w:rsidP="002F3CA6">
            <w:pPr>
              <w:numPr>
                <w:ilvl w:val="0"/>
                <w:numId w:val="6"/>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Long distances to health facilities, long waiting times, stock-outs of supplies, and discriminatory behavior from healthcare workers.</w:t>
            </w:r>
          </w:p>
          <w:p w14:paraId="0A4A2601" w14:textId="77777777" w:rsidR="00B17833" w:rsidRPr="002F2806" w:rsidRDefault="00B17833" w:rsidP="002F3CA6">
            <w:pPr>
              <w:numPr>
                <w:ilvl w:val="0"/>
                <w:numId w:val="6"/>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Irregular supply of condoms, limited access to lubricants, and inadequate support </w:t>
            </w:r>
            <w:r w:rsidRPr="002F2806">
              <w:rPr>
                <w:rFonts w:asciiTheme="majorBidi" w:eastAsia="Times New Roman" w:hAnsiTheme="majorBidi" w:cstheme="majorBidi"/>
                <w:kern w:val="0"/>
                <w:sz w:val="24"/>
                <w:szCs w:val="24"/>
                <w14:ligatures w14:val="none"/>
              </w:rPr>
              <w:lastRenderedPageBreak/>
              <w:t>following incidents of gender-based violence.</w:t>
            </w:r>
          </w:p>
        </w:tc>
        <w:tc>
          <w:tcPr>
            <w:tcW w:w="2700" w:type="dxa"/>
            <w:tcBorders>
              <w:top w:val="single" w:sz="4" w:space="0" w:color="auto"/>
              <w:left w:val="single" w:sz="4" w:space="0" w:color="auto"/>
              <w:bottom w:val="single" w:sz="4" w:space="0" w:color="auto"/>
              <w:right w:val="single" w:sz="4" w:space="0" w:color="auto"/>
            </w:tcBorders>
          </w:tcPr>
          <w:p w14:paraId="59A0AF7B"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 xml:space="preserve">Despite the increased availability of services for FSWs in Uganda, significant challenges remain in accessing these services. </w:t>
            </w:r>
          </w:p>
          <w:p w14:paraId="0478E797" w14:textId="77777777" w:rsidR="00B17833" w:rsidRPr="002F2806" w:rsidRDefault="00B17833" w:rsidP="002F3CA6">
            <w:pPr>
              <w:rPr>
                <w:rFonts w:asciiTheme="majorBidi" w:hAnsiTheme="majorBidi" w:cstheme="majorBidi"/>
                <w:color w:val="000000" w:themeColor="text1"/>
                <w:sz w:val="24"/>
                <w:szCs w:val="24"/>
              </w:rPr>
            </w:pPr>
          </w:p>
        </w:tc>
        <w:tc>
          <w:tcPr>
            <w:tcW w:w="2430" w:type="dxa"/>
            <w:tcBorders>
              <w:top w:val="single" w:sz="4" w:space="0" w:color="auto"/>
              <w:left w:val="single" w:sz="4" w:space="0" w:color="auto"/>
              <w:bottom w:val="single" w:sz="4" w:space="0" w:color="auto"/>
              <w:right w:val="single" w:sz="4" w:space="0" w:color="auto"/>
            </w:tcBorders>
          </w:tcPr>
          <w:p w14:paraId="2D594088"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Potential biases in participant selection</w:t>
            </w:r>
          </w:p>
        </w:tc>
      </w:tr>
      <w:bookmarkStart w:id="4" w:name="_Hlk187183362"/>
      <w:tr w:rsidR="00B17833" w:rsidRPr="002F2806" w14:paraId="01A23581"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227AA5DD" w14:textId="4BF2BC14"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{"citationItems":[{"id":"ITEM-1","itemData":{"DOI":"10.1371/journal.pone.0169388","ISBN":"1111111111","ISSN":"19326203","PMID":"28046104","abstract":"Objective: Young women bear the greatest burden of sexually transmitted infections (STIs), so it is important to identify and address barriers to STI screening in this population. We conducted a qualitative study to explore the feasibility of STI screening among adolescent girls and young women in Mombasa, Kenya. Methods: We conducted 17 in-depth interviews (IDIs) (8 with adolescent girls and 9 with young women) and 6 focus group discussions (FGDs) (4 with adolescent girls and 2 with young women, total 55 participants). The audio recordings for the IDIs and FGDs were translated and transcribed into English. Transcripts were independently reviewed by two researchers, and a set of codes was designed to help analyze the data using the content analysis approach. Data content was then analyzed manually and digitally using ATLAS. ti, and consensus was reached on central and specific emergent themes discussed by the research team. Results: Adolescent girls and young women in Mombasa, Kenya expressed willingness to participate in STI screening. A major incentive for screening was participants' desire to know their STI status, especially following perceived high-risk sexual behavior. Lack of symptoms and fear of positive test results were identified as barriers to STI screening at the individual level, while parental notification and stigmatization from parents, family members and the community were identified as barriers at the community level. Uncomfortable or embarrassing methods of specimen collection were an additional barrier. Thus, urine-based screening was felt to be the most acceptable. Conclusion: Kenyan adolescent girls and young women seem willing to participate in screening for STIs using urine testing. Addressing stigmatization by parents, health care workers and the community could further facilitate STI screening in this population.","author":[{"dropping-particle":"","family":"Avuvika","given":"Ethel","non-dropping-particle":"","parse-names":false,"suffix":""},{"dropping-particle":"","family":"Masese","given":"Linnet N.","non-dropping-particle":"","parse-names":false,"suffix":""},{"dropping-particle":"","family":"Wanje","given":"George","non-dropping-particle":"","parse-names":false,"suffix":""},{"dropping-particle":"","family":"Wanyonyi","given":"Juliet","non-dropping-particle":"","parse-names":false,"suffix":""},{"dropping-particle":"","family":"Nyaribo","given":"Benard","non-dropping-particle":"","parse-names":false,"suffix":""},{"dropping-particle":"","family":"Omoni","given":"Grace","non-dropping-particle":"","parse-names":false,"suffix":""},{"dropping-particle":"","family":"Baghazal","given":"Anisa","non-dropping-particle":"","parse-names":false,"suffix":""},{"dropping-particle":"","family":"McClelland","given":"R. Scott","non-dropping-particle":"","parse-names":false,"suffix":""}],"container-title":"PLoS ONE","id":"ITEM-1","issue":"1","issued":{"date-parts":[["2017"]]},"page":"1-12","title":"Barriers and facilitators of screening for sexually transmitted infections in adolescent girls and young women in Mombasa, Kenya: A qualitative study","type":"article-journal","volume":"12"},"uris":["http://www.mendeley.com/documents/?uuid=3531beb6-fd11-4632-9f66-175d43ab5057"]}],"mendeley":{"formattedCitation":"(Avuvika &lt;i&gt;et al.&lt;/i&gt;, 2017)","plainTextFormattedCitation":"(Avuvika et al., 2017)","previouslyFormattedCitation":"(Avuvika et al., 2017)"},"properties":{"noteIndex":0},"schema":"https://github.com/citation-style-language/schema/raw/master/csl-citation.json"}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(Avuvika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2017)</w:t>
            </w:r>
            <w:r w:rsidRPr="002F2806">
              <w:rPr>
                <w:rFonts w:asciiTheme="majorBidi" w:hAnsiTheme="majorBidi" w:cstheme="majorBidi"/>
                <w:sz w:val="24"/>
                <w:szCs w:val="24"/>
              </w:rPr>
              <w:fldChar w:fldCharType="end"/>
            </w:r>
            <w:bookmarkEnd w:id="4"/>
          </w:p>
          <w:p w14:paraId="5639E381" w14:textId="77777777" w:rsidR="00B17833" w:rsidRPr="002F2806" w:rsidRDefault="00B17833" w:rsidP="002F3CA6">
            <w:pPr>
              <w:rPr>
                <w:rFonts w:asciiTheme="majorBidi" w:hAnsiTheme="majorBidi" w:cstheme="majorBidi"/>
                <w:sz w:val="24"/>
                <w:szCs w:val="24"/>
              </w:rPr>
            </w:pPr>
          </w:p>
          <w:p w14:paraId="05D9AC00" w14:textId="77777777" w:rsidR="00B17833" w:rsidRPr="002F2806" w:rsidRDefault="00B17833" w:rsidP="002F3CA6">
            <w:pPr>
              <w:rPr>
                <w:rFonts w:asciiTheme="majorBidi" w:hAnsiTheme="majorBidi" w:cstheme="majorBidi"/>
                <w:sz w:val="24"/>
                <w:szCs w:val="24"/>
              </w:rPr>
            </w:pPr>
          </w:p>
          <w:p w14:paraId="0AA83134"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color w:val="000000" w:themeColor="text1"/>
                <w:sz w:val="24"/>
                <w:szCs w:val="24"/>
              </w:rPr>
              <w:t>Mombasa, Kenya</w:t>
            </w:r>
          </w:p>
        </w:tc>
        <w:tc>
          <w:tcPr>
            <w:tcW w:w="2250" w:type="dxa"/>
            <w:tcBorders>
              <w:top w:val="single" w:sz="4" w:space="0" w:color="auto"/>
              <w:left w:val="single" w:sz="4" w:space="0" w:color="auto"/>
              <w:bottom w:val="single" w:sz="4" w:space="0" w:color="auto"/>
              <w:right w:val="single" w:sz="4" w:space="0" w:color="auto"/>
            </w:tcBorders>
          </w:tcPr>
          <w:p w14:paraId="71744A04"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 xml:space="preserve">To explore the barriers and facilitators of screening for sexually transmitted infections (STIs) among adolescent girls and young women </w:t>
            </w:r>
          </w:p>
        </w:tc>
        <w:tc>
          <w:tcPr>
            <w:tcW w:w="2520" w:type="dxa"/>
            <w:tcBorders>
              <w:top w:val="single" w:sz="4" w:space="0" w:color="auto"/>
              <w:left w:val="single" w:sz="4" w:space="0" w:color="auto"/>
              <w:bottom w:val="single" w:sz="4" w:space="0" w:color="auto"/>
              <w:right w:val="single" w:sz="4" w:space="0" w:color="auto"/>
            </w:tcBorders>
          </w:tcPr>
          <w:p w14:paraId="15486927" w14:textId="5232F865"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employed a qualitative research design, utili</w:t>
            </w:r>
            <w:r w:rsidR="00F745AD">
              <w:rPr>
                <w:rFonts w:asciiTheme="majorBidi" w:eastAsia="Times New Roman" w:hAnsiTheme="majorBidi" w:cstheme="majorBidi"/>
                <w:kern w:val="0"/>
                <w:sz w:val="24"/>
                <w:szCs w:val="24"/>
                <w14:ligatures w14:val="none"/>
              </w:rPr>
              <w:t>sin</w:t>
            </w:r>
            <w:r w:rsidRPr="002F2806">
              <w:rPr>
                <w:rFonts w:asciiTheme="majorBidi" w:eastAsia="Times New Roman" w:hAnsiTheme="majorBidi" w:cstheme="majorBidi"/>
                <w:kern w:val="0"/>
                <w:sz w:val="24"/>
                <w:szCs w:val="24"/>
                <w14:ligatures w14:val="none"/>
              </w:rPr>
              <w:t>g in-depth interviews and focus group discussions of 72 participants comprising 46 adolescents and 26 young women.</w:t>
            </w:r>
          </w:p>
        </w:tc>
        <w:tc>
          <w:tcPr>
            <w:tcW w:w="3330" w:type="dxa"/>
            <w:tcBorders>
              <w:top w:val="single" w:sz="4" w:space="0" w:color="auto"/>
              <w:left w:val="single" w:sz="4" w:space="0" w:color="auto"/>
              <w:bottom w:val="single" w:sz="4" w:space="0" w:color="auto"/>
              <w:right w:val="single" w:sz="4" w:space="0" w:color="auto"/>
            </w:tcBorders>
          </w:tcPr>
          <w:p w14:paraId="15F6ADA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 to STI screening:</w:t>
            </w:r>
          </w:p>
          <w:p w14:paraId="337080CA" w14:textId="77777777" w:rsidR="00B17833" w:rsidRPr="002F2806" w:rsidRDefault="00B17833" w:rsidP="002F3CA6">
            <w:pPr>
              <w:numPr>
                <w:ilvl w:val="0"/>
                <w:numId w:val="7"/>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Lack of symptoms and fear of positive test results deterred individuals from seeking screening.</w:t>
            </w:r>
          </w:p>
          <w:p w14:paraId="7E0983CB" w14:textId="77777777" w:rsidR="00B17833" w:rsidRPr="002F2806" w:rsidRDefault="00B17833" w:rsidP="002F3CA6">
            <w:pPr>
              <w:numPr>
                <w:ilvl w:val="0"/>
                <w:numId w:val="7"/>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Parental notification and stigmatization from parents, family members, and the community were significant barriers that affected willingness to participate in screening.</w:t>
            </w:r>
          </w:p>
        </w:tc>
        <w:tc>
          <w:tcPr>
            <w:tcW w:w="2700" w:type="dxa"/>
            <w:tcBorders>
              <w:top w:val="single" w:sz="4" w:space="0" w:color="auto"/>
              <w:left w:val="single" w:sz="4" w:space="0" w:color="auto"/>
              <w:bottom w:val="single" w:sz="4" w:space="0" w:color="auto"/>
              <w:right w:val="single" w:sz="4" w:space="0" w:color="auto"/>
            </w:tcBorders>
          </w:tcPr>
          <w:p w14:paraId="4E120EB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t xml:space="preserve">The </w:t>
            </w:r>
            <w:r w:rsidRPr="002F2806">
              <w:rPr>
                <w:rFonts w:asciiTheme="majorBidi" w:eastAsia="Times New Roman" w:hAnsiTheme="majorBidi" w:cstheme="majorBidi"/>
                <w:kern w:val="0"/>
                <w:sz w:val="24"/>
                <w:szCs w:val="24"/>
                <w14:ligatures w14:val="none"/>
              </w:rPr>
              <w:t xml:space="preserve">adolescent girls and young women are willing to be screened for STIs, particularly if urine testing is available. </w:t>
            </w:r>
          </w:p>
        </w:tc>
        <w:tc>
          <w:tcPr>
            <w:tcW w:w="2430" w:type="dxa"/>
            <w:tcBorders>
              <w:top w:val="single" w:sz="4" w:space="0" w:color="auto"/>
              <w:left w:val="single" w:sz="4" w:space="0" w:color="auto"/>
              <w:bottom w:val="single" w:sz="4" w:space="0" w:color="auto"/>
              <w:right w:val="single" w:sz="4" w:space="0" w:color="auto"/>
            </w:tcBorders>
          </w:tcPr>
          <w:p w14:paraId="25CB41A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use of non-probability (purposive) sampling.</w:t>
            </w:r>
          </w:p>
        </w:tc>
      </w:tr>
      <w:bookmarkStart w:id="5" w:name="_Hlk187183367"/>
      <w:tr w:rsidR="00B17833" w:rsidRPr="002F2806" w14:paraId="70387351"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46EB522E" w14:textId="7AABFBDC"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{"citationItems":[{"id":"ITEM-1","itemData":{"DOI":"10.7448/IAS.20.4.21591","ISSN":"17582652","PMID":"28530038","abstract":"Introduction: In 2013, an estimated 2.1 million adolescents (age 10–19 years) were living with HIV globally. The extent to which health facilities provide appropriate treatment and care was unknown. To support understanding of service availability in 2014, Paediatric-Adolescent Treatment Africa (PATA), a non-governmental organisation (NGO) supporting a network of health facilities across sub-Saharan Africa, undertook a facility-level situational analysis of adolescent HIV treatment and care services in 23 countries. Methods: Two hundred and eighteen facilities, responsible for an estimated 80,072 HIV-infected adolescents in care, were surveyed. Sixty per cent of the sample were from PATA’s network, with the remaining gathered via local NGO partners and snowball sampling. Data were analysed using descriptive statistics and coding to describe central tendencies and identify themes. Results: Respondents represented three subregions: West and Central Africa (n = 59; 27%), East Africa (n = 77, 35%) and southern Africa (n = 82, 38%). Half (50%) of the facilities were in urban areas, 17% peri-urban and 33% rural settings. Insufficient data disaggregation and outcomes monitoring were critical issues. A quarter of facilities did not have a working definition of adolescence. Facilities reported non-adherence as their key challenge in adolescent service provision, but had insufficient protocols for determining and managing poor adherence and loss to follow-up. Adherence counselling focused on implications of non-adherence rather than its drivers. Facilities recommended peer support as an effective adherence and retention intervention, yet not all offered these services. Almost two-thirds reported attending to adolescents with adults and/or children, and half had no transitioning protocols. Of those with transitioning protocols, 21% moved pregnant adolescents into adult services earlier than their peers. There was limited sexual and reproductive health integration, with 63% of facilities offering these services within their HIV programmes and 46% catering to the special needs of HIV-infected pregnant adolescents. Conclusions: Results indicate that providers are challenged by adolescent adherence and reflect an insufficiently targeted approach for adolescents. Guidance on standard definitions for adherence, retention and counselling approaches is needed. Peer support may create an enabling environment and sensitize personnel. Service delivery gaps should be addresse…","author":[{"dropping-particle":"","family":"Mark","given":"Daniella","non-dropping-particle":"","parse-names":false,"suffix":""},{"dropping-particle":"","family":"Armstrong","given":"Alice","non-dropping-particle":"","parse-names":false,"suffix":""},{"dropping-particle":"","family":"Andrade","given":"Catarina","non-dropping-particle":"","parse-names":false,"suffix":""},{"dropping-particle":"","family":"Penazzato","given":"Martina","non-dropping-particle":"","parse-names":false,"suffix":""},{"dropping-particle":"","family":"Hatane","given":"Luann","non-dropping-particle":"","parse-names":false,"suffix":""},{"dropping-particle":"","family":"Taing","given":"Lina","non-dropping-particle":"","parse-names":false,"suffix":""},{"dropping-particle":"","family":"Runciman","given":"Toby","non-dropping-particle":"","parse-names":false,"suffix":""},{"dropping-particle":"","family":"Ferguson","given":"Jane","non-dropping-particle":"","parse-names":false,"suffix":""}],"container-title":"Journal of the International AIDS Society","id":"ITEM-1","issue":"Suppl 3","issued":{"date-parts":[["2017"]]},"page":"25-33","title":"HIV treatment and care services for adolescents: A situational analysis of 218 facilities in 23 sub-Saharan African countries","type":"article-journal","volume":"20"},"uris":["http://www.mendeley.com/documents/?uuid=7bb3bbcd-fb1e-4b2e-8087-6e03cbd5e3da"]}],"mendeley":{"formattedCitation":"(Mark &lt;i&gt;et al.&lt;/i&gt;, 2017)","plainTextFormattedCitation":"(Mark et al., 2017)","previouslyFormattedCitation":"(Mark et al., 2017)"},"properties":{"noteIndex":0},"schema":"https://github.com/citation-style-language/schema/raw/master/csl-citation.json"}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(Mark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2017)</w:t>
            </w:r>
            <w:r w:rsidRPr="002F2806">
              <w:rPr>
                <w:rFonts w:asciiTheme="majorBidi" w:hAnsiTheme="majorBidi" w:cstheme="majorBidi"/>
                <w:sz w:val="24"/>
                <w:szCs w:val="24"/>
              </w:rPr>
              <w:fldChar w:fldCharType="end"/>
            </w:r>
            <w:bookmarkEnd w:id="5"/>
          </w:p>
          <w:p w14:paraId="4CBC9104" w14:textId="77777777" w:rsidR="00B17833" w:rsidRPr="002F2806" w:rsidRDefault="00B17833" w:rsidP="002F3CA6">
            <w:pPr>
              <w:rPr>
                <w:rFonts w:asciiTheme="majorBidi" w:hAnsiTheme="majorBidi" w:cstheme="majorBidi"/>
                <w:sz w:val="24"/>
                <w:szCs w:val="24"/>
              </w:rPr>
            </w:pPr>
          </w:p>
          <w:p w14:paraId="791437BE" w14:textId="77777777" w:rsidR="00B17833" w:rsidRPr="002F2806" w:rsidRDefault="00B17833" w:rsidP="002F3CA6">
            <w:pPr>
              <w:rPr>
                <w:rFonts w:asciiTheme="majorBidi" w:hAnsiTheme="majorBidi" w:cstheme="majorBidi"/>
                <w:sz w:val="24"/>
                <w:szCs w:val="24"/>
              </w:rPr>
            </w:pPr>
          </w:p>
          <w:p w14:paraId="17AB6671" w14:textId="77777777" w:rsidR="00B17833" w:rsidRPr="002F2806" w:rsidRDefault="00B17833" w:rsidP="002F3CA6">
            <w:pPr>
              <w:rPr>
                <w:rFonts w:asciiTheme="majorBidi" w:hAnsiTheme="majorBidi" w:cstheme="majorBidi"/>
                <w:sz w:val="24"/>
                <w:szCs w:val="24"/>
              </w:rPr>
            </w:pPr>
            <w:r w:rsidRPr="002F2806">
              <w:rPr>
                <w:rFonts w:asciiTheme="majorBidi" w:eastAsia="Times New Roman" w:hAnsiTheme="majorBidi" w:cstheme="majorBidi"/>
                <w:kern w:val="0"/>
                <w:sz w:val="24"/>
                <w:szCs w:val="24"/>
                <w14:ligatures w14:val="none"/>
              </w:rPr>
              <w:t>Sub-Saharan Africa</w:t>
            </w:r>
          </w:p>
        </w:tc>
        <w:tc>
          <w:tcPr>
            <w:tcW w:w="2250" w:type="dxa"/>
            <w:tcBorders>
              <w:top w:val="single" w:sz="4" w:space="0" w:color="auto"/>
              <w:left w:val="single" w:sz="4" w:space="0" w:color="auto"/>
              <w:bottom w:val="single" w:sz="4" w:space="0" w:color="auto"/>
              <w:right w:val="single" w:sz="4" w:space="0" w:color="auto"/>
            </w:tcBorders>
          </w:tcPr>
          <w:p w14:paraId="2585BE9D"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To assess the availability and quality of HIV treatment and care services for adolescents in sub-Saharan Africa, identifying barriers to effective treatment and care.</w:t>
            </w:r>
          </w:p>
        </w:tc>
        <w:tc>
          <w:tcPr>
            <w:tcW w:w="2520" w:type="dxa"/>
            <w:tcBorders>
              <w:top w:val="single" w:sz="4" w:space="0" w:color="auto"/>
              <w:left w:val="single" w:sz="4" w:space="0" w:color="auto"/>
              <w:bottom w:val="single" w:sz="4" w:space="0" w:color="auto"/>
              <w:right w:val="single" w:sz="4" w:space="0" w:color="auto"/>
            </w:tcBorders>
          </w:tcPr>
          <w:p w14:paraId="16EE6468"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t xml:space="preserve">The mixed methods (both quantitative and qualitative questions) developed and </w:t>
            </w:r>
            <w:r w:rsidRPr="002F2806">
              <w:rPr>
                <w:rFonts w:asciiTheme="majorBidi" w:eastAsia="Times New Roman" w:hAnsiTheme="majorBidi" w:cstheme="majorBidi"/>
                <w:kern w:val="0"/>
                <w:sz w:val="24"/>
                <w:szCs w:val="24"/>
                <w14:ligatures w14:val="none"/>
              </w:rPr>
              <w:t>included a total of 218 health facilities across 23 sub-Saharan African countries.</w:t>
            </w:r>
          </w:p>
        </w:tc>
        <w:tc>
          <w:tcPr>
            <w:tcW w:w="3330" w:type="dxa"/>
            <w:tcBorders>
              <w:top w:val="single" w:sz="4" w:space="0" w:color="auto"/>
              <w:left w:val="single" w:sz="4" w:space="0" w:color="auto"/>
              <w:bottom w:val="single" w:sz="4" w:space="0" w:color="auto"/>
              <w:right w:val="single" w:sz="4" w:space="0" w:color="auto"/>
            </w:tcBorders>
          </w:tcPr>
          <w:p w14:paraId="528E9550"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 to effective treatment:</w:t>
            </w:r>
          </w:p>
          <w:p w14:paraId="43030C5B" w14:textId="77777777" w:rsidR="00B17833" w:rsidRPr="002F2806" w:rsidRDefault="00B17833" w:rsidP="002F3CA6">
            <w:pPr>
              <w:numPr>
                <w:ilvl w:val="0"/>
                <w:numId w:val="8"/>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Insufficient data disaggregation and outcomes monitoring, making it difficult to address the specific needs of adolescent sub-groups.</w:t>
            </w:r>
          </w:p>
          <w:p w14:paraId="66FDE748" w14:textId="77777777" w:rsidR="00B17833" w:rsidRPr="002F2806" w:rsidRDefault="00B17833" w:rsidP="002F3CA6">
            <w:pPr>
              <w:numPr>
                <w:ilvl w:val="0"/>
                <w:numId w:val="8"/>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Limited ability of facilities to capture key descriptors related to </w:t>
            </w:r>
            <w:r w:rsidRPr="002F2806">
              <w:rPr>
                <w:rFonts w:asciiTheme="majorBidi" w:eastAsia="Times New Roman" w:hAnsiTheme="majorBidi" w:cstheme="majorBidi"/>
                <w:kern w:val="0"/>
                <w:sz w:val="24"/>
                <w:szCs w:val="24"/>
                <w14:ligatures w14:val="none"/>
              </w:rPr>
              <w:lastRenderedPageBreak/>
              <w:t>adolescents, such as mode of infection and key population information.</w:t>
            </w:r>
          </w:p>
          <w:p w14:paraId="359EA866" w14:textId="74E5AF29" w:rsidR="00B17833" w:rsidRPr="002F2806" w:rsidRDefault="00B17833" w:rsidP="002F3CA6">
            <w:pPr>
              <w:numPr>
                <w:ilvl w:val="0"/>
                <w:numId w:val="8"/>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Inadequate adoption of standard</w:t>
            </w:r>
            <w:r w:rsidR="00B0306B">
              <w:rPr>
                <w:rFonts w:asciiTheme="majorBidi" w:eastAsia="Times New Roman" w:hAnsiTheme="majorBidi" w:cstheme="majorBidi"/>
                <w:kern w:val="0"/>
                <w:sz w:val="24"/>
                <w:szCs w:val="24"/>
                <w14:ligatures w14:val="none"/>
              </w:rPr>
              <w:t>ised</w:t>
            </w:r>
            <w:r w:rsidRPr="002F2806">
              <w:rPr>
                <w:rFonts w:asciiTheme="majorBidi" w:eastAsia="Times New Roman" w:hAnsiTheme="majorBidi" w:cstheme="majorBidi"/>
                <w:kern w:val="0"/>
                <w:sz w:val="24"/>
                <w:szCs w:val="24"/>
                <w14:ligatures w14:val="none"/>
              </w:rPr>
              <w:t xml:space="preserve"> age definitions and monitoring protocols.</w:t>
            </w:r>
          </w:p>
        </w:tc>
        <w:tc>
          <w:tcPr>
            <w:tcW w:w="2700" w:type="dxa"/>
            <w:tcBorders>
              <w:top w:val="single" w:sz="4" w:space="0" w:color="auto"/>
              <w:left w:val="single" w:sz="4" w:space="0" w:color="auto"/>
              <w:bottom w:val="single" w:sz="4" w:space="0" w:color="auto"/>
              <w:right w:val="single" w:sz="4" w:space="0" w:color="auto"/>
            </w:tcBorders>
          </w:tcPr>
          <w:p w14:paraId="22AF1278"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The situational analysis highlighted significant challenges in the provision of HIV treatment and care services for adolescents in sub-Saharan Africa.</w:t>
            </w:r>
          </w:p>
        </w:tc>
        <w:tc>
          <w:tcPr>
            <w:tcW w:w="2430" w:type="dxa"/>
            <w:tcBorders>
              <w:top w:val="single" w:sz="4" w:space="0" w:color="auto"/>
              <w:left w:val="single" w:sz="4" w:space="0" w:color="auto"/>
              <w:bottom w:val="single" w:sz="4" w:space="0" w:color="auto"/>
              <w:right w:val="single" w:sz="4" w:space="0" w:color="auto"/>
            </w:tcBorders>
          </w:tcPr>
          <w:p w14:paraId="31644F0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representativeness of the sample may be compromised, as a third of the facilities were from rural areas and controlled random sampling was not conducted.</w:t>
            </w:r>
          </w:p>
        </w:tc>
      </w:tr>
      <w:bookmarkStart w:id="6" w:name="_Hlk187183372"/>
      <w:tr w:rsidR="00B17833" w:rsidRPr="002F2806" w14:paraId="3D78BF1D"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40ACD7F9" w14:textId="628570C1"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{"citationItems":[{"id":"ITEM-1","itemData":{"DOI":"10.1136/sextrans-2016-052973","ISSN":"14723263","PMID":"28736392","abstract":"Objectives The nature of patient-provider interactions and communication is widely documented to significantly impact on patient experiences, treatment adherence and health outcomes. Yet little is known about the broader contextual factors and dynamics that shape patient-provider interactions in high HIV prevalence and limited-resource settings. Drawing on qualitative research from five sub-Saharan African countries, we seek to unpack local dynamics that serve to hinder or facilitate productive patient-provider interactions. Methods This qualitative study, conducted in Kisumu (Kenya), Kisesa (Tanzania), Manicaland (Zimbabwe), Karonga (Malawi) and uMkhanyakude (South Africa), draws upon 278 in-depth interviews with purposively sampled people living with HIV with different diagnosis and treatment histories, 29 family members of people who died due to HIV and 38 HIV healthcare workers. Data were collected using topic guides that explored patient testing and antiretroviral therapy treatment journeys. Thematic analysis was conducted, aided by NVivo V.8.0 software. Results Our analysis revealed an array of inter-related contextual factors and power dynamics shaping patient-provider interactions. These included (1) participants' perceptions of roles and identities of 'self' and 'other'; (2) conformity or resistance to the 'rules of HIV service engagement' and a 'patient-persona'; (3) the influence of significant others' views on service provision; and (4) resources in health services. We observed that these four factors/dynamics were located in the wider context of conceptualisations of power, autonomy and structure. Conclusion Patient-provider interaction is complex, multidimensional and deeply embedded in wider social dynamics. Multiple contextual domains shape patient-provider interactions in the context of HIV in sub-Saharan Africa. Interventions to improve patient experiences and treatment adherence through enhanced interactions need to go beyond the existing focus on patient-provider communication strategies.","author":[{"dropping-particle":"","family":"Ondenge","given":"Ken","non-dropping-particle":"","parse-names":false,"suffix":""},{"dropping-particle":"","family":"Renju","given":"Jenny","non-dropping-particle":"","parse-names":false,"suffix":""},{"dropping-particle":"","family":"Bonnington","given":"Oliver","non-dropping-particle":"","parse-names":false,"suffix":""},{"dropping-particle":"","family":"Moshabela","given":"Mosa","non-dropping-particle":"","parse-names":false,"suffix":""},{"dropping-particle":"","family":"Wamoyi","given":"Joyce","non-dropping-particle":"","parse-names":false,"suffix":""},{"dropping-particle":"","family":"Nyamukapa","given":"Constance","non-dropping-particle":"","parse-names":false,"suffix":""},{"dropping-particle":"","family":"Seeley","given":"Janet","non-dropping-particle":"","parse-names":false,"suffix":""},{"dropping-particle":"","family":"Wringe","given":"Alison","non-dropping-particle":"","parse-names":false,"suffix":""},{"dropping-particle":"","family":"Skovdal","given":"Morten","non-dropping-particle":"","parse-names":false,"suffix":""}],"container-title":"Sexually Transmitted Infections","id":"ITEM-1","issued":{"date-parts":[["2017"]]},"page":"1-6","title":"'I am treated well if i adhere to my HIV medication': Putting patient-provider interactions in context through insights from qualitative research in five sub-Saharan African countries","type":"article-journal","volume":"93"},"uris":["http://www.mendeley.com/documents/?uuid=33c01325-142d-4173-ae3e-c6bd9284f9f2"]}],"mendeley":{"formattedCitation":"(Ondenge &lt;i&gt;et al.&lt;/i&gt;, 2017)","plainTextFormattedCitation":"(Ondenge et al., 2017)","previouslyFormattedCitation":"(Ondenge et al., 2017)"},"properties":{"noteIndex":0},"schema":"https://github.com/citation-style-language/schema/raw/master/csl-citation.json"}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(Ondenge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2017)</w:t>
            </w:r>
            <w:r w:rsidRPr="002F2806">
              <w:rPr>
                <w:rFonts w:asciiTheme="majorBidi" w:hAnsiTheme="majorBidi" w:cstheme="majorBidi"/>
                <w:sz w:val="24"/>
                <w:szCs w:val="24"/>
              </w:rPr>
              <w:fldChar w:fldCharType="end"/>
            </w:r>
            <w:bookmarkEnd w:id="6"/>
          </w:p>
          <w:p w14:paraId="41E63483" w14:textId="77777777" w:rsidR="00B17833" w:rsidRPr="002F2806" w:rsidRDefault="00B17833" w:rsidP="002F3CA6">
            <w:pPr>
              <w:rPr>
                <w:rFonts w:asciiTheme="majorBidi" w:hAnsiTheme="majorBidi" w:cstheme="majorBidi"/>
                <w:sz w:val="24"/>
                <w:szCs w:val="24"/>
              </w:rPr>
            </w:pPr>
          </w:p>
          <w:p w14:paraId="37796340" w14:textId="77777777" w:rsidR="00B17833" w:rsidRPr="002F2806" w:rsidRDefault="00B17833" w:rsidP="002F3CA6">
            <w:pPr>
              <w:rPr>
                <w:rFonts w:asciiTheme="majorBidi" w:hAnsiTheme="majorBidi" w:cstheme="majorBidi"/>
                <w:sz w:val="24"/>
                <w:szCs w:val="24"/>
              </w:rPr>
            </w:pPr>
          </w:p>
          <w:p w14:paraId="46E16A09" w14:textId="77777777" w:rsidR="00B17833" w:rsidRPr="002F2806" w:rsidRDefault="00B17833" w:rsidP="002F3CA6">
            <w:pPr>
              <w:rPr>
                <w:rFonts w:asciiTheme="majorBidi" w:hAnsiTheme="majorBidi" w:cstheme="majorBidi"/>
                <w:sz w:val="24"/>
                <w:szCs w:val="24"/>
              </w:rPr>
            </w:pPr>
          </w:p>
          <w:p w14:paraId="50ADC8AA"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Kenya, Tanzania, Zimbabwe, Malawi, and South Africa.</w:t>
            </w:r>
          </w:p>
        </w:tc>
        <w:tc>
          <w:tcPr>
            <w:tcW w:w="2250" w:type="dxa"/>
            <w:tcBorders>
              <w:top w:val="single" w:sz="4" w:space="0" w:color="auto"/>
              <w:left w:val="single" w:sz="4" w:space="0" w:color="auto"/>
              <w:bottom w:val="single" w:sz="4" w:space="0" w:color="auto"/>
              <w:right w:val="single" w:sz="4" w:space="0" w:color="auto"/>
            </w:tcBorders>
          </w:tcPr>
          <w:p w14:paraId="35F80317"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To explore how contextual, social, and health systems factors influence the engagement of people living with HIV (PLHIV) with HIV care and treatment in sub-Saharan Africa.</w:t>
            </w:r>
          </w:p>
        </w:tc>
        <w:tc>
          <w:tcPr>
            <w:tcW w:w="2520" w:type="dxa"/>
            <w:tcBorders>
              <w:top w:val="single" w:sz="4" w:space="0" w:color="auto"/>
              <w:left w:val="single" w:sz="4" w:space="0" w:color="auto"/>
              <w:bottom w:val="single" w:sz="4" w:space="0" w:color="auto"/>
              <w:right w:val="single" w:sz="4" w:space="0" w:color="auto"/>
            </w:tcBorders>
          </w:tcPr>
          <w:p w14:paraId="069B6153" w14:textId="4D43C8ED"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employed a qualitative design, utili</w:t>
            </w:r>
            <w:r w:rsidR="00F745AD">
              <w:rPr>
                <w:rFonts w:asciiTheme="majorBidi" w:eastAsia="Times New Roman" w:hAnsiTheme="majorBidi" w:cstheme="majorBidi"/>
                <w:kern w:val="0"/>
                <w:sz w:val="24"/>
                <w:szCs w:val="24"/>
                <w14:ligatures w14:val="none"/>
              </w:rPr>
              <w:t>sin</w:t>
            </w:r>
            <w:r w:rsidRPr="002F2806">
              <w:rPr>
                <w:rFonts w:asciiTheme="majorBidi" w:eastAsia="Times New Roman" w:hAnsiTheme="majorBidi" w:cstheme="majorBidi"/>
                <w:kern w:val="0"/>
                <w:sz w:val="24"/>
                <w:szCs w:val="24"/>
                <w14:ligatures w14:val="none"/>
              </w:rPr>
              <w:t>g in-depth interviews. A total of 278 in-depth interviews were conducted, which included PLHIV, family members of individuals who died due to HIV, and healthcare workers.</w:t>
            </w:r>
          </w:p>
        </w:tc>
        <w:tc>
          <w:tcPr>
            <w:tcW w:w="3330" w:type="dxa"/>
            <w:tcBorders>
              <w:top w:val="single" w:sz="4" w:space="0" w:color="auto"/>
              <w:left w:val="single" w:sz="4" w:space="0" w:color="auto"/>
              <w:bottom w:val="single" w:sz="4" w:space="0" w:color="auto"/>
              <w:right w:val="single" w:sz="4" w:space="0" w:color="auto"/>
            </w:tcBorders>
          </w:tcPr>
          <w:p w14:paraId="11F16A12" w14:textId="77777777" w:rsidR="00B17833" w:rsidRPr="002F2806" w:rsidRDefault="00B17833" w:rsidP="002F3CA6">
            <w:p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analysis revealed following barriers to treatment:</w:t>
            </w:r>
          </w:p>
          <w:p w14:paraId="757F01DD" w14:textId="77777777" w:rsidR="00B17833" w:rsidRPr="002F2806" w:rsidRDefault="00B17833" w:rsidP="002F3CA6">
            <w:pPr>
              <w:numPr>
                <w:ilvl w:val="0"/>
                <w:numId w:val="9"/>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Asymmetrical power dynamics in the patient-provider relationship affected engagement with care.</w:t>
            </w:r>
          </w:p>
          <w:p w14:paraId="24776682" w14:textId="77777777" w:rsidR="00B17833" w:rsidRPr="002F2806" w:rsidRDefault="00B17833" w:rsidP="002F3CA6">
            <w:pPr>
              <w:numPr>
                <w:ilvl w:val="0"/>
                <w:numId w:val="9"/>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Participants’ perceptions of their own roles and those of healthcare providers influenced interactions.</w:t>
            </w:r>
          </w:p>
          <w:p w14:paraId="13A4605F" w14:textId="77777777" w:rsidR="00B17833" w:rsidRPr="002F2806" w:rsidRDefault="00B17833" w:rsidP="002F3CA6">
            <w:pPr>
              <w:numPr>
                <w:ilvl w:val="0"/>
                <w:numId w:val="9"/>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There were dynamics of conformity or resistance to the expectations of a compliant patient persona.</w:t>
            </w:r>
          </w:p>
          <w:p w14:paraId="2411D981" w14:textId="77777777" w:rsidR="00B17833" w:rsidRPr="002F2806" w:rsidRDefault="00B17833" w:rsidP="002F3CA6">
            <w:pPr>
              <w:numPr>
                <w:ilvl w:val="0"/>
                <w:numId w:val="9"/>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The views of significant others impacted patients' </w:t>
            </w:r>
            <w:r w:rsidRPr="002F2806">
              <w:rPr>
                <w:rFonts w:asciiTheme="majorBidi" w:eastAsia="Times New Roman" w:hAnsiTheme="majorBidi" w:cstheme="majorBidi"/>
                <w:kern w:val="0"/>
                <w:sz w:val="24"/>
                <w:szCs w:val="24"/>
                <w14:ligatures w14:val="none"/>
              </w:rPr>
              <w:lastRenderedPageBreak/>
              <w:t>engagement with services.</w:t>
            </w:r>
          </w:p>
          <w:p w14:paraId="5BD1FE28" w14:textId="77777777" w:rsidR="00B17833" w:rsidRPr="002F2806" w:rsidRDefault="00B17833" w:rsidP="002F3CA6">
            <w:pPr>
              <w:numPr>
                <w:ilvl w:val="0"/>
                <w:numId w:val="9"/>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Limitations in health service resources also posed barriers to effective treatment.</w:t>
            </w:r>
          </w:p>
        </w:tc>
        <w:tc>
          <w:tcPr>
            <w:tcW w:w="2700" w:type="dxa"/>
            <w:tcBorders>
              <w:top w:val="single" w:sz="4" w:space="0" w:color="auto"/>
              <w:left w:val="single" w:sz="4" w:space="0" w:color="auto"/>
              <w:bottom w:val="single" w:sz="4" w:space="0" w:color="auto"/>
              <w:right w:val="single" w:sz="4" w:space="0" w:color="auto"/>
            </w:tcBorders>
          </w:tcPr>
          <w:p w14:paraId="22102BA2"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Patient-provider interactions are complex and deeply embedded in wider social dynamics.</w:t>
            </w:r>
          </w:p>
        </w:tc>
        <w:tc>
          <w:tcPr>
            <w:tcW w:w="2430" w:type="dxa"/>
            <w:tcBorders>
              <w:top w:val="single" w:sz="4" w:space="0" w:color="auto"/>
              <w:left w:val="single" w:sz="4" w:space="0" w:color="auto"/>
              <w:bottom w:val="single" w:sz="4" w:space="0" w:color="auto"/>
              <w:right w:val="single" w:sz="4" w:space="0" w:color="auto"/>
            </w:tcBorders>
          </w:tcPr>
          <w:p w14:paraId="6166BD4B"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was conducted in specific rural settings.</w:t>
            </w:r>
          </w:p>
        </w:tc>
      </w:tr>
      <w:bookmarkStart w:id="7" w:name="_Hlk187183378"/>
      <w:tr w:rsidR="00B17833" w:rsidRPr="002F2806" w14:paraId="703311AA"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5C487F58" w14:textId="054B9F70"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{"citationItems":[{"id":"ITEM-1","itemData":{"DOI":"10.1186/s12913-018-3136-4","ISSN":"14726963","PMID":"29855292","abstract":"Background: Unmet need for contraception results in several health challenges such as unintended pregnancies, unwanted births and unsafe abortions. Most interventions have been unable to successfully address this unmet need due to various community and health system level factors. Identifying these inhibiting and enabling factors prior to implementation of interventions forms the basis for planning efforts to increase met needs. This qualitative study was part of the formative phase of a larger research project that aimed to develop an intervention to increase met needs for contraception through community and health system participation. The specific study component reported here explores barriers and enablers to family planning and contraceptive services provision and utilisation at community and health systems levels. Methods: Twelve focus group discussions were conducted with community members (n = 114) and two with healthcare providers (n = 19). Ten in-depth interviews were held with key stakeholders. The study was conducted in Kabwe district, Zambia. Interviews/discussions were translated and transcribed verbatim. Data were coded and organised using NVivo 10 (QSR international), and were analysed using thematic analysis. Results: Health systems barriers include long distances to healthcare facilities, stock-outs of preferred methods, lack of policies facilitating contraceptive provision in schools, and undesirable provider attitudes. Community level barriers comprise women's experience with contraceptive side effects, myths, rumours and misconceptions, societal stigma, and negative traditional and religious beliefs. On the other hand, health systems enablers consist of political will from government to expand contraceptive services access, integration of contraceptive services, provision of couples counselling, and availability of personnel to offer basic methods mix. Functional community health system structures, community desire to delay pregnancy, and knowledge of contraceptive services are enablers at a community level. Conclusions: These study findings highlight key community and health systems factors that should be considered by policy, program planners and implementers in the design and implementation of family planning and contraceptive services programmes, to ensure sustained uptake and increased met needs for contraceptive methods and services.","author":[{"dropping-particle":"","family":"Silumbwe","given":"Adam","non-dropping-particle":"","parse-names":false,"suffix":""},{"dropping-particle":"","family":"Nkole","given":"Theresa","non-dropping-particle":"","parse-names":false,"suffix":""},{"dropping-particle":"","family":"Munakampe","given":"Margarate Nzala","non-dropping-particle":"","parse-names":false,"suffix":""},{"dropping-particle":"","family":"Milford","given":"Cecilia","non-dropping-particle":"","parse-names":false,"suffix":""},{"dropping-particle":"","family":"Cordero","given":"Joanna Paula","non-dropping-particle":"","parse-names":false,"suffix":""},{"dropping-particle":"","family":"Kriel","given":"Yolandie","non-dropping-particle":"","parse-names":false,"suffix":""},{"dropping-particle":"","family":"Zulu","given":"Joseph Mumba","non-dropping-particle":"","parse-names":false,"suffix":""},{"dropping-particle":"","family":"Steyn","given":"Petrus S.","non-dropping-particle":"","parse-names":false,"suffix":""}],"container-title":"BMC Health Services Research","id":"ITEM-1","issue":"1","issued":{"date-parts":[["2018"]]},"page":"1-11","publisher":"BMC Health Services Research","title":"Community and health systems barriers and enablers to family planning and contraceptive services provision and use in Kabwe District, Zambia","type":"article-journal","volume":"18"},"uris":["http://www.mendeley.com/documents/?uuid=ad3cb0fe-a167-4199-9d9a-04c1ef1ac174"]}],"mendeley":{"formattedCitation":"(Silumbwe &lt;i&gt;et al.&lt;/i&gt;, 2018)","plainTextFormattedCitation":"(Silumbwe et al., 2018)","previouslyFormattedCitation":"(Silumbwe et al., 2018)"},"properties":{"noteIndex":0},"schema":"https://github.com/citation-style-language/schema/raw/master/csl-citation.json"}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(Silumbwe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2018)</w:t>
            </w:r>
            <w:r w:rsidRPr="002F2806">
              <w:rPr>
                <w:rFonts w:asciiTheme="majorBidi" w:hAnsiTheme="majorBidi" w:cstheme="majorBidi"/>
                <w:sz w:val="24"/>
                <w:szCs w:val="24"/>
              </w:rPr>
              <w:fldChar w:fldCharType="end"/>
            </w:r>
            <w:bookmarkEnd w:id="7"/>
          </w:p>
          <w:p w14:paraId="644A3B91" w14:textId="77777777" w:rsidR="00B17833" w:rsidRPr="002F2806" w:rsidRDefault="00B17833" w:rsidP="002F3CA6">
            <w:pPr>
              <w:rPr>
                <w:rFonts w:asciiTheme="majorBidi" w:hAnsiTheme="majorBidi" w:cstheme="majorBidi"/>
                <w:sz w:val="24"/>
                <w:szCs w:val="24"/>
              </w:rPr>
            </w:pPr>
          </w:p>
          <w:p w14:paraId="0EDC1966" w14:textId="77777777" w:rsidR="00B17833" w:rsidRPr="002F2806" w:rsidRDefault="00B17833" w:rsidP="002F3CA6">
            <w:pPr>
              <w:rPr>
                <w:rFonts w:asciiTheme="majorBidi" w:hAnsiTheme="majorBidi" w:cstheme="majorBidi"/>
                <w:sz w:val="24"/>
                <w:szCs w:val="24"/>
              </w:rPr>
            </w:pPr>
          </w:p>
          <w:p w14:paraId="2CC70ADD"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 xml:space="preserve">Zambia </w:t>
            </w:r>
          </w:p>
          <w:p w14:paraId="6AF88B96" w14:textId="77777777" w:rsidR="00B17833" w:rsidRPr="002F2806" w:rsidRDefault="00B17833" w:rsidP="002F3CA6">
            <w:pPr>
              <w:rPr>
                <w:rFonts w:asciiTheme="majorBidi" w:hAnsiTheme="majorBidi" w:cstheme="majorBidi"/>
                <w:sz w:val="24"/>
                <w:szCs w:val="24"/>
              </w:rPr>
            </w:pPr>
          </w:p>
        </w:tc>
        <w:tc>
          <w:tcPr>
            <w:tcW w:w="2250" w:type="dxa"/>
            <w:tcBorders>
              <w:top w:val="single" w:sz="4" w:space="0" w:color="auto"/>
              <w:left w:val="single" w:sz="4" w:space="0" w:color="auto"/>
              <w:bottom w:val="single" w:sz="4" w:space="0" w:color="auto"/>
              <w:right w:val="single" w:sz="4" w:space="0" w:color="auto"/>
            </w:tcBorders>
          </w:tcPr>
          <w:p w14:paraId="5C0FE862"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To identify barriers and enablers to family planning and contraceptive services (FP/C) provision and use in order to avoid STIs</w:t>
            </w:r>
          </w:p>
        </w:tc>
        <w:tc>
          <w:tcPr>
            <w:tcW w:w="2520" w:type="dxa"/>
            <w:tcBorders>
              <w:top w:val="single" w:sz="4" w:space="0" w:color="auto"/>
              <w:left w:val="single" w:sz="4" w:space="0" w:color="auto"/>
              <w:bottom w:val="single" w:sz="4" w:space="0" w:color="auto"/>
              <w:right w:val="single" w:sz="4" w:space="0" w:color="auto"/>
            </w:tcBorders>
          </w:tcPr>
          <w:p w14:paraId="6952F135"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involved a total of 14 focus group discussions (FGDs), with 12 consisting of community members (users and non-users) and 2 conducted with healthcare providers (HCPs).</w:t>
            </w:r>
          </w:p>
        </w:tc>
        <w:tc>
          <w:tcPr>
            <w:tcW w:w="3330" w:type="dxa"/>
            <w:tcBorders>
              <w:top w:val="single" w:sz="4" w:space="0" w:color="auto"/>
              <w:left w:val="single" w:sz="4" w:space="0" w:color="auto"/>
              <w:bottom w:val="single" w:sz="4" w:space="0" w:color="auto"/>
              <w:right w:val="single" w:sz="4" w:space="0" w:color="auto"/>
            </w:tcBorders>
          </w:tcPr>
          <w:p w14:paraId="2DFC76E4"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 to the provision of family planning and contraceptive services:</w:t>
            </w:r>
          </w:p>
          <w:p w14:paraId="4969CD3D" w14:textId="77777777" w:rsidR="00B17833" w:rsidRPr="002F2806" w:rsidRDefault="00B17833" w:rsidP="002F3CA6">
            <w:pPr>
              <w:numPr>
                <w:ilvl w:val="0"/>
                <w:numId w:val="10"/>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Long distances to healthcare facilities, which deterred women from accessing services.</w:t>
            </w:r>
          </w:p>
          <w:p w14:paraId="7AF370C7" w14:textId="77777777" w:rsidR="00B17833" w:rsidRPr="002F2806" w:rsidRDefault="00B17833" w:rsidP="002F3CA6">
            <w:pPr>
              <w:numPr>
                <w:ilvl w:val="0"/>
                <w:numId w:val="10"/>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Stock-outs of preferred contraceptive methods.</w:t>
            </w:r>
          </w:p>
          <w:p w14:paraId="683A7767" w14:textId="77777777" w:rsidR="00B17833" w:rsidRPr="002F2806" w:rsidRDefault="00B17833" w:rsidP="002F3CA6">
            <w:pPr>
              <w:numPr>
                <w:ilvl w:val="0"/>
                <w:numId w:val="10"/>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Lack of policies facilitating contraceptive provision in schools.</w:t>
            </w:r>
          </w:p>
          <w:p w14:paraId="2603A707" w14:textId="77777777" w:rsidR="00B17833" w:rsidRPr="002F2806" w:rsidRDefault="00B17833" w:rsidP="002F3CA6">
            <w:pPr>
              <w:numPr>
                <w:ilvl w:val="0"/>
                <w:numId w:val="10"/>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Negative attitudes from healthcare providers.</w:t>
            </w:r>
          </w:p>
          <w:p w14:paraId="752B6DA3" w14:textId="77777777" w:rsidR="00B17833" w:rsidRPr="002F2806" w:rsidRDefault="00B17833" w:rsidP="002F3CA6">
            <w:pPr>
              <w:numPr>
                <w:ilvl w:val="0"/>
                <w:numId w:val="10"/>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Community-level barriers such as myths, rumors, societal stigma, and negative traditional and religious beliefs.</w:t>
            </w:r>
          </w:p>
        </w:tc>
        <w:tc>
          <w:tcPr>
            <w:tcW w:w="2700" w:type="dxa"/>
            <w:tcBorders>
              <w:top w:val="single" w:sz="4" w:space="0" w:color="auto"/>
              <w:left w:val="single" w:sz="4" w:space="0" w:color="auto"/>
              <w:bottom w:val="single" w:sz="4" w:space="0" w:color="auto"/>
              <w:right w:val="single" w:sz="4" w:space="0" w:color="auto"/>
            </w:tcBorders>
          </w:tcPr>
          <w:p w14:paraId="1E1A0BF7"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The findings underscore the importance of addressing both community and health system factors to enhance the uptake of family planning and contraceptive services. </w:t>
            </w:r>
          </w:p>
        </w:tc>
        <w:tc>
          <w:tcPr>
            <w:tcW w:w="2430" w:type="dxa"/>
            <w:tcBorders>
              <w:top w:val="single" w:sz="4" w:space="0" w:color="auto"/>
              <w:left w:val="single" w:sz="4" w:space="0" w:color="auto"/>
              <w:bottom w:val="single" w:sz="4" w:space="0" w:color="auto"/>
              <w:right w:val="single" w:sz="4" w:space="0" w:color="auto"/>
            </w:tcBorders>
          </w:tcPr>
          <w:p w14:paraId="6849BF0C"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Small sample size</w:t>
            </w:r>
          </w:p>
        </w:tc>
      </w:tr>
      <w:bookmarkStart w:id="8" w:name="_Hlk187183383"/>
      <w:tr w:rsidR="00B17833" w:rsidRPr="002F2806" w14:paraId="3D52CD70"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72398C95" w14:textId="4989B045"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lastRenderedPageBreak/>
              <w:fldChar w:fldCharType="begin" w:fldLock="1"/>
            </w:r>
            <w:r w:rsidR="00517FC3">
              <w:rPr>
                <w:rFonts w:asciiTheme="majorBidi" w:hAnsiTheme="majorBidi" w:cstheme="majorBidi"/>
                <w:sz w:val="24"/>
                <w:szCs w:val="24"/>
              </w:rPr>
              <w:instrText>ADDIN CSL_CITATION {"citationItems":[{"id":"ITEM-1","itemData":{"DOI":"10.1080/23761407.2017.1397580","ISSN":"23761415","PMID":"29236624","abstract":"Background: In spite of the global decline in HIV infections, sub-Saharan Africa still accounts for a non-proportional majority of global new infections. While many studies have documented the importance of facilitating access to anti-retroviral therapy (ART) as a means of reducing infections, the relationship between interpersonal, community, healthcare facility, and policy-level factors and treatment adherence in Africa have not been well-described. The authors examined these factors in the context of prevention of mother-to-child transmission (PMTCT) of HIV in rural north-central Nigeria, where HIV burden is high and service coverage is low. Methods: Eleven focus groups (n = 105) were conducted among PMTCT clients, male partners, young women, and other community members from 39 rural and semi-rural communities to explore factors related to HIV and antenatal care service use. Data were analyzed using the Constant Comparative Method. Results: Irrespective of HIV status, participants reported barriers to access including long clinic wait times, transportation availability and cost, and the lack of HIV treatment medications. For HIV-positive women, stigma from family members, providers, and the local community affected their ability to obtain care and remain ART-adherent. In the face of these barriers, these women reflected on the importance of peer and community support, as well as the passage of laws to combat barriers to treatment access, uptake, and adherence. Conclusions: Facilitating treatment adherence may require not only focusing on the medical treatment needs of these women but also structural issues, such as the availability of providers and drugs, and systemic stigmatization of HIV-positive patients.","author":[{"dropping-particle":"","family":"Cornelius","given":"Llewellyn J.","non-dropping-particle":"","parse-names":false,"suffix":""},{"dropping-particle":"","family":"Erekaha","given":"Salome C.","non-dropping-particle":"","parse-names":false,"suffix":""},{"dropping-particle":"","family":"Okundaye","given":"Joshua N.","non-dropping-particle":"","parse-names":false,"suffix":""},{"dropping-particle":"","family":"Sam-Agudu","given":"Nadia A.","non-dropping-particle":"","parse-names":false,"suffix":""}],"container-title":"Journal of Evidence-Informed Social Work","id":"ITEM-1","issue":"1","issued":{"date-parts":[["2018"]]},"page":"38-51","publisher":"Routledge","title":"A Socio-Ecological Examination of Treatment Access, Uptake and Adherence Issues Encountered By HIV-Positive Women in Rural North-Central Nigeria","type":"article-journal","volume":"15"},"uris":["http://www.mendeley.com/documents/?uuid=b66d9c20-c807-4998-8201-1ac1ad5f4e8b"]}],"mendeley":{"formattedCitation":"(Cornelius &lt;i&gt;et al.&lt;/i&gt;, 2018)","plainTextFormattedCitation":"(Cornelius et al., 2018)","previouslyFormattedCitation":"(Cornelius et al., 2018)"},"properties":{"noteIndex":0},"schema":"https://github.com/citation-style-language/schema/raw/master/csl-citation.json"}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(Cornelius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2018)</w:t>
            </w:r>
            <w:r w:rsidRPr="002F2806">
              <w:rPr>
                <w:rFonts w:asciiTheme="majorBidi" w:hAnsiTheme="majorBidi" w:cstheme="majorBidi"/>
                <w:sz w:val="24"/>
                <w:szCs w:val="24"/>
              </w:rPr>
              <w:fldChar w:fldCharType="end"/>
            </w:r>
            <w:bookmarkEnd w:id="8"/>
          </w:p>
          <w:p w14:paraId="24D32AA3" w14:textId="77777777" w:rsidR="00B17833" w:rsidRPr="002F2806" w:rsidRDefault="00B17833" w:rsidP="002F3CA6">
            <w:pPr>
              <w:rPr>
                <w:rFonts w:asciiTheme="majorBidi" w:hAnsiTheme="majorBidi" w:cstheme="majorBidi"/>
                <w:sz w:val="24"/>
                <w:szCs w:val="24"/>
              </w:rPr>
            </w:pPr>
          </w:p>
          <w:p w14:paraId="54178874" w14:textId="77777777" w:rsidR="00B17833" w:rsidRPr="002F2806" w:rsidRDefault="00B17833" w:rsidP="002F3CA6">
            <w:pPr>
              <w:rPr>
                <w:rFonts w:asciiTheme="majorBidi" w:hAnsiTheme="majorBidi" w:cstheme="majorBidi"/>
                <w:sz w:val="24"/>
                <w:szCs w:val="24"/>
              </w:rPr>
            </w:pPr>
          </w:p>
          <w:p w14:paraId="25DAB0CB" w14:textId="77777777" w:rsidR="00B17833" w:rsidRPr="002F2806" w:rsidRDefault="00B17833" w:rsidP="002F3CA6">
            <w:pPr>
              <w:rPr>
                <w:rFonts w:asciiTheme="majorBidi" w:hAnsiTheme="majorBidi" w:cstheme="majorBidi"/>
                <w:sz w:val="24"/>
                <w:szCs w:val="24"/>
              </w:rPr>
            </w:pPr>
          </w:p>
          <w:p w14:paraId="51BD2FBD"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 xml:space="preserve">Nigeria </w:t>
            </w:r>
          </w:p>
        </w:tc>
        <w:tc>
          <w:tcPr>
            <w:tcW w:w="2250" w:type="dxa"/>
            <w:tcBorders>
              <w:top w:val="single" w:sz="4" w:space="0" w:color="auto"/>
              <w:left w:val="single" w:sz="4" w:space="0" w:color="auto"/>
              <w:bottom w:val="single" w:sz="4" w:space="0" w:color="auto"/>
              <w:right w:val="single" w:sz="4" w:space="0" w:color="auto"/>
            </w:tcBorders>
          </w:tcPr>
          <w:p w14:paraId="61DD5740"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To gather information regarding the challenges women living with HIV encounter in gaining access to HIV/AIDS services</w:t>
            </w:r>
          </w:p>
        </w:tc>
        <w:tc>
          <w:tcPr>
            <w:tcW w:w="2520" w:type="dxa"/>
            <w:tcBorders>
              <w:top w:val="single" w:sz="4" w:space="0" w:color="auto"/>
              <w:left w:val="single" w:sz="4" w:space="0" w:color="auto"/>
              <w:bottom w:val="single" w:sz="4" w:space="0" w:color="auto"/>
              <w:right w:val="single" w:sz="4" w:space="0" w:color="auto"/>
            </w:tcBorders>
          </w:tcPr>
          <w:p w14:paraId="03691A2E" w14:textId="155CA64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employed a qualitative research design, utili</w:t>
            </w:r>
            <w:r w:rsidR="00F745AD">
              <w:rPr>
                <w:rFonts w:asciiTheme="majorBidi" w:eastAsia="Times New Roman" w:hAnsiTheme="majorBidi" w:cstheme="majorBidi"/>
                <w:kern w:val="0"/>
                <w:sz w:val="24"/>
                <w:szCs w:val="24"/>
                <w14:ligatures w14:val="none"/>
              </w:rPr>
              <w:t>sin</w:t>
            </w:r>
            <w:r w:rsidRPr="002F2806">
              <w:rPr>
                <w:rFonts w:asciiTheme="majorBidi" w:eastAsia="Times New Roman" w:hAnsiTheme="majorBidi" w:cstheme="majorBidi"/>
                <w:kern w:val="0"/>
                <w:sz w:val="24"/>
                <w:szCs w:val="24"/>
                <w14:ligatures w14:val="none"/>
              </w:rPr>
              <w:t xml:space="preserve">g focus group discussions (FGDs) among 105 participants </w:t>
            </w:r>
          </w:p>
        </w:tc>
        <w:tc>
          <w:tcPr>
            <w:tcW w:w="3330" w:type="dxa"/>
            <w:tcBorders>
              <w:top w:val="single" w:sz="4" w:space="0" w:color="auto"/>
              <w:left w:val="single" w:sz="4" w:space="0" w:color="auto"/>
              <w:bottom w:val="single" w:sz="4" w:space="0" w:color="auto"/>
              <w:right w:val="single" w:sz="4" w:space="0" w:color="auto"/>
            </w:tcBorders>
          </w:tcPr>
          <w:p w14:paraId="721E07B6" w14:textId="77777777" w:rsidR="00B17833" w:rsidRPr="002F2806" w:rsidRDefault="00B17833" w:rsidP="002F3CA6">
            <w:p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 to treatment access:</w:t>
            </w:r>
          </w:p>
          <w:p w14:paraId="051AC962" w14:textId="77777777" w:rsidR="00B17833" w:rsidRPr="002F2806" w:rsidRDefault="00B17833" w:rsidP="002F3CA6">
            <w:pPr>
              <w:numPr>
                <w:ilvl w:val="0"/>
                <w:numId w:val="18"/>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Long clinic wait time</w:t>
            </w:r>
          </w:p>
          <w:p w14:paraId="6FAC563E" w14:textId="77777777" w:rsidR="00B17833" w:rsidRPr="002F2806" w:rsidRDefault="00B17833" w:rsidP="002F3CA6">
            <w:pPr>
              <w:numPr>
                <w:ilvl w:val="0"/>
                <w:numId w:val="18"/>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Transportation availability and costs</w:t>
            </w:r>
          </w:p>
          <w:p w14:paraId="417577B8" w14:textId="77777777" w:rsidR="00B17833" w:rsidRPr="002F2806" w:rsidRDefault="00B17833" w:rsidP="002F3CA6">
            <w:pPr>
              <w:numPr>
                <w:ilvl w:val="0"/>
                <w:numId w:val="18"/>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Lack of availability of HIV treatment medications</w:t>
            </w:r>
          </w:p>
          <w:p w14:paraId="527E9699" w14:textId="77777777" w:rsidR="00B17833" w:rsidRPr="002F2806" w:rsidRDefault="00B17833" w:rsidP="002F3CA6">
            <w:pPr>
              <w:numPr>
                <w:ilvl w:val="0"/>
                <w:numId w:val="18"/>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Stigma from family members, healthcare providers, and the local community, which affected the ability of HIV-positive women to obtain care and remain adherent to ART (Antiretroviral Therapy).</w:t>
            </w:r>
          </w:p>
        </w:tc>
        <w:tc>
          <w:tcPr>
            <w:tcW w:w="2700" w:type="dxa"/>
            <w:tcBorders>
              <w:top w:val="single" w:sz="4" w:space="0" w:color="auto"/>
              <w:left w:val="single" w:sz="4" w:space="0" w:color="auto"/>
              <w:bottom w:val="single" w:sz="4" w:space="0" w:color="auto"/>
              <w:right w:val="single" w:sz="4" w:space="0" w:color="auto"/>
            </w:tcBorders>
          </w:tcPr>
          <w:p w14:paraId="5D6453BB"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Addressing treatment adherence for HIV-positive women requires a multifaceted approach that goes beyond medical treatment needs.</w:t>
            </w:r>
          </w:p>
          <w:p w14:paraId="6CED1934" w14:textId="77777777" w:rsidR="00B17833" w:rsidRPr="002F2806" w:rsidRDefault="00B17833" w:rsidP="002F3CA6">
            <w:pPr>
              <w:rPr>
                <w:rFonts w:asciiTheme="majorBidi" w:eastAsia="Times New Roman" w:hAnsiTheme="majorBidi" w:cstheme="majorBidi"/>
                <w:kern w:val="0"/>
                <w:sz w:val="24"/>
                <w:szCs w:val="24"/>
                <w14:ligatures w14:val="none"/>
              </w:rPr>
            </w:pPr>
          </w:p>
        </w:tc>
        <w:tc>
          <w:tcPr>
            <w:tcW w:w="2430" w:type="dxa"/>
            <w:tcBorders>
              <w:top w:val="single" w:sz="4" w:space="0" w:color="auto"/>
              <w:left w:val="single" w:sz="4" w:space="0" w:color="auto"/>
              <w:bottom w:val="single" w:sz="4" w:space="0" w:color="auto"/>
              <w:right w:val="single" w:sz="4" w:space="0" w:color="auto"/>
            </w:tcBorders>
          </w:tcPr>
          <w:p w14:paraId="5EECCBC9"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t xml:space="preserve">The </w:t>
            </w:r>
            <w:r w:rsidRPr="002F2806">
              <w:rPr>
                <w:rFonts w:asciiTheme="majorBidi" w:eastAsia="Times New Roman" w:hAnsiTheme="majorBidi" w:cstheme="majorBidi"/>
                <w:kern w:val="0"/>
                <w:sz w:val="24"/>
                <w:szCs w:val="24"/>
                <w14:ligatures w14:val="none"/>
              </w:rPr>
              <w:t>findings are based on a purposively selected cohort from only one of the six geopolitical zones in Nigeria.</w:t>
            </w:r>
          </w:p>
        </w:tc>
      </w:tr>
      <w:tr w:rsidR="00B17833" w:rsidRPr="002F2806" w14:paraId="037DA444"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2CA01F59"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Pr="002F2806">
              <w:rPr>
                <w:rFonts w:asciiTheme="majorBidi" w:hAnsiTheme="majorBidi" w:cstheme="majorBidi"/>
                <w:sz w:val="24"/>
                <w:szCs w:val="24"/>
              </w:rPr>
              <w:instrText>ADDIN CSL_CITATION {"citationItems":[{"id":"ITEM-1","itemData":{"DOI":"10.1108/JHR-10-2018-0119","ISSN":"2586940X","abstract":"Purpose: The purpose of this paper is to explore perceived barriers to accessing and using adolescent health services in Ghana. Design/methodology/approach: The study was a qualitative study adopting a case study design. In total, 24 adolescents were recruited from four adolescent health facilities in Tema, a suburb of Ghana, using convenient sampling. In-depth interviews with respondents were conducted coupled with the taking of field notes and personal observations. Data collection took place between January and May 2017. Data were transcribed, managed and coded for themes. Thematic analysis was guided by Braun and Clarke’s (2006) Framework. Findings: The findings of this study revealed that majority of the respondents were females (54 percent) older adolescents (above 15 years (60 percent), students (79 percent)), had junior high school education and stayed with their biological parent(s) (70 percent). Adolescents in this study perceived four main barriers that restrict their access to or use of adolescent health services. The barriers were found at the facility level, provider level, community level and personal level. Originality/value: The findings of this study provide evidence-based information for planning adolescent health care interventions that would improve adolescents’ access to and use of health services in Ghana.","author":[{"dropping-particle":"","family":"Abuosi","given":"Aaron Asibi","non-dropping-particle":"","parse-names":false,"suffix":""},{"dropping-particle":"","family":"Anaba","given":"Emmanuel Anongeba","non-dropping-particle":"","parse-names":false,"suffix":""}],"container-title":"Journal of Health Research","id":"ITEM-1","issue":"3","issued":{"date-parts":[["2019"]]},"page":"197-207","title":"Barriers on access to and use of adolescent health services in Ghana","type":"article-journal","volume":"33"},"uris":["http://www.mendeley.com/documents/?uuid=e0e1922b-11a7-4aa8-89cd-b020d772ab99"]}],"mendeley":{"formattedCitation":"(Abuosi and Anaba, 2019)","plainTextFormattedCitation":"(Abuosi and Anaba, 2019)","previouslyFormattedCitation":"(Abuosi and Anaba, 2019)"},"properties":{"noteIndex":0},"schema":"https://github.com/citation-style-language/schema/raw/master/csl-citation.json"}</w:instrText>
            </w:r>
            <w:r w:rsidRPr="002F2806">
              <w:rPr>
                <w:rFonts w:asciiTheme="majorBidi" w:hAnsiTheme="majorBidi" w:cstheme="majorBidi"/>
                <w:sz w:val="24"/>
                <w:szCs w:val="24"/>
              </w:rPr>
              <w:fldChar w:fldCharType="separate"/>
            </w:r>
            <w:r w:rsidRPr="002F2806">
              <w:rPr>
                <w:rFonts w:asciiTheme="majorBidi" w:hAnsiTheme="majorBidi" w:cstheme="majorBidi"/>
                <w:noProof/>
                <w:sz w:val="24"/>
                <w:szCs w:val="24"/>
              </w:rPr>
              <w:t>(Abuosi and Anaba, 2019)</w:t>
            </w:r>
            <w:r w:rsidRPr="002F2806">
              <w:rPr>
                <w:rFonts w:asciiTheme="majorBidi" w:hAnsiTheme="majorBidi" w:cstheme="majorBidi"/>
                <w:sz w:val="24"/>
                <w:szCs w:val="24"/>
              </w:rPr>
              <w:fldChar w:fldCharType="end"/>
            </w:r>
          </w:p>
          <w:p w14:paraId="15DF751F" w14:textId="77777777" w:rsidR="00B17833" w:rsidRPr="002F2806" w:rsidRDefault="00B17833" w:rsidP="002F3CA6">
            <w:pPr>
              <w:rPr>
                <w:rFonts w:asciiTheme="majorBidi" w:hAnsiTheme="majorBidi" w:cstheme="majorBidi"/>
                <w:sz w:val="24"/>
                <w:szCs w:val="24"/>
              </w:rPr>
            </w:pPr>
          </w:p>
          <w:p w14:paraId="389CED4B" w14:textId="77777777" w:rsidR="00B17833" w:rsidRPr="002F2806" w:rsidRDefault="00B17833" w:rsidP="002F3CA6">
            <w:pPr>
              <w:rPr>
                <w:rFonts w:asciiTheme="majorBidi" w:hAnsiTheme="majorBidi" w:cstheme="majorBidi"/>
                <w:sz w:val="24"/>
                <w:szCs w:val="24"/>
              </w:rPr>
            </w:pPr>
          </w:p>
          <w:p w14:paraId="77483793" w14:textId="77777777" w:rsidR="00B17833" w:rsidRPr="002F2806" w:rsidRDefault="00B17833" w:rsidP="002F3CA6">
            <w:pPr>
              <w:rPr>
                <w:rFonts w:asciiTheme="majorBidi" w:hAnsiTheme="majorBidi" w:cstheme="majorBidi"/>
                <w:sz w:val="24"/>
                <w:szCs w:val="24"/>
              </w:rPr>
            </w:pPr>
          </w:p>
          <w:p w14:paraId="288900BC" w14:textId="77777777" w:rsidR="00B17833" w:rsidRPr="002F2806" w:rsidRDefault="00B17833" w:rsidP="002F3CA6">
            <w:pPr>
              <w:rPr>
                <w:rFonts w:asciiTheme="majorBidi" w:hAnsiTheme="majorBidi" w:cstheme="majorBidi"/>
                <w:sz w:val="24"/>
                <w:szCs w:val="24"/>
              </w:rPr>
            </w:pPr>
          </w:p>
          <w:p w14:paraId="2AEDE95D" w14:textId="77777777" w:rsidR="00B17833" w:rsidRPr="002F2806" w:rsidRDefault="00B17833" w:rsidP="002F3CA6">
            <w:pPr>
              <w:rPr>
                <w:rFonts w:asciiTheme="majorBidi" w:hAnsiTheme="majorBidi" w:cstheme="majorBidi"/>
                <w:sz w:val="24"/>
                <w:szCs w:val="24"/>
              </w:rPr>
            </w:pPr>
          </w:p>
          <w:p w14:paraId="041E700D"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Ghana</w:t>
            </w:r>
          </w:p>
        </w:tc>
        <w:tc>
          <w:tcPr>
            <w:tcW w:w="2250" w:type="dxa"/>
            <w:tcBorders>
              <w:top w:val="single" w:sz="4" w:space="0" w:color="auto"/>
              <w:left w:val="single" w:sz="4" w:space="0" w:color="auto"/>
              <w:bottom w:val="single" w:sz="4" w:space="0" w:color="auto"/>
              <w:right w:val="single" w:sz="4" w:space="0" w:color="auto"/>
            </w:tcBorders>
          </w:tcPr>
          <w:p w14:paraId="1EBD5F58"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To explore perceived barriers to accessing and using adolescent health services, including those related to the treatment of STIs</w:t>
            </w:r>
          </w:p>
        </w:tc>
        <w:tc>
          <w:tcPr>
            <w:tcW w:w="2520" w:type="dxa"/>
            <w:tcBorders>
              <w:top w:val="single" w:sz="4" w:space="0" w:color="auto"/>
              <w:left w:val="single" w:sz="4" w:space="0" w:color="auto"/>
              <w:bottom w:val="single" w:sz="4" w:space="0" w:color="auto"/>
              <w:right w:val="single" w:sz="4" w:space="0" w:color="auto"/>
            </w:tcBorders>
          </w:tcPr>
          <w:p w14:paraId="61FF646B" w14:textId="30E78D0B"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util</w:t>
            </w:r>
            <w:r w:rsidR="00B0306B">
              <w:rPr>
                <w:rFonts w:asciiTheme="majorBidi" w:eastAsia="Times New Roman" w:hAnsiTheme="majorBidi" w:cstheme="majorBidi"/>
                <w:kern w:val="0"/>
                <w:sz w:val="24"/>
                <w:szCs w:val="24"/>
                <w14:ligatures w14:val="none"/>
              </w:rPr>
              <w:t>ised</w:t>
            </w:r>
            <w:r w:rsidRPr="002F2806">
              <w:rPr>
                <w:rFonts w:asciiTheme="majorBidi" w:eastAsia="Times New Roman" w:hAnsiTheme="majorBidi" w:cstheme="majorBidi"/>
                <w:kern w:val="0"/>
                <w:sz w:val="24"/>
                <w:szCs w:val="24"/>
                <w14:ligatures w14:val="none"/>
              </w:rPr>
              <w:t xml:space="preserve"> a qualitative research design with in-depth interviews of 24 adolescents recruited from four health facilities. </w:t>
            </w:r>
          </w:p>
          <w:p w14:paraId="1DBC5895" w14:textId="77777777" w:rsidR="00B17833" w:rsidRPr="002F2806" w:rsidRDefault="00B17833" w:rsidP="002F3CA6">
            <w:pPr>
              <w:rPr>
                <w:rFonts w:asciiTheme="majorBidi" w:eastAsia="Times New Roman" w:hAnsiTheme="majorBidi" w:cstheme="majorBidi"/>
                <w:kern w:val="0"/>
                <w:sz w:val="24"/>
                <w:szCs w:val="24"/>
                <w14:ligatures w14:val="none"/>
              </w:rPr>
            </w:pPr>
          </w:p>
          <w:p w14:paraId="5D9EFB55" w14:textId="77777777" w:rsidR="00B17833" w:rsidRPr="002F2806" w:rsidRDefault="00B17833" w:rsidP="002F3CA6">
            <w:pPr>
              <w:rPr>
                <w:rFonts w:asciiTheme="majorBidi" w:eastAsia="Times New Roman" w:hAnsiTheme="majorBidi" w:cstheme="majorBidi"/>
                <w:kern w:val="0"/>
                <w:sz w:val="24"/>
                <w:szCs w:val="24"/>
                <w14:ligatures w14:val="none"/>
              </w:rPr>
            </w:pPr>
          </w:p>
          <w:p w14:paraId="371CD65A" w14:textId="77777777" w:rsidR="00B17833" w:rsidRPr="002F2806" w:rsidRDefault="00B17833" w:rsidP="002F3CA6">
            <w:pPr>
              <w:spacing w:after="240"/>
              <w:rPr>
                <w:rFonts w:asciiTheme="majorBidi" w:hAnsiTheme="majorBidi" w:cstheme="majorBidi"/>
                <w:color w:val="000000" w:themeColor="text1"/>
                <w:sz w:val="24"/>
                <w:szCs w:val="24"/>
              </w:rPr>
            </w:pPr>
          </w:p>
        </w:tc>
        <w:tc>
          <w:tcPr>
            <w:tcW w:w="3330" w:type="dxa"/>
            <w:tcBorders>
              <w:top w:val="single" w:sz="4" w:space="0" w:color="auto"/>
              <w:left w:val="single" w:sz="4" w:space="0" w:color="auto"/>
              <w:bottom w:val="single" w:sz="4" w:space="0" w:color="auto"/>
              <w:right w:val="single" w:sz="4" w:space="0" w:color="auto"/>
            </w:tcBorders>
          </w:tcPr>
          <w:p w14:paraId="685818CE" w14:textId="77777777" w:rsidR="00B17833" w:rsidRPr="002F2806" w:rsidRDefault="00B17833" w:rsidP="002F3CA6">
            <w:p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The study identified following barriers that adolescents faced in accessing treatment for STIs:</w:t>
            </w:r>
          </w:p>
          <w:p w14:paraId="16BC7613" w14:textId="1DDF0D35" w:rsidR="00B17833" w:rsidRPr="002F2806" w:rsidRDefault="00B17833" w:rsidP="002F3CA6">
            <w:pPr>
              <w:numPr>
                <w:ilvl w:val="0"/>
                <w:numId w:val="11"/>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Adolescents reported feeling judged or stigmat</w:t>
            </w:r>
            <w:r w:rsidR="00B0306B">
              <w:rPr>
                <w:rFonts w:asciiTheme="majorBidi" w:eastAsia="Times New Roman" w:hAnsiTheme="majorBidi" w:cstheme="majorBidi"/>
                <w:kern w:val="0"/>
                <w:sz w:val="24"/>
                <w:szCs w:val="24"/>
                <w14:ligatures w14:val="none"/>
              </w:rPr>
              <w:t>ised</w:t>
            </w:r>
            <w:r w:rsidRPr="002F2806">
              <w:rPr>
                <w:rFonts w:asciiTheme="majorBidi" w:eastAsia="Times New Roman" w:hAnsiTheme="majorBidi" w:cstheme="majorBidi"/>
                <w:kern w:val="0"/>
                <w:sz w:val="24"/>
                <w:szCs w:val="24"/>
                <w14:ligatures w14:val="none"/>
              </w:rPr>
              <w:t xml:space="preserve"> by health care providers, which </w:t>
            </w:r>
            <w:r w:rsidRPr="002F2806">
              <w:rPr>
                <w:rFonts w:asciiTheme="majorBidi" w:eastAsia="Times New Roman" w:hAnsiTheme="majorBidi" w:cstheme="majorBidi"/>
                <w:kern w:val="0"/>
                <w:sz w:val="24"/>
                <w:szCs w:val="24"/>
                <w14:ligatures w14:val="none"/>
              </w:rPr>
              <w:lastRenderedPageBreak/>
              <w:t>discouraged them from seeking treatment.</w:t>
            </w:r>
          </w:p>
          <w:p w14:paraId="570A6535" w14:textId="77777777" w:rsidR="00B17833" w:rsidRPr="002F2806" w:rsidRDefault="00B17833" w:rsidP="002F3CA6">
            <w:pPr>
              <w:numPr>
                <w:ilvl w:val="0"/>
                <w:numId w:val="11"/>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Health facilities were often poorly resourced, lacking the necessary supplies and support for effective STI treatment.</w:t>
            </w:r>
          </w:p>
          <w:p w14:paraId="44D985D5" w14:textId="77777777" w:rsidR="00B17833" w:rsidRPr="002F2806" w:rsidRDefault="00B17833" w:rsidP="002F3CA6">
            <w:pPr>
              <w:numPr>
                <w:ilvl w:val="0"/>
                <w:numId w:val="11"/>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Many adolescents felt they could not discuss their health issues, including STIs, with their parents, leading to a lack of support in seeking care.</w:t>
            </w:r>
          </w:p>
          <w:p w14:paraId="67F02593" w14:textId="77777777" w:rsidR="00B17833" w:rsidRPr="002F2806" w:rsidRDefault="00B17833" w:rsidP="002F3CA6">
            <w:pPr>
              <w:numPr>
                <w:ilvl w:val="0"/>
                <w:numId w:val="11"/>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Fear of stigma and lack of knowledge about available services were significant personal barriers that prevented adolescents from accessing STI treatment </w:t>
            </w:r>
          </w:p>
        </w:tc>
        <w:tc>
          <w:tcPr>
            <w:tcW w:w="2700" w:type="dxa"/>
            <w:tcBorders>
              <w:top w:val="single" w:sz="4" w:space="0" w:color="auto"/>
              <w:left w:val="single" w:sz="4" w:space="0" w:color="auto"/>
              <w:bottom w:val="single" w:sz="4" w:space="0" w:color="auto"/>
              <w:right w:val="single" w:sz="4" w:space="0" w:color="auto"/>
            </w:tcBorders>
          </w:tcPr>
          <w:p w14:paraId="02DE7982"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 xml:space="preserve">Multiple barriers hinder adolescents' access to and utilization of health services for STIs. </w:t>
            </w:r>
          </w:p>
        </w:tc>
        <w:tc>
          <w:tcPr>
            <w:tcW w:w="2430" w:type="dxa"/>
            <w:tcBorders>
              <w:top w:val="single" w:sz="4" w:space="0" w:color="auto"/>
              <w:left w:val="single" w:sz="4" w:space="0" w:color="auto"/>
              <w:bottom w:val="single" w:sz="4" w:space="0" w:color="auto"/>
              <w:right w:val="single" w:sz="4" w:space="0" w:color="auto"/>
            </w:tcBorders>
          </w:tcPr>
          <w:p w14:paraId="2BE8226E"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The authors cautioned that the insights gained should be interpreted with care when considering broader applications. </w:t>
            </w:r>
          </w:p>
        </w:tc>
      </w:tr>
      <w:tr w:rsidR="00B17833" w:rsidRPr="002F2806" w14:paraId="642CB1A7"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06138811" w14:textId="12D2A9F2"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{"citationItems":[{"id":"ITEM-1","itemData":{"DOI":"10.1089/apc.2019.0053","ISSN":"15577449","PMID":"31517526","abstract":"Previous qualitative studies about antiretroviral therapy (ART) adherence have largely focused on patient experiences. Less is known about the perspective of health care providers - particularly in low-income countries - who serve as gatekeepers and influencers of patients' HIV care experiences. This study explored patients' and providers' perceptions of important ART adherence determinants. Interviews were conducted at HIV treatment sites in Tanzania and Uganda, with adult patients on ART (n = 148), and with health care providers (n = 49). Patients were asked about their experiences with ART adherence, and providers were asked about their perceptions of what adherence challenges are faced by their patients. All interviews were conducted in local languages; transcripts were translated into English and analyzed using a codebook informed by the social ecological model. Themes were examined across and within countries. Adherence-related challenges were frequently reported, but patients and providers did not often agree about the reasons. Many patients cited challenges related to being away from home and therefore away from their pill supply; and, in Uganda, challenges picking up refills (access to care) and related to food sufficiency/diet. Providers also identified these access to care barriers, but otherwise focused on different key determinants (e.g., they rarely mentioned food/diet); instead, providers were more likely to mention alcohol/alcoholism, stigma, and lack of understanding about the importance of adhering. These findings suggest areas of opportunity for future research and for improving clinical care by aligning perceptions of adherence challenges, to deliver better-informed and useful ART counseling and support.","author":[{"dropping-particle":"","family":"Moucheraud","given":"Corrina","non-dropping-particle":"","parse-names":false,"suffix":""},{"dropping-particle":"","family":"Stern","given":"Amy F.","non-dropping-particle":"","parse-names":false,"suffix":""},{"dropping-particle":"","family":"Ahearn","given":"Canice","non-dropping-particle":"","parse-names":false,"suffix":""},{"dropping-particle":"","family":"Ismail","given":"Anisa","non-dropping-particle":"","parse-names":false,"suffix":""},{"dropping-particle":"","family":"Nsubuga-Nyombi","given":"Tamara","non-dropping-particle":"","parse-names":false,"suffix":""},{"dropping-particle":"","family":"Ngonyani","given":"Monica M.","non-dropping-particle":"","parse-names":false,"suffix":""},{"dropping-particle":"","family":"Mvungi","given":"Jane","non-dropping-particle":"","parse-names":false,"suffix":""},{"dropping-particle":"","family":"Ssensamba","given":"Jude","non-dropping-particle":"","parse-names":false,"suffix":""}],"container-title":"AIDS Patient Care and STDs","id":"ITEM-1","issue":"9","issued":{"date-parts":[["2019"]]},"page":"406-413","title":"Barriers to HIV treatment adherence: A qualitative study of discrepancies between perceptions of patients and health providers in Tanzania and Uganda","type":"article-journal","volume":"33"},"uris":["http://www.mendeley.com/documents/?uuid=288cbcac-09b1-4f3f-83e6-673fbaeab5b9"]}],"mendeley":{"formattedCitation":"(Moucheraud &lt;i&gt;et al.&lt;/i&gt;, 2019)","plainTextFormattedCitation":"(Moucheraud et al., 2019)","previouslyFormattedCitation":"(Moucheraud et al., 2019)"},"properties":{"noteIndex":0},"schema":"https://github.com/citation-style-language/schema/raw/master/csl-citation.json"}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(Moucheraud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2019)</w:t>
            </w:r>
            <w:r w:rsidRPr="002F2806">
              <w:rPr>
                <w:rFonts w:asciiTheme="majorBidi" w:hAnsiTheme="majorBidi" w:cstheme="majorBidi"/>
                <w:sz w:val="24"/>
                <w:szCs w:val="24"/>
              </w:rPr>
              <w:fldChar w:fldCharType="end"/>
            </w:r>
          </w:p>
          <w:p w14:paraId="3657B2F7" w14:textId="77777777" w:rsidR="00B17833" w:rsidRPr="002F2806" w:rsidRDefault="00B17833" w:rsidP="002F3CA6">
            <w:pPr>
              <w:rPr>
                <w:rFonts w:asciiTheme="majorBidi" w:hAnsiTheme="majorBidi" w:cstheme="majorBidi"/>
                <w:sz w:val="24"/>
                <w:szCs w:val="24"/>
              </w:rPr>
            </w:pPr>
          </w:p>
          <w:p w14:paraId="5D798FCF" w14:textId="77777777" w:rsidR="00B17833" w:rsidRPr="002F2806" w:rsidRDefault="00B17833" w:rsidP="002F3CA6">
            <w:pPr>
              <w:rPr>
                <w:rFonts w:asciiTheme="majorBidi" w:hAnsiTheme="majorBidi" w:cstheme="majorBidi"/>
                <w:sz w:val="24"/>
                <w:szCs w:val="24"/>
              </w:rPr>
            </w:pPr>
          </w:p>
          <w:p w14:paraId="1B8EEF7D" w14:textId="77777777" w:rsidR="00B17833" w:rsidRPr="002F2806" w:rsidRDefault="00B17833" w:rsidP="002F3CA6">
            <w:pPr>
              <w:rPr>
                <w:rFonts w:asciiTheme="majorBidi" w:hAnsiTheme="majorBidi" w:cstheme="majorBidi"/>
                <w:sz w:val="24"/>
                <w:szCs w:val="24"/>
              </w:rPr>
            </w:pPr>
          </w:p>
          <w:p w14:paraId="5586487B" w14:textId="77777777" w:rsidR="00B17833" w:rsidRPr="002F2806" w:rsidRDefault="00B17833" w:rsidP="002F3CA6">
            <w:pPr>
              <w:rPr>
                <w:rFonts w:asciiTheme="majorBidi" w:hAnsiTheme="majorBidi" w:cstheme="majorBidi"/>
                <w:sz w:val="24"/>
                <w:szCs w:val="24"/>
              </w:rPr>
            </w:pPr>
          </w:p>
          <w:p w14:paraId="1B9767C2" w14:textId="77777777" w:rsidR="00B17833" w:rsidRPr="002F2806" w:rsidRDefault="00B17833" w:rsidP="002F3CA6">
            <w:pPr>
              <w:rPr>
                <w:rFonts w:asciiTheme="majorBidi" w:hAnsiTheme="majorBidi" w:cstheme="majorBidi"/>
                <w:sz w:val="24"/>
                <w:szCs w:val="24"/>
              </w:rPr>
            </w:pPr>
          </w:p>
          <w:p w14:paraId="1A74457C"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lastRenderedPageBreak/>
              <w:t>Tanzania and Uganda</w:t>
            </w:r>
          </w:p>
          <w:p w14:paraId="799A6EE0" w14:textId="77777777" w:rsidR="00B17833" w:rsidRPr="002F2806" w:rsidRDefault="00B17833" w:rsidP="002F3CA6">
            <w:pPr>
              <w:rPr>
                <w:rFonts w:asciiTheme="majorBidi" w:hAnsiTheme="majorBidi" w:cstheme="majorBidi"/>
                <w:sz w:val="24"/>
                <w:szCs w:val="24"/>
              </w:rPr>
            </w:pPr>
          </w:p>
        </w:tc>
        <w:tc>
          <w:tcPr>
            <w:tcW w:w="2250" w:type="dxa"/>
            <w:tcBorders>
              <w:top w:val="single" w:sz="4" w:space="0" w:color="auto"/>
              <w:left w:val="single" w:sz="4" w:space="0" w:color="auto"/>
              <w:bottom w:val="single" w:sz="4" w:space="0" w:color="auto"/>
              <w:right w:val="single" w:sz="4" w:space="0" w:color="auto"/>
            </w:tcBorders>
          </w:tcPr>
          <w:p w14:paraId="349C767F"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 xml:space="preserve">To explore the perceptions of patients and health care providers regarding the determinants of </w:t>
            </w:r>
            <w:r w:rsidRPr="002F2806">
              <w:rPr>
                <w:rFonts w:asciiTheme="majorBidi" w:eastAsia="Times New Roman" w:hAnsiTheme="majorBidi" w:cstheme="majorBidi"/>
                <w:kern w:val="0"/>
                <w:sz w:val="24"/>
                <w:szCs w:val="24"/>
                <w14:ligatures w14:val="none"/>
              </w:rPr>
              <w:lastRenderedPageBreak/>
              <w:t>adherence to treatment for STIs</w:t>
            </w:r>
          </w:p>
        </w:tc>
        <w:tc>
          <w:tcPr>
            <w:tcW w:w="2520" w:type="dxa"/>
            <w:tcBorders>
              <w:top w:val="single" w:sz="4" w:space="0" w:color="auto"/>
              <w:left w:val="single" w:sz="4" w:space="0" w:color="auto"/>
              <w:bottom w:val="single" w:sz="4" w:space="0" w:color="auto"/>
              <w:right w:val="single" w:sz="4" w:space="0" w:color="auto"/>
            </w:tcBorders>
          </w:tcPr>
          <w:p w14:paraId="717AA7FF" w14:textId="57B769B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The study util</w:t>
            </w:r>
            <w:r w:rsidR="00B0306B">
              <w:rPr>
                <w:rFonts w:asciiTheme="majorBidi" w:eastAsia="Times New Roman" w:hAnsiTheme="majorBidi" w:cstheme="majorBidi"/>
                <w:kern w:val="0"/>
                <w:sz w:val="24"/>
                <w:szCs w:val="24"/>
                <w14:ligatures w14:val="none"/>
              </w:rPr>
              <w:t>ised</w:t>
            </w:r>
            <w:r w:rsidRPr="002F2806">
              <w:rPr>
                <w:rFonts w:asciiTheme="majorBidi" w:eastAsia="Times New Roman" w:hAnsiTheme="majorBidi" w:cstheme="majorBidi"/>
                <w:kern w:val="0"/>
                <w:sz w:val="24"/>
                <w:szCs w:val="24"/>
                <w14:ligatures w14:val="none"/>
              </w:rPr>
              <w:t xml:space="preserve"> a qualitative research design, employing in-depth interviews of 197 participants: 148 adult patients on ART and 49 health care providers.</w:t>
            </w:r>
          </w:p>
        </w:tc>
        <w:tc>
          <w:tcPr>
            <w:tcW w:w="3330" w:type="dxa"/>
            <w:tcBorders>
              <w:top w:val="single" w:sz="4" w:space="0" w:color="auto"/>
              <w:left w:val="single" w:sz="4" w:space="0" w:color="auto"/>
              <w:bottom w:val="single" w:sz="4" w:space="0" w:color="auto"/>
              <w:right w:val="single" w:sz="4" w:space="0" w:color="auto"/>
            </w:tcBorders>
          </w:tcPr>
          <w:p w14:paraId="098BD4E1"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 to adherence:</w:t>
            </w:r>
          </w:p>
          <w:p w14:paraId="54727D4D" w14:textId="77777777" w:rsidR="00B17833" w:rsidRPr="002F2806" w:rsidRDefault="00B17833" w:rsidP="002F3CA6">
            <w:pPr>
              <w:numPr>
                <w:ilvl w:val="0"/>
                <w:numId w:val="19"/>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Patients frequently reported logistical challenges, such as being away from home and difficulties in </w:t>
            </w:r>
            <w:r w:rsidRPr="002F2806">
              <w:rPr>
                <w:rFonts w:asciiTheme="majorBidi" w:eastAsia="Times New Roman" w:hAnsiTheme="majorBidi" w:cstheme="majorBidi"/>
                <w:kern w:val="0"/>
                <w:sz w:val="24"/>
                <w:szCs w:val="24"/>
                <w14:ligatures w14:val="none"/>
              </w:rPr>
              <w:lastRenderedPageBreak/>
              <w:t>accessing medication refills.</w:t>
            </w:r>
          </w:p>
          <w:p w14:paraId="473DCA57" w14:textId="77777777" w:rsidR="00B17833" w:rsidRPr="002F2806" w:rsidRDefault="00B17833" w:rsidP="002F3CA6">
            <w:pPr>
              <w:numPr>
                <w:ilvl w:val="0"/>
                <w:numId w:val="19"/>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In Uganda, food sufficiency and diet were significant concerns for patients.</w:t>
            </w:r>
          </w:p>
          <w:p w14:paraId="28883D81" w14:textId="77777777" w:rsidR="00B17833" w:rsidRPr="002F2806" w:rsidRDefault="00B17833" w:rsidP="002F3CA6">
            <w:pPr>
              <w:numPr>
                <w:ilvl w:val="0"/>
                <w:numId w:val="19"/>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Providers acknowledged access to care barriers but focused more on issues like alcohol use, stigma, and lack of understanding about the importance of adherence, which were less frequently mentioned by patients.</w:t>
            </w:r>
          </w:p>
        </w:tc>
        <w:tc>
          <w:tcPr>
            <w:tcW w:w="2700" w:type="dxa"/>
            <w:tcBorders>
              <w:top w:val="single" w:sz="4" w:space="0" w:color="auto"/>
              <w:left w:val="single" w:sz="4" w:space="0" w:color="auto"/>
              <w:bottom w:val="single" w:sz="4" w:space="0" w:color="auto"/>
              <w:right w:val="single" w:sz="4" w:space="0" w:color="auto"/>
            </w:tcBorders>
          </w:tcPr>
          <w:p w14:paraId="0DAC45CC"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 xml:space="preserve">While both patients and providers recognize similar barriers to ART adherence, they attribute these challenges to different causes. </w:t>
            </w:r>
          </w:p>
        </w:tc>
        <w:tc>
          <w:tcPr>
            <w:tcW w:w="2430" w:type="dxa"/>
            <w:tcBorders>
              <w:top w:val="single" w:sz="4" w:space="0" w:color="auto"/>
              <w:left w:val="single" w:sz="4" w:space="0" w:color="auto"/>
              <w:bottom w:val="single" w:sz="4" w:space="0" w:color="auto"/>
              <w:right w:val="single" w:sz="4" w:space="0" w:color="auto"/>
            </w:tcBorders>
          </w:tcPr>
          <w:p w14:paraId="24FE64F9"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There was an overrepresentation of data from Uganda due to differences in data recording methods.</w:t>
            </w:r>
          </w:p>
          <w:p w14:paraId="4E747155" w14:textId="77777777" w:rsidR="00B17833" w:rsidRPr="002F2806" w:rsidRDefault="00B17833" w:rsidP="002F3CA6">
            <w:pPr>
              <w:rPr>
                <w:rFonts w:asciiTheme="majorBidi" w:eastAsia="Times New Roman" w:hAnsiTheme="majorBidi" w:cstheme="majorBidi"/>
                <w:kern w:val="0"/>
                <w:sz w:val="24"/>
                <w:szCs w:val="24"/>
                <w14:ligatures w14:val="none"/>
              </w:rPr>
            </w:pPr>
          </w:p>
        </w:tc>
      </w:tr>
      <w:tr w:rsidR="00B17833" w:rsidRPr="002F2806" w14:paraId="2568F133"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21A84377" w14:textId="4E662740"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{"citationItems":[{"id":"ITEM-1","itemData":{"DOI":"10.1186/s12879-020-05649-5","ISSN":"14712334","PMID":"33287723","abstract":"Background: Trans-women sex workers bear the greatest brunt of HIV and other sexually transmitted infections (STI). Trans-women are 49 times more at risk of HIV infections compared to the general population. However, they remain underserved and continue to grapple with access to and utilisation of HIV/STI prevention services. This study explored barriers to access and utilisation of HIV/STI prevention services and associated coping mechanisms. Methods: This exploratory qualitative study was conducted among trans-women sex workers in the Greater Kampala Metropolitan area, Uganda. A total of 22 in-depth interviews, 6 key informant interviews and 9 focus group discussions were conducted to obtain data on barriers to access and utilisation of HIV and other STI prevention and care services, and coping strategies of trans-women sex workers. Data were analysed through thematic analysis using a hybrid of inductive and deductive approaches. Results: Individual level barriers to access and utilisation of HIV/STI prevention and care services included internalised stigma and low socio-economic status. Healthcare system barriers included social exclusion and lack of recognition by other key population groups; stigmatisation by some healthcare providers; breach of confidentiality by some healthcare providers; limited hours of operation of some key population-friendly healthcare facilities; discrimination by straight patients and healthcare providers; stockout of STI drugs; inadequate access to well-equipped treatment centres and high cost of drugs. At community level, transphobia hindered access and utilisation of HIV/STI prevention and care services. The coping strategies included use of substitutes such as lotions, avocado or yoghurt to cope with a lack of lubricants. Herbs were used as substitutes for STI drugs, while psychoactive substances were used to cope with stigma and discrimination, and changing the dress code to hide their preferred gender identity. Conclusions: Individual, community and healthcare system barriers hindered access and utilisation of HIV/STI prevention and care services among the trans-women sex workers. There is a need to create an enabling environment in order to enhance access to and utilisation of HIV/STI prevention and care services for trans-women sex workers through sensitisation of healthcare providers, other key population groups and the community at large on the transgender identity.","author":[{"dropping-particle":"","family":"Ssekamatte","given":"Tonny","non-dropping-particle":"","parse-names":false,"suffix":""},{"dropping-particle":"","family":"Isunju","given":"John Bosco","non-dropping-particle":"","parse-names":false,"suffix":""},{"dropping-particle":"","family":"Naume","given":"Muyanga","non-dropping-particle":"","parse-names":false,"suffix":""},{"dropping-particle":"","family":"Buregyeya","given":"Esther","non-dropping-particle":"","parse-names":false,"suffix":""},{"dropping-particle":"","family":"Mugambe","given":"Richard K.","non-dropping-particle":"","parse-names":false,"suffix":""},{"dropping-particle":"","family":"Wanyenze","given":"Rhoda K.","non-dropping-particle":"","parse-names":false,"suffix":""},{"dropping-particle":"","family":"Bukenya","given":"Justine N.","non-dropping-particle":"","parse-names":false,"suffix":""}],"container-title":"BMC Infectious Diseases","id":"ITEM-1","issue":"1","issued":{"date-parts":[["2020"]]},"page":"1-15","publisher":"BMC Infectious Diseases","title":"Barriers to access and utilisation of HIV/STIs prevention and care services among trans-women sex workers in the greater Kampala metropolitan area, Uganda","type":"article-journal","volume":"20"},"uris":["http://www.mendeley.com/documents/?uuid=59be3ca4-06e0-4729-9af6-d15897cb3cbe"]}],"mendeley":{"formattedCitation":"(Ssekamatte &lt;i&gt;et al.&lt;/i&gt;, 2020)","plainTextFormattedCitation":"(Ssekamatte et al., 2020)","previouslyFormattedCitation":"(Ssekamatte et al., 2020)"},"properties":{"noteIndex":0},"schema":"https://github.com/citation-style-language/schema/raw/master/csl-citation.json"}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(Ssekamatte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2020)</w:t>
            </w:r>
            <w:r w:rsidRPr="002F2806">
              <w:rPr>
                <w:rFonts w:asciiTheme="majorBidi" w:hAnsiTheme="majorBidi" w:cstheme="majorBidi"/>
                <w:sz w:val="24"/>
                <w:szCs w:val="24"/>
              </w:rPr>
              <w:fldChar w:fldCharType="end"/>
            </w:r>
          </w:p>
          <w:p w14:paraId="4F30E001" w14:textId="77777777" w:rsidR="00B17833" w:rsidRPr="002F2806" w:rsidRDefault="00B17833" w:rsidP="002F3CA6">
            <w:pPr>
              <w:rPr>
                <w:rFonts w:asciiTheme="majorBidi" w:hAnsiTheme="majorBidi" w:cstheme="majorBidi"/>
                <w:sz w:val="24"/>
                <w:szCs w:val="24"/>
              </w:rPr>
            </w:pPr>
          </w:p>
          <w:p w14:paraId="210E73E9" w14:textId="77777777" w:rsidR="00B17833" w:rsidRPr="002F2806" w:rsidRDefault="00B17833" w:rsidP="002F3CA6">
            <w:pPr>
              <w:rPr>
                <w:rFonts w:asciiTheme="majorBidi" w:hAnsiTheme="majorBidi" w:cstheme="majorBidi"/>
                <w:sz w:val="24"/>
                <w:szCs w:val="24"/>
              </w:rPr>
            </w:pPr>
          </w:p>
          <w:p w14:paraId="42817A8D"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 xml:space="preserve">Uganda </w:t>
            </w:r>
          </w:p>
        </w:tc>
        <w:tc>
          <w:tcPr>
            <w:tcW w:w="2250" w:type="dxa"/>
            <w:tcBorders>
              <w:top w:val="single" w:sz="4" w:space="0" w:color="auto"/>
              <w:left w:val="single" w:sz="4" w:space="0" w:color="auto"/>
              <w:bottom w:val="single" w:sz="4" w:space="0" w:color="auto"/>
              <w:right w:val="single" w:sz="4" w:space="0" w:color="auto"/>
            </w:tcBorders>
          </w:tcPr>
          <w:p w14:paraId="7C4742F1"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To explore the barriers to access and utilization of HIV/STI prevention and care services among trans-women sex workers</w:t>
            </w:r>
          </w:p>
        </w:tc>
        <w:tc>
          <w:tcPr>
            <w:tcW w:w="2520" w:type="dxa"/>
            <w:tcBorders>
              <w:top w:val="single" w:sz="4" w:space="0" w:color="auto"/>
              <w:left w:val="single" w:sz="4" w:space="0" w:color="auto"/>
              <w:bottom w:val="single" w:sz="4" w:space="0" w:color="auto"/>
              <w:right w:val="single" w:sz="4" w:space="0" w:color="auto"/>
            </w:tcBorders>
          </w:tcPr>
          <w:p w14:paraId="54E021F1"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employed an exploratory qualitative design that include included a total of 22 in-depth interviews, 6 key informant interviews, and 9 focus group discussions</w:t>
            </w:r>
          </w:p>
          <w:p w14:paraId="35830746" w14:textId="77777777" w:rsidR="00B17833" w:rsidRPr="002F2806" w:rsidRDefault="00B17833" w:rsidP="002F3CA6">
            <w:pPr>
              <w:spacing w:after="240"/>
              <w:rPr>
                <w:rFonts w:asciiTheme="majorBidi" w:hAnsiTheme="majorBidi" w:cstheme="majorBidi"/>
                <w:color w:val="000000" w:themeColor="text1"/>
                <w:sz w:val="24"/>
                <w:szCs w:val="24"/>
              </w:rPr>
            </w:pPr>
          </w:p>
        </w:tc>
        <w:tc>
          <w:tcPr>
            <w:tcW w:w="3330" w:type="dxa"/>
            <w:tcBorders>
              <w:top w:val="single" w:sz="4" w:space="0" w:color="auto"/>
              <w:left w:val="single" w:sz="4" w:space="0" w:color="auto"/>
              <w:bottom w:val="single" w:sz="4" w:space="0" w:color="auto"/>
              <w:right w:val="single" w:sz="4" w:space="0" w:color="auto"/>
            </w:tcBorders>
          </w:tcPr>
          <w:p w14:paraId="7EBAD168"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 xml:space="preserve">Healthcare system barriers included social exclusion, stigma from healthcare providers, breach of confidentiality, limited operational hours of key population-friendly facilities, discrimination from both healthcare providers and straight patients, stockouts of STI drugs, inadequate access to </w:t>
            </w:r>
            <w:r w:rsidRPr="002F2806">
              <w:rPr>
                <w:rFonts w:asciiTheme="majorBidi" w:hAnsiTheme="majorBidi" w:cstheme="majorBidi"/>
                <w:color w:val="000000" w:themeColor="text1"/>
                <w:sz w:val="24"/>
                <w:szCs w:val="24"/>
              </w:rPr>
              <w:lastRenderedPageBreak/>
              <w:t>well-equipped treatment centers, and high costs of drugs.</w:t>
            </w:r>
          </w:p>
        </w:tc>
        <w:tc>
          <w:tcPr>
            <w:tcW w:w="2700" w:type="dxa"/>
            <w:tcBorders>
              <w:top w:val="single" w:sz="4" w:space="0" w:color="auto"/>
              <w:left w:val="single" w:sz="4" w:space="0" w:color="auto"/>
              <w:bottom w:val="single" w:sz="4" w:space="0" w:color="auto"/>
              <w:right w:val="single" w:sz="4" w:space="0" w:color="auto"/>
            </w:tcBorders>
          </w:tcPr>
          <w:p w14:paraId="60007FD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lastRenderedPageBreak/>
              <w:t xml:space="preserve">The </w:t>
            </w:r>
            <w:r w:rsidRPr="002F2806">
              <w:rPr>
                <w:rFonts w:asciiTheme="majorBidi" w:eastAsia="Times New Roman" w:hAnsiTheme="majorBidi" w:cstheme="majorBidi"/>
                <w:kern w:val="0"/>
                <w:sz w:val="24"/>
                <w:szCs w:val="24"/>
                <w14:ligatures w14:val="none"/>
              </w:rPr>
              <w:t>trans-women sex workers face significant challenges in accessing HIV/STI prevention and care services due to a combination of individual, community, and healthcare system barriers.</w:t>
            </w:r>
          </w:p>
        </w:tc>
        <w:tc>
          <w:tcPr>
            <w:tcW w:w="2430" w:type="dxa"/>
            <w:tcBorders>
              <w:top w:val="single" w:sz="4" w:space="0" w:color="auto"/>
              <w:left w:val="single" w:sz="4" w:space="0" w:color="auto"/>
              <w:bottom w:val="single" w:sz="4" w:space="0" w:color="auto"/>
              <w:right w:val="single" w:sz="4" w:space="0" w:color="auto"/>
            </w:tcBorders>
          </w:tcPr>
          <w:p w14:paraId="0E3514BB"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Participants in focus group discussions were not a homogenous group in terms of socio-demographic characteristics. </w:t>
            </w:r>
          </w:p>
        </w:tc>
      </w:tr>
      <w:tr w:rsidR="00B17833" w:rsidRPr="002F2806" w14:paraId="1DE9BFE8"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45F9EBE5" w14:textId="7CC1CC32"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{"citationItems":[{"id":"ITEM-1","itemData":{"DOI":"10.1016/S2352-4642(20)30335-7","ISSN":"23524642","PMID":"33417838","abstract":"Background: The prevalence of sexually transmitted infections (STIs) among youth is high in sub-Saharan Africa. We investigated the uptake of testing for and prevalence of Chlamydia trachomatis (chlamydia) and Neisseria gonorrhoeae (gonorrhoea) infections among youth in community-based settings in Zimbabwe, and explored the facilitators and barriers to testing. Methods: This study was nested within a cluster randomised trial of community-based delivery of integrated HIV and sexual and reproductive health services for youth aged 16–24 years. Chlamydia and gonorrhoea testing via urine samples using the Xpert CT/NG test was offered in the four intervention clusters in Harare, Zimbabwe. Factors associated with testing uptake were investigated in a subset of participants (n=257) using hierarchical multivariate logistic regression. In-depth interviews with a separate purposively selected sample (n=26) explored facilitators and barriers to STI testing and partner notification and were analysed using thematic analysis. Findings: Between June 1, 2019, and Jan 31, 2020, there were 6200 attendances by 4440 participants (78·2% women, 21·8% men) median age 20·3 (IQR 17·9–22·8) years. 1478 participants had 1501 tests done, and 248 tests were positive and 1253 tests were negative for chlamydia or gonorrhoea, or both. STI test uptake was 33·3% (95% CI 31·9–34·7), increasing from 11·7% in June, 2019, to 37·1% in January, 2020. The prevalence of chlamydia or gonorrhoea, or both, was 16·5% (95% CI 14·7–18·5; 248 of 1501), with only seven participants (3%) showing symptoms. The overall yield of testing was 4·0% (95% CI 3·5–4·5; 248 of 6200). Uptake was associated with having symptoms (adjusted odds ratio [OR] 14·8, 95% CI 1·66–132·07) and negatively associated with being single (adjusted OR 0·33, 95% CI 0·13–0·84) or having a boyfriend or girlfriend (adjusted OR 0·19, 95% CI 0·087–0·43) compared with being married, and being a student compared with being employed (adjusted OR 0·26, 95% CI 0·10–0·68). Perceived risk and symptoms of STIs were motivators for testing whereas misinformation, anticipated stigma, and concern about confidentiality were barriers. Interpretation: The prevalence of chlamydia or gonorrhoea, or both, was high among youth but only a minority were symptomatic. Therefore most infections would remain untreated without access to STI testing. Provision of education, counselling, and confidentiality are essential to improve uptake and acceptability of STI tes…","author":[{"dropping-particle":"","family":"Martin","given":"Kevin","non-dropping-particle":"","parse-names":false,"suffix":""},{"dropping-particle":"","family":"Olaru","given":"Ioana D.","non-dropping-particle":"","parse-names":false,"suffix":""},{"dropping-particle":"","family":"Buwu","given":"Nyasha","non-dropping-particle":"","parse-names":false,"suffix":""},{"dropping-particle":"","family":"Bandason","given":"Tsitsi","non-dropping-particle":"","parse-names":false,"suffix":""},{"dropping-particle":"","family":"Marks","given":"Michael","non-dropping-particle":"","parse-names":false,"suffix":""},{"dropping-particle":"","family":"Dauya","given":"Ethel","non-dropping-particle":"","parse-names":false,"suffix":""},{"dropping-particle":"","family":"Muzangwa","given":"Joice","non-dropping-particle":"","parse-names":false,"suffix":""},{"dropping-particle":"","family":"Mabey","given":"David","non-dropping-particle":"","parse-names":false,"suffix":""},{"dropping-particle":"","family":"Dziva Chikwari","given":"Chido","non-dropping-particle":"","parse-names":false,"suffix":""},{"dropping-particle":"","family":"Francis","given":"Suzanna C.","non-dropping-particle":"","parse-names":false,"suffix":""},{"dropping-particle":"","family":"Tembo","given":"Mandikudza","non-dropping-particle":"","parse-names":false,"suffix":""},{"dropping-particle":"","family":"Mavodza","given":"Constancia","non-dropping-particle":"","parse-names":false,"suffix":""},{"dropping-particle":"","family":"Simms","given":"Victoria","non-dropping-particle":"","parse-names":false,"suffix":""},{"dropping-particle":"","family":"Mackworth-Young","given":"Constance R.S.","non-dropping-particle":"","parse-names":false,"suffix":""},{"dropping-particle":"","family":"Machiha","given":"Anna","non-dropping-particle":"","parse-names":false,"suffix":""},{"dropping-particle":"","family":"Kranzer","given":"Katharina","non-dropping-particle":"","parse-names":false,"suffix":""},{"dropping-particle":"","family":"Ferrand","given":"Rashida A.","non-dropping-particle":"","parse-names":false,"suffix":""}],"container-title":"The Lancet Child and Adolescent Health","id":"ITEM-1","issue":"2","issued":{"date-parts":[["2021"]]},"page":"122-132","publisher":"The Author(s). Published by Elsevier Ltd. This is an Open Access article under the CC BY 4.0 license","title":"Uptake of and factors associated with testing for sexually transmitted infections in community-based settings among youth in Zimbabwe: a mixed-methods study","type":"article-journal","volume":"5"},"uris":["http://www.mendeley.com/documents/?uuid=e09d0fcf-358b-4f93-84e3-cbfa440fe08d"]}],"mendeley":{"formattedCitation":"(Martin &lt;i&gt;et al.&lt;/i&gt;, 2021)","plainTextFormattedCitation":"(Martin et al., 2021)","previouslyFormattedCitation":"(Martin et al., 2021)"},"properties":{"noteIndex":0},"schema":"https://github.com/citation-style-language/schema/raw/master/csl-citation.json"}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(Martin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2021)</w:t>
            </w:r>
            <w:r w:rsidRPr="002F2806">
              <w:rPr>
                <w:rFonts w:asciiTheme="majorBidi" w:hAnsiTheme="majorBidi" w:cstheme="majorBidi"/>
                <w:sz w:val="24"/>
                <w:szCs w:val="24"/>
              </w:rPr>
              <w:fldChar w:fldCharType="end"/>
            </w:r>
          </w:p>
          <w:p w14:paraId="1FDB9D24" w14:textId="77777777" w:rsidR="00B17833" w:rsidRPr="002F2806" w:rsidRDefault="00B17833" w:rsidP="002F3CA6">
            <w:pPr>
              <w:rPr>
                <w:rFonts w:asciiTheme="majorBidi" w:hAnsiTheme="majorBidi" w:cstheme="majorBidi"/>
                <w:sz w:val="24"/>
                <w:szCs w:val="24"/>
              </w:rPr>
            </w:pPr>
          </w:p>
          <w:p w14:paraId="4728259A" w14:textId="77777777" w:rsidR="00B17833" w:rsidRPr="002F2806" w:rsidRDefault="00B17833" w:rsidP="002F3CA6">
            <w:pPr>
              <w:rPr>
                <w:rFonts w:asciiTheme="majorBidi" w:hAnsiTheme="majorBidi" w:cstheme="majorBidi"/>
                <w:sz w:val="24"/>
                <w:szCs w:val="24"/>
              </w:rPr>
            </w:pPr>
          </w:p>
          <w:p w14:paraId="6A374F46" w14:textId="77777777" w:rsidR="00B17833" w:rsidRPr="002F2806" w:rsidRDefault="00B17833" w:rsidP="002F3CA6">
            <w:pPr>
              <w:rPr>
                <w:rFonts w:asciiTheme="majorBidi" w:hAnsiTheme="majorBidi" w:cstheme="majorBidi"/>
                <w:sz w:val="24"/>
                <w:szCs w:val="24"/>
              </w:rPr>
            </w:pPr>
          </w:p>
          <w:p w14:paraId="66E91176" w14:textId="77777777" w:rsidR="00B17833" w:rsidRPr="002F2806" w:rsidRDefault="00B17833" w:rsidP="002F3CA6">
            <w:pPr>
              <w:rPr>
                <w:rFonts w:asciiTheme="majorBidi" w:hAnsiTheme="majorBidi" w:cstheme="majorBidi"/>
                <w:sz w:val="24"/>
                <w:szCs w:val="24"/>
              </w:rPr>
            </w:pPr>
          </w:p>
          <w:p w14:paraId="164FBE53"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Zimbabwe</w:t>
            </w:r>
          </w:p>
          <w:p w14:paraId="0C45438F" w14:textId="77777777" w:rsidR="00B17833" w:rsidRPr="002F2806" w:rsidRDefault="00B17833" w:rsidP="002F3CA6">
            <w:pPr>
              <w:rPr>
                <w:rFonts w:asciiTheme="majorBidi" w:hAnsiTheme="majorBidi" w:cstheme="majorBidi"/>
                <w:sz w:val="24"/>
                <w:szCs w:val="24"/>
              </w:rPr>
            </w:pPr>
          </w:p>
        </w:tc>
        <w:tc>
          <w:tcPr>
            <w:tcW w:w="2250" w:type="dxa"/>
            <w:tcBorders>
              <w:top w:val="single" w:sz="4" w:space="0" w:color="auto"/>
              <w:left w:val="single" w:sz="4" w:space="0" w:color="auto"/>
              <w:bottom w:val="single" w:sz="4" w:space="0" w:color="auto"/>
              <w:right w:val="single" w:sz="4" w:space="0" w:color="auto"/>
            </w:tcBorders>
          </w:tcPr>
          <w:p w14:paraId="583D6A6A"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To explore the facilitators and barriers to the uptake of chlamydia and gonorrhoea testing as part of an integrated package of sexual and reproductive health (SRH) and HIV services</w:t>
            </w:r>
          </w:p>
        </w:tc>
        <w:tc>
          <w:tcPr>
            <w:tcW w:w="2520" w:type="dxa"/>
            <w:tcBorders>
              <w:top w:val="single" w:sz="4" w:space="0" w:color="auto"/>
              <w:left w:val="single" w:sz="4" w:space="0" w:color="auto"/>
              <w:bottom w:val="single" w:sz="4" w:space="0" w:color="auto"/>
              <w:right w:val="single" w:sz="4" w:space="0" w:color="auto"/>
            </w:tcBorders>
          </w:tcPr>
          <w:p w14:paraId="47283774" w14:textId="117F9C25"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util</w:t>
            </w:r>
            <w:r w:rsidR="00B0306B">
              <w:rPr>
                <w:rFonts w:asciiTheme="majorBidi" w:eastAsia="Times New Roman" w:hAnsiTheme="majorBidi" w:cstheme="majorBidi"/>
                <w:kern w:val="0"/>
                <w:sz w:val="24"/>
                <w:szCs w:val="24"/>
                <w14:ligatures w14:val="none"/>
              </w:rPr>
              <w:t>ised</w:t>
            </w:r>
            <w:r w:rsidRPr="002F2806">
              <w:rPr>
                <w:rFonts w:asciiTheme="majorBidi" w:eastAsia="Times New Roman" w:hAnsiTheme="majorBidi" w:cstheme="majorBidi"/>
                <w:kern w:val="0"/>
                <w:sz w:val="24"/>
                <w:szCs w:val="24"/>
                <w14:ligatures w14:val="none"/>
              </w:rPr>
              <w:t xml:space="preserve"> both quantitative and qualitative data collection methods.</w:t>
            </w:r>
            <w:r w:rsidRPr="002F2806">
              <w:rPr>
                <w:rFonts w:asciiTheme="majorBidi" w:hAnsiTheme="majorBidi" w:cstheme="majorBidi"/>
              </w:rPr>
              <w:t xml:space="preserve"> </w:t>
            </w:r>
            <w:r w:rsidRPr="002F2806">
              <w:rPr>
                <w:rFonts w:asciiTheme="majorBidi" w:eastAsia="Times New Roman" w:hAnsiTheme="majorBidi" w:cstheme="majorBidi"/>
                <w:kern w:val="0"/>
                <w:sz w:val="24"/>
                <w:szCs w:val="24"/>
                <w14:ligatures w14:val="none"/>
              </w:rPr>
              <w:t>The study recorded 6200 attendances to services by 4440 young people.</w:t>
            </w:r>
          </w:p>
        </w:tc>
        <w:tc>
          <w:tcPr>
            <w:tcW w:w="3330" w:type="dxa"/>
            <w:tcBorders>
              <w:top w:val="single" w:sz="4" w:space="0" w:color="auto"/>
              <w:left w:val="single" w:sz="4" w:space="0" w:color="auto"/>
              <w:bottom w:val="single" w:sz="4" w:space="0" w:color="auto"/>
              <w:right w:val="single" w:sz="4" w:space="0" w:color="auto"/>
            </w:tcBorders>
          </w:tcPr>
          <w:p w14:paraId="6CE439E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 to STI testing and treatment:</w:t>
            </w:r>
          </w:p>
          <w:p w14:paraId="0A8E27D1" w14:textId="77777777" w:rsidR="00B17833" w:rsidRPr="002F2806" w:rsidRDefault="00B17833" w:rsidP="002F3CA6">
            <w:pPr>
              <w:numPr>
                <w:ilvl w:val="0"/>
                <w:numId w:val="13"/>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Stigma surrounding STIs was a significant barrier to testing uptake.</w:t>
            </w:r>
          </w:p>
          <w:p w14:paraId="0A9A28C3" w14:textId="77777777" w:rsidR="00B17833" w:rsidRPr="002F2806" w:rsidRDefault="00B17833" w:rsidP="002F3CA6">
            <w:pPr>
              <w:numPr>
                <w:ilvl w:val="0"/>
                <w:numId w:val="13"/>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Lack of accurate information about STIs and testing contributed to low uptake.</w:t>
            </w:r>
          </w:p>
          <w:p w14:paraId="571A7E48" w14:textId="77777777" w:rsidR="00B17833" w:rsidRPr="002F2806" w:rsidRDefault="00B17833" w:rsidP="002F3CA6">
            <w:pPr>
              <w:numPr>
                <w:ilvl w:val="0"/>
                <w:numId w:val="13"/>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Youth expressed concerns about confidentiality when accessing services.</w:t>
            </w:r>
          </w:p>
          <w:p w14:paraId="2E6B67E6" w14:textId="77777777" w:rsidR="00B17833" w:rsidRPr="002F2806" w:rsidRDefault="00B17833" w:rsidP="002F3CA6">
            <w:pPr>
              <w:numPr>
                <w:ilvl w:val="0"/>
                <w:numId w:val="13"/>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Many participants did not perceive themselves as at risk, which affected their decision to seek testing.</w:t>
            </w:r>
          </w:p>
        </w:tc>
        <w:tc>
          <w:tcPr>
            <w:tcW w:w="2700" w:type="dxa"/>
            <w:tcBorders>
              <w:top w:val="single" w:sz="4" w:space="0" w:color="auto"/>
              <w:left w:val="single" w:sz="4" w:space="0" w:color="auto"/>
              <w:bottom w:val="single" w:sz="4" w:space="0" w:color="auto"/>
              <w:right w:val="single" w:sz="4" w:space="0" w:color="auto"/>
            </w:tcBorders>
          </w:tcPr>
          <w:p w14:paraId="697DB0ED"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There is a high prevalence of chlamydia and gonorrhoea among youth in the studied community, yet a significant proportion of individuals did not report symptoms. </w:t>
            </w:r>
          </w:p>
        </w:tc>
        <w:tc>
          <w:tcPr>
            <w:tcW w:w="2430" w:type="dxa"/>
            <w:tcBorders>
              <w:top w:val="single" w:sz="4" w:space="0" w:color="auto"/>
              <w:left w:val="single" w:sz="4" w:space="0" w:color="auto"/>
              <w:bottom w:val="single" w:sz="4" w:space="0" w:color="auto"/>
              <w:right w:val="single" w:sz="4" w:space="0" w:color="auto"/>
            </w:tcBorders>
          </w:tcPr>
          <w:p w14:paraId="15F97427"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reliance on self-reported data for lifetime STI testing.</w:t>
            </w:r>
          </w:p>
        </w:tc>
      </w:tr>
      <w:tr w:rsidR="00B17833" w:rsidRPr="002F2806" w14:paraId="360FE0DD"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2B73E28D" w14:textId="325B6574"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{"citationItems":[{"id":"ITEM-1","itemData":{"DOI":"10.1186/s12889-021-12095-8","ISSN":"14712458","PMID":"34727898","abstract":"Background: Periodic testing of female sex workers (FSW) for sexually transmitted infections (STIs) is a core component of global and national responses to achieve population-level STI elimination. We conducted a qualitative study to explore barriers and facilitators of regular syphilis and HIV testing among FSW in Uganda. Methods: Within a quasi-experimental study among 436 FSW to assess the effect of peer education and text message reminders on uptake of regular STI and HIV testing among FSW, we conducted 48 qualitative interviews in four cities in Uganda from August–December 2018. We purposively selected FSW who tested for syphilis and HIV every 3–6 months; 12 FSW were interviewed in each city. Sex worker interviews explored: 1) reasons for periodic syphilis and HIV testing; 2) barriers and facilitators of testing; 3) experiences of testing; and 4) challenges faced while seeking testing services. Data were analyzed using thematic content analysis. Results: Thematic analysis revealed individual- and health system-level barriers and facilitators of testing. For syphilis, barriers were a) interpersonal stigma, low perceived severity of syphilis and testing misconceptions (individual); and b) judgmental provider attitudes, paucity of facilities offering syphilis testing, stockouts of test kits and high cost (health system). Facilitators were c) desire to remain healthy, get married and have children, knowing the benefits of early treatment, influence of male partners/clients and normative testing behaviors (individual); and d) sex worker clinics offering dual syphilis/HIV testing (health system). For HIV, barriers included: a) internalized stigma (individual); and b) unfavorable clinic hours, stigma, discrimination, and unfriendly provider (health system). Facilitators were a) motivations to stay healthy and attract clients, habitual testing, self-efficacy, doubts about accuracy of negative test results, and use of post-exposure prophylaxis (individual); and d) availability of testing facilities (health system). Syphilis and HIV had similar testing barriers and facilitators. Conclusions: HIV programs are likely to be important entry points for syphilis testing among FSW. Multi-level interventions to address testing barriers should consider focusing on these service delivery points. Extending the dual syphilis and HIV testing approach to FSW may improve testing uptake for both infections at public health facilities and decrease population-level incidence.","author":[{"dropping-particle":"","family":"Muhindo","given":"Richard","non-dropping-particle":"","parse-names":false,"suffix":""},{"dropping-particle":"","family":"Mujugira","given":"Andrew","non-dropping-particle":"","parse-names":false,"suffix":""},{"dropping-particle":"","family":"Castelnuovo","given":"Barbara","non-dropping-particle":"","parse-names":false,"suffix":""},{"dropping-particle":"","family":"Sewankambo","given":"Nelson K.","non-dropping-particle":"","parse-names":false,"suffix":""},{"dropping-particle":"","family":"Parkes-Ratanshi","given":"Rosalind","non-dropping-particle":"","parse-names":false,"suffix":""},{"dropping-particle":"","family":"Tumwesigye","given":"Nazarius Mbona","non-dropping-particle":"","parse-names":false,"suffix":""},{"dropping-particle":"","family":"Nakku-Joloba","given":"Edith","non-dropping-particle":"","parse-names":false,"suffix":""},{"dropping-particle":"","family":"Kiguli","given":"Juliet","non-dropping-particle":"","parse-names":false,"suffix":""}],"container-title":"BMC Public Health","id":"ITEM-1","issue":"1","issued":{"date-parts":[["2021"]]},"page":"1-12","publisher":"BMC Public Health","title":"“I felt very small and embarrassed by the health care provider when I requested to be tested for syphilis”: barriers and facilitators of regular syphilis and HIV testing among female sex workers in Uganda","type":"article-journal","volume":"21"},"uris":["http://www.mendeley.com/documents/?uuid=f90352ae-3b0a-406c-a350-727e40acacf8"]}],"mendeley":{"formattedCitation":"(Muhindo &lt;i&gt;et al.&lt;/i&gt;, 2021)","plainTextFormattedCitation":"(Muhindo et al., 2021)","previouslyFormattedCitation":"(Muhindo et al., 2021)"},"properties":{"noteIndex":0},"schema":"https://github.com/citation-style-language/schema/raw/master/csl-citation.json"}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(Muhindo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2021)</w:t>
            </w:r>
            <w:r w:rsidRPr="002F2806">
              <w:rPr>
                <w:rFonts w:asciiTheme="majorBidi" w:hAnsiTheme="majorBidi" w:cstheme="majorBidi"/>
                <w:sz w:val="24"/>
                <w:szCs w:val="24"/>
              </w:rPr>
              <w:fldChar w:fldCharType="end"/>
            </w:r>
          </w:p>
          <w:p w14:paraId="17C708B4" w14:textId="77777777" w:rsidR="00B17833" w:rsidRPr="002F2806" w:rsidRDefault="00B17833" w:rsidP="002F3CA6">
            <w:pPr>
              <w:rPr>
                <w:rFonts w:asciiTheme="majorBidi" w:hAnsiTheme="majorBidi" w:cstheme="majorBidi"/>
                <w:sz w:val="24"/>
                <w:szCs w:val="24"/>
              </w:rPr>
            </w:pPr>
          </w:p>
          <w:p w14:paraId="49A58DD3" w14:textId="77777777" w:rsidR="00B17833" w:rsidRPr="002F2806" w:rsidRDefault="00B17833" w:rsidP="002F3CA6">
            <w:pPr>
              <w:rPr>
                <w:rFonts w:asciiTheme="majorBidi" w:hAnsiTheme="majorBidi" w:cstheme="majorBidi"/>
                <w:sz w:val="24"/>
                <w:szCs w:val="24"/>
              </w:rPr>
            </w:pPr>
          </w:p>
          <w:p w14:paraId="6F3EA679" w14:textId="77777777" w:rsidR="00B17833" w:rsidRPr="002F2806" w:rsidRDefault="00B17833" w:rsidP="002F3CA6">
            <w:pPr>
              <w:rPr>
                <w:rFonts w:asciiTheme="majorBidi" w:hAnsiTheme="majorBidi" w:cstheme="majorBidi"/>
                <w:sz w:val="24"/>
                <w:szCs w:val="24"/>
              </w:rPr>
            </w:pPr>
          </w:p>
          <w:p w14:paraId="51857375" w14:textId="77777777" w:rsidR="00B17833" w:rsidRPr="002F2806" w:rsidRDefault="00B17833" w:rsidP="002F3CA6">
            <w:pPr>
              <w:rPr>
                <w:rFonts w:asciiTheme="majorBidi" w:hAnsiTheme="majorBidi" w:cstheme="majorBidi"/>
                <w:sz w:val="24"/>
                <w:szCs w:val="24"/>
              </w:rPr>
            </w:pPr>
          </w:p>
          <w:p w14:paraId="07AB20F4"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 xml:space="preserve">Uganda </w:t>
            </w:r>
          </w:p>
          <w:p w14:paraId="4B1BF520" w14:textId="77777777" w:rsidR="00B17833" w:rsidRPr="002F2806" w:rsidRDefault="00B17833" w:rsidP="002F3CA6">
            <w:pPr>
              <w:rPr>
                <w:rFonts w:asciiTheme="majorBidi" w:hAnsiTheme="majorBidi" w:cstheme="majorBidi"/>
                <w:sz w:val="24"/>
                <w:szCs w:val="24"/>
              </w:rPr>
            </w:pPr>
          </w:p>
        </w:tc>
        <w:tc>
          <w:tcPr>
            <w:tcW w:w="2250" w:type="dxa"/>
            <w:tcBorders>
              <w:top w:val="single" w:sz="4" w:space="0" w:color="auto"/>
              <w:left w:val="single" w:sz="4" w:space="0" w:color="auto"/>
              <w:bottom w:val="single" w:sz="4" w:space="0" w:color="auto"/>
              <w:right w:val="single" w:sz="4" w:space="0" w:color="auto"/>
            </w:tcBorders>
          </w:tcPr>
          <w:p w14:paraId="0A97A738"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To assess the barriers and facilitators to regular syphilis and HIV testing among female sex workers (FSW) and to evaluate the impact </w:t>
            </w:r>
            <w:r w:rsidRPr="002F2806">
              <w:rPr>
                <w:rFonts w:asciiTheme="majorBidi" w:eastAsia="Times New Roman" w:hAnsiTheme="majorBidi" w:cstheme="majorBidi"/>
                <w:kern w:val="0"/>
                <w:sz w:val="24"/>
                <w:szCs w:val="24"/>
                <w14:ligatures w14:val="none"/>
              </w:rPr>
              <w:lastRenderedPageBreak/>
              <w:t>of peer education and text message reminders on testing uptake.</w:t>
            </w:r>
          </w:p>
        </w:tc>
        <w:tc>
          <w:tcPr>
            <w:tcW w:w="2520" w:type="dxa"/>
            <w:tcBorders>
              <w:top w:val="single" w:sz="4" w:space="0" w:color="auto"/>
              <w:left w:val="single" w:sz="4" w:space="0" w:color="auto"/>
              <w:bottom w:val="single" w:sz="4" w:space="0" w:color="auto"/>
              <w:right w:val="single" w:sz="4" w:space="0" w:color="auto"/>
            </w:tcBorders>
          </w:tcPr>
          <w:p w14:paraId="76F6B39B"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 xml:space="preserve">The study employed a quasi-experimental design, incorporating both qualitative and quantitative methods and involved a total of 436 female sex workers for the quantitative </w:t>
            </w:r>
            <w:r w:rsidRPr="002F2806">
              <w:rPr>
                <w:rFonts w:asciiTheme="majorBidi" w:eastAsia="Times New Roman" w:hAnsiTheme="majorBidi" w:cstheme="majorBidi"/>
                <w:kern w:val="0"/>
                <w:sz w:val="24"/>
                <w:szCs w:val="24"/>
                <w14:ligatures w14:val="none"/>
              </w:rPr>
              <w:lastRenderedPageBreak/>
              <w:t>aspect, while 48 qualitative interviews.</w:t>
            </w:r>
          </w:p>
        </w:tc>
        <w:tc>
          <w:tcPr>
            <w:tcW w:w="3330" w:type="dxa"/>
            <w:tcBorders>
              <w:top w:val="single" w:sz="4" w:space="0" w:color="auto"/>
              <w:left w:val="single" w:sz="4" w:space="0" w:color="auto"/>
              <w:bottom w:val="single" w:sz="4" w:space="0" w:color="auto"/>
              <w:right w:val="single" w:sz="4" w:space="0" w:color="auto"/>
            </w:tcBorders>
          </w:tcPr>
          <w:p w14:paraId="71553E3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The study identified following barriers to treatment for STIs:</w:t>
            </w:r>
          </w:p>
          <w:p w14:paraId="6E409606" w14:textId="7F985190" w:rsidR="00B17833" w:rsidRPr="002F2806" w:rsidRDefault="00B17833" w:rsidP="002F3CA6">
            <w:pPr>
              <w:numPr>
                <w:ilvl w:val="0"/>
                <w:numId w:val="14"/>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Interpersonal stigma, low perceived severity of syphilis, misconceptions about testing, and internal</w:t>
            </w:r>
            <w:r w:rsidR="00B0306B">
              <w:rPr>
                <w:rFonts w:asciiTheme="majorBidi" w:eastAsia="Times New Roman" w:hAnsiTheme="majorBidi" w:cstheme="majorBidi"/>
                <w:kern w:val="0"/>
                <w:sz w:val="24"/>
                <w:szCs w:val="24"/>
                <w14:ligatures w14:val="none"/>
              </w:rPr>
              <w:t>ised</w:t>
            </w:r>
            <w:r w:rsidRPr="002F2806">
              <w:rPr>
                <w:rFonts w:asciiTheme="majorBidi" w:eastAsia="Times New Roman" w:hAnsiTheme="majorBidi" w:cstheme="majorBidi"/>
                <w:kern w:val="0"/>
                <w:sz w:val="24"/>
                <w:szCs w:val="24"/>
                <w14:ligatures w14:val="none"/>
              </w:rPr>
              <w:t xml:space="preserve"> stigma regarding HIV.</w:t>
            </w:r>
          </w:p>
          <w:p w14:paraId="3EC8607C" w14:textId="77777777" w:rsidR="00B17833" w:rsidRPr="002F2806" w:rsidRDefault="00B17833" w:rsidP="002F3CA6">
            <w:pPr>
              <w:numPr>
                <w:ilvl w:val="0"/>
                <w:numId w:val="14"/>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Judgmental attitudes from healthcare providers, limited availability of testing facilities, stockouts of test kits, high costs of testing, and unfavorable clinic hours.</w:t>
            </w:r>
          </w:p>
        </w:tc>
        <w:tc>
          <w:tcPr>
            <w:tcW w:w="2700" w:type="dxa"/>
            <w:tcBorders>
              <w:top w:val="single" w:sz="4" w:space="0" w:color="auto"/>
              <w:left w:val="single" w:sz="4" w:space="0" w:color="auto"/>
              <w:bottom w:val="single" w:sz="4" w:space="0" w:color="auto"/>
              <w:right w:val="single" w:sz="4" w:space="0" w:color="auto"/>
            </w:tcBorders>
          </w:tcPr>
          <w:p w14:paraId="282A5C13"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Both individual and health system-level barriers significantly hinder the uptake of regular syphilis and HIV testing among female sex workers.</w:t>
            </w:r>
          </w:p>
        </w:tc>
        <w:tc>
          <w:tcPr>
            <w:tcW w:w="2430" w:type="dxa"/>
            <w:tcBorders>
              <w:top w:val="single" w:sz="4" w:space="0" w:color="auto"/>
              <w:left w:val="single" w:sz="4" w:space="0" w:color="auto"/>
              <w:bottom w:val="single" w:sz="4" w:space="0" w:color="auto"/>
              <w:right w:val="single" w:sz="4" w:space="0" w:color="auto"/>
            </w:tcBorders>
          </w:tcPr>
          <w:p w14:paraId="7C1B155F"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potential for selection bias in the qualitative interviews.</w:t>
            </w:r>
          </w:p>
        </w:tc>
      </w:tr>
      <w:tr w:rsidR="00B17833" w:rsidRPr="002F2806" w14:paraId="5DE94FAF"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1A3241CC" w14:textId="5C304592"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{"citationItems":[{"id":"ITEM-1","itemData":{"DOI":"10.1002/jia2.25933","ISSN":"17582652","PMID":"35818868","abstract":"Introduction: Transgender men and women in Nigeria experience many barriers in accessing HIV prevention and treatment services, particularly given the environment of transphobia (including harassment, violence and discrimination) and punitive laws in the country. HIV epidemic control in Nigeria requires improving access to and quality of HIV services for key populations at high risk, including transgender men and women. We assessed how stigma influences HIV services for transgender people in Lagos, Nigeria. Methods: In-depth interviews (IDIs) and focus group discussions were conducted with transgender men (n = 13) and transgender women (n = 25); IDIs were conducted with community service organization (CSO) staff (n = 8) and healthcare providers from CSO clinics and public health facilities (n = 10) working with the transgender population in March 2021 in Lagos. Content analysis was used to identify how stigma influences transgender people's experiences with HIV services. Results and discussion: Three main findings emerged. First, gender identity disclosure is challenging due to anticipated stigma experienced by transgender persons and fear of legal repercussions. Fear of being turned in to authorities was a major barrier to disclose to providers in facilities not affiliated with a transgender-inclusive clinic. Providers also reported difficulty in eliciting information about the client's gender identity. Second, respondents reported lack of sensitivity among providers about gender identity and conflation of transgender men with lesbian women and transgender women with being gay or men who have sex with men, the latter being more of a common occurrence. Transgender participants also reported feeling disrespected when providers were not sensitive to their pronoun of preference. Third, HIV services that are not transgender-inclusive and gender-affirming can reinforce stigma. Both transgender men and women spoke about experiencing stigma and being refused HIV services, especially in mainstream public health facilities, as opposed to transgender-inclusive CSO clinics. Conclusions: This study highlights how stigma impedes access to appropriate HIV services for transgender men and women, which can have a negative impact along the HIV care continuum. There is a need for transgender-inclusive HIV services and competency trainings for healthcare providers so that transgender clients can receive appropriate and gender-affirming HIV services.","author":[{"dropping-particle":"","family":"Tun","given":"Waimar","non-dropping-particle":"","parse-names":false,"suffix":""},{"dropping-particle":"","family":"Pulerwitz","given":"Julie","non-dropping-particle":"","parse-names":false,"suffix":""},{"dropping-particle":"","family":"Shoyemi","given":"Elizabeth","non-dropping-particle":"","parse-names":false,"suffix":""},{"dropping-particle":"","family":"Fernandez","given":"Anita","non-dropping-particle":"","parse-names":false,"suffix":""},{"dropping-particle":"","family":"Adeniran","given":"Adepeju","non-dropping-particle":"","parse-names":false,"suffix":""},{"dropping-particle":"","family":"Ejiogu","given":"Franklin","non-dropping-particle":"","parse-names":false,"suffix":""},{"dropping-particle":"","family":"Sangowawa","given":"Olusegun","non-dropping-particle":"","parse-names":false,"suffix":""},{"dropping-particle":"","family":"Granger","given":"Krista","non-dropping-particle":"","parse-names":false,"suffix":""},{"dropping-particle":"","family":"Dirisu","given":"Osasuyi","non-dropping-particle":"","parse-names":false,"suffix":""},{"dropping-particle":"","family":"Adedimeji","given":"Adebola A.","non-dropping-particle":"","parse-names":false,"suffix":""}],"container-title":"Journal of the International AIDS Society","id":"ITEM-1","issue":"S1","issued":{"date-parts":[["2022"]]},"page":"21-27","title":"A qualitative study of how stigma influences HIV services for transgender men and women in Nigeria","type":"article-journal","volume":"25"},"uris":["http://www.mendeley.com/documents/?uuid=24404d91-fcc9-4dcb-95c4-131e9c38daf1"]}],"mendeley":{"formattedCitation":"(Tun &lt;i&gt;et al.&lt;/i&gt;, 2022)","plainTextFormattedCitation":"(Tun et al., 2022)","previouslyFormattedCitation":"(Tun et al., 2022)"},"properties":{"noteIndex":0},"schema":"https://github.com/citation-style-language/schema/raw/master/csl-citation.json"}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(Tun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2022)</w:t>
            </w:r>
            <w:r w:rsidRPr="002F2806">
              <w:rPr>
                <w:rFonts w:asciiTheme="majorBidi" w:hAnsiTheme="majorBidi" w:cstheme="majorBidi"/>
                <w:sz w:val="24"/>
                <w:szCs w:val="24"/>
              </w:rPr>
              <w:fldChar w:fldCharType="end"/>
            </w:r>
          </w:p>
          <w:p w14:paraId="1512FBD7" w14:textId="77777777" w:rsidR="00B17833" w:rsidRPr="002F2806" w:rsidRDefault="00B17833" w:rsidP="002F3CA6">
            <w:pPr>
              <w:rPr>
                <w:rFonts w:asciiTheme="majorBidi" w:hAnsiTheme="majorBidi" w:cstheme="majorBidi"/>
                <w:sz w:val="24"/>
                <w:szCs w:val="24"/>
              </w:rPr>
            </w:pPr>
          </w:p>
          <w:p w14:paraId="14541A96" w14:textId="77777777" w:rsidR="00B17833" w:rsidRPr="002F2806" w:rsidRDefault="00B17833" w:rsidP="002F3CA6">
            <w:pPr>
              <w:rPr>
                <w:rFonts w:asciiTheme="majorBidi" w:hAnsiTheme="majorBidi" w:cstheme="majorBidi"/>
                <w:sz w:val="24"/>
                <w:szCs w:val="24"/>
              </w:rPr>
            </w:pPr>
          </w:p>
          <w:p w14:paraId="798C97CC" w14:textId="77777777" w:rsidR="00B17833" w:rsidRPr="002F2806" w:rsidRDefault="00B17833" w:rsidP="002F3CA6">
            <w:pPr>
              <w:rPr>
                <w:rFonts w:asciiTheme="majorBidi" w:hAnsiTheme="majorBidi" w:cstheme="majorBidi"/>
                <w:sz w:val="24"/>
                <w:szCs w:val="24"/>
              </w:rPr>
            </w:pPr>
          </w:p>
          <w:p w14:paraId="21A86CDD" w14:textId="77777777"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t xml:space="preserve">Nigeria </w:t>
            </w:r>
          </w:p>
        </w:tc>
        <w:tc>
          <w:tcPr>
            <w:tcW w:w="2250" w:type="dxa"/>
            <w:tcBorders>
              <w:top w:val="single" w:sz="4" w:space="0" w:color="auto"/>
              <w:left w:val="single" w:sz="4" w:space="0" w:color="auto"/>
              <w:bottom w:val="single" w:sz="4" w:space="0" w:color="auto"/>
              <w:right w:val="single" w:sz="4" w:space="0" w:color="auto"/>
            </w:tcBorders>
          </w:tcPr>
          <w:p w14:paraId="5565289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To explore how stigma influences access to HIV services for transgender men and women</w:t>
            </w:r>
          </w:p>
        </w:tc>
        <w:tc>
          <w:tcPr>
            <w:tcW w:w="2520" w:type="dxa"/>
            <w:tcBorders>
              <w:top w:val="single" w:sz="4" w:space="0" w:color="auto"/>
              <w:left w:val="single" w:sz="4" w:space="0" w:color="auto"/>
              <w:bottom w:val="single" w:sz="4" w:space="0" w:color="auto"/>
              <w:right w:val="single" w:sz="4" w:space="0" w:color="auto"/>
            </w:tcBorders>
          </w:tcPr>
          <w:p w14:paraId="24D2D537" w14:textId="7182C5D2"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research employed a qualitative study design, utili</w:t>
            </w:r>
            <w:r w:rsidR="00F745AD">
              <w:rPr>
                <w:rFonts w:asciiTheme="majorBidi" w:eastAsia="Times New Roman" w:hAnsiTheme="majorBidi" w:cstheme="majorBidi"/>
                <w:kern w:val="0"/>
                <w:sz w:val="24"/>
                <w:szCs w:val="24"/>
                <w14:ligatures w14:val="none"/>
              </w:rPr>
              <w:t>sin</w:t>
            </w:r>
            <w:r w:rsidRPr="002F2806">
              <w:rPr>
                <w:rFonts w:asciiTheme="majorBidi" w:eastAsia="Times New Roman" w:hAnsiTheme="majorBidi" w:cstheme="majorBidi"/>
                <w:kern w:val="0"/>
                <w:sz w:val="24"/>
                <w:szCs w:val="24"/>
                <w14:ligatures w14:val="none"/>
              </w:rPr>
              <w:t>g in-depth interviews (IDIs) and focus group discussions (FGDs). The study involved a total of 56 participants, including 25 transgender women (TGW), 13 transgender men (TGM), 10 healthcare providers, and 8 representatives from community service organizations (CSOs).</w:t>
            </w:r>
          </w:p>
        </w:tc>
        <w:tc>
          <w:tcPr>
            <w:tcW w:w="3330" w:type="dxa"/>
            <w:tcBorders>
              <w:top w:val="single" w:sz="4" w:space="0" w:color="auto"/>
              <w:left w:val="single" w:sz="4" w:space="0" w:color="auto"/>
              <w:bottom w:val="single" w:sz="4" w:space="0" w:color="auto"/>
              <w:right w:val="single" w:sz="4" w:space="0" w:color="auto"/>
            </w:tcBorders>
          </w:tcPr>
          <w:p w14:paraId="474A66D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study identified following barriers:</w:t>
            </w:r>
          </w:p>
          <w:p w14:paraId="0C580101" w14:textId="77777777" w:rsidR="00B17833" w:rsidRPr="002F2806" w:rsidRDefault="00B17833" w:rsidP="002F3CA6">
            <w:pPr>
              <w:numPr>
                <w:ilvl w:val="0"/>
                <w:numId w:val="17"/>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Fear of stigma and legal repercussions hindered transgender individuals from disclosing their gender identity to healthcare providers.</w:t>
            </w:r>
          </w:p>
          <w:p w14:paraId="272B2E00" w14:textId="77777777" w:rsidR="00B17833" w:rsidRPr="002F2806" w:rsidRDefault="00B17833" w:rsidP="002F3CA6">
            <w:pPr>
              <w:numPr>
                <w:ilvl w:val="0"/>
                <w:numId w:val="17"/>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Many healthcare providers lacked training in gender-affirming care, leading to discomfort in discussing gender identity and providing appropriate services.</w:t>
            </w:r>
          </w:p>
          <w:p w14:paraId="3E90770A" w14:textId="77777777" w:rsidR="00B17833" w:rsidRPr="002F2806" w:rsidRDefault="00B17833" w:rsidP="002F3CA6">
            <w:pPr>
              <w:numPr>
                <w:ilvl w:val="0"/>
                <w:numId w:val="17"/>
              </w:num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 xml:space="preserve">HIV services were often not transgender-inclusive or gender-affirming, limiting the effectiveness of care </w:t>
            </w:r>
            <w:r w:rsidRPr="002F2806">
              <w:rPr>
                <w:rFonts w:asciiTheme="majorBidi" w:eastAsia="Times New Roman" w:hAnsiTheme="majorBidi" w:cstheme="majorBidi"/>
                <w:kern w:val="0"/>
                <w:sz w:val="24"/>
                <w:szCs w:val="24"/>
                <w14:ligatures w14:val="none"/>
              </w:rPr>
              <w:lastRenderedPageBreak/>
              <w:t>provided to transgender clients.</w:t>
            </w:r>
          </w:p>
        </w:tc>
        <w:tc>
          <w:tcPr>
            <w:tcW w:w="2700" w:type="dxa"/>
            <w:tcBorders>
              <w:top w:val="single" w:sz="4" w:space="0" w:color="auto"/>
              <w:left w:val="single" w:sz="4" w:space="0" w:color="auto"/>
              <w:bottom w:val="single" w:sz="4" w:space="0" w:color="auto"/>
              <w:right w:val="single" w:sz="4" w:space="0" w:color="auto"/>
            </w:tcBorders>
          </w:tcPr>
          <w:p w14:paraId="4733879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lastRenderedPageBreak/>
              <w:t>The stigma significantly impedes access to appropriate HIV services for the transgender population.</w:t>
            </w:r>
          </w:p>
        </w:tc>
        <w:tc>
          <w:tcPr>
            <w:tcW w:w="2430" w:type="dxa"/>
            <w:tcBorders>
              <w:top w:val="single" w:sz="4" w:space="0" w:color="auto"/>
              <w:left w:val="single" w:sz="4" w:space="0" w:color="auto"/>
              <w:bottom w:val="single" w:sz="4" w:space="0" w:color="auto"/>
              <w:right w:val="single" w:sz="4" w:space="0" w:color="auto"/>
            </w:tcBorders>
          </w:tcPr>
          <w:p w14:paraId="1EE54DE0"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N/A</w:t>
            </w:r>
          </w:p>
        </w:tc>
      </w:tr>
      <w:tr w:rsidR="00B17833" w:rsidRPr="002F2806" w14:paraId="6A2951AA" w14:textId="77777777" w:rsidTr="002F3CA6">
        <w:trPr>
          <w:trHeight w:val="570"/>
          <w:jc w:val="center"/>
        </w:trPr>
        <w:tc>
          <w:tcPr>
            <w:tcW w:w="1885" w:type="dxa"/>
            <w:tcBorders>
              <w:top w:val="single" w:sz="4" w:space="0" w:color="auto"/>
              <w:left w:val="single" w:sz="4" w:space="0" w:color="auto"/>
              <w:bottom w:val="single" w:sz="4" w:space="0" w:color="auto"/>
              <w:right w:val="single" w:sz="4" w:space="0" w:color="auto"/>
            </w:tcBorders>
          </w:tcPr>
          <w:p w14:paraId="5AA2C716" w14:textId="71DB7249" w:rsidR="00B17833" w:rsidRPr="002F2806" w:rsidRDefault="00B17833" w:rsidP="002F3CA6">
            <w:pPr>
              <w:rPr>
                <w:rFonts w:asciiTheme="majorBidi" w:hAnsiTheme="majorBidi" w:cstheme="majorBidi"/>
                <w:sz w:val="24"/>
                <w:szCs w:val="24"/>
              </w:rPr>
            </w:pPr>
            <w:r w:rsidRPr="002F2806">
              <w:rPr>
                <w:rFonts w:asciiTheme="majorBidi" w:hAnsiTheme="majorBidi" w:cstheme="majorBidi"/>
                <w:sz w:val="24"/>
                <w:szCs w:val="24"/>
              </w:rPr>
              <w:fldChar w:fldCharType="begin" w:fldLock="1"/>
            </w:r>
            <w:r w:rsidR="00517FC3">
              <w:rPr>
                <w:rFonts w:asciiTheme="majorBidi" w:hAnsiTheme="majorBidi" w:cstheme="majorBidi"/>
                <w:sz w:val="24"/>
                <w:szCs w:val="24"/>
              </w:rPr>
              <w:instrText>ADDIN CSL_CITATION {"citationItems":[{"id":"ITEM-1","itemData":{"DOI":"10.1186/s12913-023-10353-6","ISSN":"14726963","PMID":"38238703","abstract":"Background: Syndromic management in the main non-laboratory-based management approach for sexually transmitted infections (STI) in most low- and middle-income countries (LMICs) but it has limitations. Self-sampling has been proven as a suitable alternative approach to help improve management STIs by improving access to diagnosis among vulnerable populations. We sought to determine health workers’ perspectives on user-friendly self-sampling interventions for STIs among young women in eThekwini District Municipality. Methods: Healthcare workers providing STI healthcare services in the study location participated in a nominal group technique (NGT) workshop. The NGT workshop was aimed enabling collaboration with key health providers in identifying user-friendly self-sampling interventions for diagnosis of STIs among young women. Data collection was conducted in two phases: phase 1 determined barrier that hinder young women from accessing current STI healthcare services and phase 2 focused on determining the key strategies for self-sampling interventions to diagnose STIs in young women. Thematic analysis and percentage form analysis were used to examine qualitative and quantitative data respectively. Results: The following barriers were identified: negligence; myths about STIs; fear of judgement; denial; operating hours; lack of knowledge of STI symptoms and safe sex practices; and stigma associated with STIs. The following strategies were suggested: hand out self-sampling kits at popular restaurants; collect self-sampling kits from security guard at primary healthcare clinics (PHCs); receive STI diagnostic results via SMS or email or the clinic for treatment; improve youth friendly services at PHCs; educate the public on proper use of the kits. Education about STIs and handing out self-sampling kits at clinics, universities, schools, pharmacies or via outreach teams were ranked high priority strategies. Conclusions: The findings highlight the need to address stigma and fear of judgment and provide comprehensive education to improve healthcare-seeking behaviour in young women. Additionally, the study also indicates that using eHealth solutions could significantly enhance the accessibility and efficiency of STI healthcare services in LMICs.","author":[{"dropping-particle":"","family":"Jaya","given":"Ziningi N.","non-dropping-particle":"","parse-names":false,"suffix":""},{"dropping-particle":"","family":"Mapanga","given":"Witness","non-dropping-particle":"","parse-names":false,"suffix":""},{"dropping-particle":"","family":"Moetlhoa","given":"Boitumelo","non-dropping-particle":"","parse-names":false,"suffix":""},{"dropping-particle":"","family":"Mashamba-Thompson","given":"Tivani P.","non-dropping-particle":"","parse-names":false,"suffix":""}],"container-title":"BMC Health Services Research","id":"ITEM-1","issue":"1","issued":{"date-parts":[["2024"]]},"page":"1-10","publisher":"BioMed Central","title":"Nurses’ perspectives on user-friendly self-sampling interventions for diagnosis of sexually transmitted infections among young women in eThekwini district municipality: a nominal group technique","type":"article-journal","volume":"24"},"uris":["http://www.mendeley.com/documents/?uuid=513f4d98-3bfd-42b2-a4b1-b34b58ca6fee"]}],"mendeley":{"formattedCitation":"(Jaya &lt;i&gt;et al.&lt;/i&gt;, 2024)","plainTextFormattedCitation":"(Jaya et al., 2024)","previouslyFormattedCitation":"(Jaya et al., 2024)"},"properties":{"noteIndex":0},"schema":"https://github.com/citation-style-language/schema/raw/master/csl-citation.json"}</w:instrText>
            </w:r>
            <w:r w:rsidRPr="002F2806">
              <w:rPr>
                <w:rFonts w:asciiTheme="majorBidi" w:hAnsiTheme="majorBidi" w:cstheme="majorBidi"/>
                <w:sz w:val="24"/>
                <w:szCs w:val="24"/>
              </w:rPr>
              <w:fldChar w:fldCharType="separate"/>
            </w:r>
            <w:r w:rsidR="00517FC3" w:rsidRPr="00517FC3">
              <w:rPr>
                <w:rFonts w:asciiTheme="majorBidi" w:hAnsiTheme="majorBidi" w:cstheme="majorBidi"/>
                <w:noProof/>
                <w:sz w:val="24"/>
                <w:szCs w:val="24"/>
              </w:rPr>
              <w:t xml:space="preserve">(Jaya </w:t>
            </w:r>
            <w:r w:rsidR="00517FC3" w:rsidRPr="00517FC3">
              <w:rPr>
                <w:rFonts w:asciiTheme="majorBidi" w:hAnsiTheme="majorBidi" w:cstheme="majorBidi"/>
                <w:i/>
                <w:noProof/>
                <w:sz w:val="24"/>
                <w:szCs w:val="24"/>
              </w:rPr>
              <w:t>et al.</w:t>
            </w:r>
            <w:r w:rsidR="00517FC3" w:rsidRPr="00517FC3">
              <w:rPr>
                <w:rFonts w:asciiTheme="majorBidi" w:hAnsiTheme="majorBidi" w:cstheme="majorBidi"/>
                <w:noProof/>
                <w:sz w:val="24"/>
                <w:szCs w:val="24"/>
              </w:rPr>
              <w:t>, 2024)</w:t>
            </w:r>
            <w:r w:rsidRPr="002F2806">
              <w:rPr>
                <w:rFonts w:asciiTheme="majorBidi" w:hAnsiTheme="majorBidi" w:cstheme="majorBidi"/>
                <w:sz w:val="24"/>
                <w:szCs w:val="24"/>
              </w:rPr>
              <w:fldChar w:fldCharType="end"/>
            </w:r>
          </w:p>
          <w:p w14:paraId="31BC8104" w14:textId="77777777" w:rsidR="00B17833" w:rsidRPr="002F2806" w:rsidRDefault="00B17833" w:rsidP="002F3CA6">
            <w:pPr>
              <w:rPr>
                <w:rFonts w:asciiTheme="majorBidi" w:hAnsiTheme="majorBidi" w:cstheme="majorBidi"/>
                <w:sz w:val="24"/>
                <w:szCs w:val="24"/>
              </w:rPr>
            </w:pPr>
          </w:p>
          <w:p w14:paraId="27AE511E" w14:textId="77777777" w:rsidR="00B17833" w:rsidRPr="002F2806" w:rsidRDefault="00B17833" w:rsidP="002F3CA6">
            <w:pPr>
              <w:rPr>
                <w:rFonts w:asciiTheme="majorBidi" w:hAnsiTheme="majorBidi" w:cstheme="majorBidi"/>
                <w:sz w:val="24"/>
                <w:szCs w:val="24"/>
              </w:rPr>
            </w:pPr>
          </w:p>
          <w:p w14:paraId="656ABD7E" w14:textId="77777777" w:rsidR="00B17833" w:rsidRPr="002F2806" w:rsidRDefault="00B17833" w:rsidP="002F3CA6">
            <w:pPr>
              <w:rPr>
                <w:rFonts w:asciiTheme="majorBidi" w:hAnsiTheme="majorBidi" w:cstheme="majorBidi"/>
                <w:sz w:val="24"/>
                <w:szCs w:val="24"/>
              </w:rPr>
            </w:pPr>
          </w:p>
          <w:p w14:paraId="4AF4838F"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South Africa</w:t>
            </w:r>
          </w:p>
          <w:p w14:paraId="2167D74C" w14:textId="77777777" w:rsidR="00B17833" w:rsidRPr="002F2806" w:rsidRDefault="00B17833" w:rsidP="002F3CA6">
            <w:pPr>
              <w:rPr>
                <w:rFonts w:asciiTheme="majorBidi" w:hAnsiTheme="majorBidi" w:cstheme="majorBidi"/>
                <w:sz w:val="24"/>
                <w:szCs w:val="24"/>
              </w:rPr>
            </w:pPr>
          </w:p>
          <w:p w14:paraId="27BB49FD" w14:textId="77777777" w:rsidR="00B17833" w:rsidRPr="002F2806" w:rsidRDefault="00B17833" w:rsidP="002F3CA6">
            <w:pPr>
              <w:rPr>
                <w:rFonts w:asciiTheme="majorBidi" w:hAnsiTheme="majorBidi" w:cstheme="majorBidi"/>
                <w:sz w:val="24"/>
                <w:szCs w:val="24"/>
              </w:rPr>
            </w:pPr>
          </w:p>
        </w:tc>
        <w:tc>
          <w:tcPr>
            <w:tcW w:w="2250" w:type="dxa"/>
            <w:tcBorders>
              <w:top w:val="single" w:sz="4" w:space="0" w:color="auto"/>
              <w:left w:val="single" w:sz="4" w:space="0" w:color="auto"/>
              <w:bottom w:val="single" w:sz="4" w:space="0" w:color="auto"/>
              <w:right w:val="single" w:sz="4" w:space="0" w:color="auto"/>
            </w:tcBorders>
          </w:tcPr>
          <w:p w14:paraId="57123E68"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t xml:space="preserve">To examine the </w:t>
            </w:r>
            <w:r w:rsidRPr="002F2806">
              <w:rPr>
                <w:rFonts w:asciiTheme="majorBidi" w:eastAsia="Times New Roman" w:hAnsiTheme="majorBidi" w:cstheme="majorBidi"/>
                <w:kern w:val="0"/>
                <w:sz w:val="24"/>
                <w:szCs w:val="24"/>
                <w14:ligatures w14:val="none"/>
              </w:rPr>
              <w:t>barriers that hinder young women from accessing STI healthcare services</w:t>
            </w:r>
            <w:r w:rsidRPr="002F2806">
              <w:rPr>
                <w:rFonts w:asciiTheme="majorBidi" w:eastAsia="Times New Roman" w:hAnsiTheme="majorBidi" w:cstheme="majorBidi"/>
                <w:b/>
                <w:bCs/>
                <w:kern w:val="0"/>
                <w:sz w:val="24"/>
                <w:szCs w:val="24"/>
                <w14:ligatures w14:val="none"/>
              </w:rPr>
              <w:t xml:space="preserve"> </w:t>
            </w:r>
          </w:p>
          <w:p w14:paraId="71F11144" w14:textId="77777777" w:rsidR="00B17833" w:rsidRPr="002F2806" w:rsidRDefault="00B17833" w:rsidP="002F3CA6">
            <w:pPr>
              <w:rPr>
                <w:rFonts w:asciiTheme="majorBidi" w:hAnsiTheme="majorBidi" w:cstheme="majorBidi"/>
                <w:color w:val="000000" w:themeColor="text1"/>
                <w:sz w:val="24"/>
                <w:szCs w:val="24"/>
              </w:rPr>
            </w:pPr>
          </w:p>
        </w:tc>
        <w:tc>
          <w:tcPr>
            <w:tcW w:w="2520" w:type="dxa"/>
            <w:tcBorders>
              <w:top w:val="single" w:sz="4" w:space="0" w:color="auto"/>
              <w:left w:val="single" w:sz="4" w:space="0" w:color="auto"/>
              <w:bottom w:val="single" w:sz="4" w:space="0" w:color="auto"/>
              <w:right w:val="single" w:sz="4" w:space="0" w:color="auto"/>
            </w:tcBorders>
          </w:tcPr>
          <w:p w14:paraId="483056B6"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hAnsiTheme="majorBidi" w:cstheme="majorBidi"/>
                <w:color w:val="000000" w:themeColor="text1"/>
                <w:sz w:val="24"/>
                <w:szCs w:val="24"/>
              </w:rPr>
              <w:t xml:space="preserve">Thematic analysis and percentage form analysis were used to examine qualitative and quantitative data respectively. </w:t>
            </w:r>
            <w:r w:rsidRPr="002F2806">
              <w:rPr>
                <w:rFonts w:asciiTheme="majorBidi" w:eastAsia="Times New Roman" w:hAnsiTheme="majorBidi" w:cstheme="majorBidi"/>
                <w:kern w:val="0"/>
                <w:sz w:val="24"/>
                <w:szCs w:val="24"/>
                <w14:ligatures w14:val="none"/>
              </w:rPr>
              <w:t>The study involved eight healthcare workers who participated in the Nominal Group Technique (NGT) workshop.</w:t>
            </w:r>
          </w:p>
        </w:tc>
        <w:tc>
          <w:tcPr>
            <w:tcW w:w="3330" w:type="dxa"/>
            <w:tcBorders>
              <w:top w:val="single" w:sz="4" w:space="0" w:color="auto"/>
              <w:left w:val="single" w:sz="4" w:space="0" w:color="auto"/>
              <w:bottom w:val="single" w:sz="4" w:space="0" w:color="auto"/>
              <w:right w:val="single" w:sz="4" w:space="0" w:color="auto"/>
            </w:tcBorders>
          </w:tcPr>
          <w:p w14:paraId="017B6B73" w14:textId="77777777" w:rsidR="00B17833" w:rsidRPr="002F2806" w:rsidRDefault="00B17833" w:rsidP="002F3CA6">
            <w:p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The identified barriers that hinder young women from accessing STI healthcare services included:</w:t>
            </w:r>
          </w:p>
          <w:p w14:paraId="76D5BA65" w14:textId="77777777" w:rsidR="00B17833" w:rsidRPr="002F2806" w:rsidRDefault="00B17833" w:rsidP="002F3CA6">
            <w:pPr>
              <w:numPr>
                <w:ilvl w:val="0"/>
                <w:numId w:val="16"/>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Stigma associated with STIs</w:t>
            </w:r>
          </w:p>
          <w:p w14:paraId="005CA790" w14:textId="77777777" w:rsidR="00B17833" w:rsidRPr="002F2806" w:rsidRDefault="00B17833" w:rsidP="002F3CA6">
            <w:pPr>
              <w:numPr>
                <w:ilvl w:val="0"/>
                <w:numId w:val="16"/>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Lack of knowledge about STI symptoms and safe sex practices</w:t>
            </w:r>
          </w:p>
          <w:p w14:paraId="7D94E97E" w14:textId="77777777" w:rsidR="00B17833" w:rsidRPr="002F2806" w:rsidRDefault="00B17833" w:rsidP="002F3CA6">
            <w:pPr>
              <w:numPr>
                <w:ilvl w:val="0"/>
                <w:numId w:val="16"/>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Myths about STIs</w:t>
            </w:r>
          </w:p>
          <w:p w14:paraId="54CE9117" w14:textId="77777777" w:rsidR="00B17833" w:rsidRPr="002F2806" w:rsidRDefault="00B17833" w:rsidP="002F3CA6">
            <w:pPr>
              <w:numPr>
                <w:ilvl w:val="0"/>
                <w:numId w:val="16"/>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Fear of judgment</w:t>
            </w:r>
          </w:p>
          <w:p w14:paraId="13A1136C" w14:textId="77777777" w:rsidR="00B17833" w:rsidRPr="002F2806" w:rsidRDefault="00B17833" w:rsidP="002F3CA6">
            <w:pPr>
              <w:numPr>
                <w:ilvl w:val="0"/>
                <w:numId w:val="16"/>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Negligence and denial regarding potential STI infections</w:t>
            </w:r>
          </w:p>
          <w:p w14:paraId="2572D793" w14:textId="77777777" w:rsidR="00B17833" w:rsidRPr="002F2806" w:rsidRDefault="00B17833" w:rsidP="002F3CA6">
            <w:pPr>
              <w:numPr>
                <w:ilvl w:val="0"/>
                <w:numId w:val="16"/>
              </w:numPr>
              <w:spacing w:before="100" w:beforeAutospacing="1" w:after="100" w:afterAutospacing="1"/>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Inconvenient clinic operating hours</w:t>
            </w:r>
          </w:p>
        </w:tc>
        <w:tc>
          <w:tcPr>
            <w:tcW w:w="2700" w:type="dxa"/>
            <w:tcBorders>
              <w:top w:val="single" w:sz="4" w:space="0" w:color="auto"/>
              <w:left w:val="single" w:sz="4" w:space="0" w:color="auto"/>
              <w:bottom w:val="single" w:sz="4" w:space="0" w:color="auto"/>
              <w:right w:val="single" w:sz="4" w:space="0" w:color="auto"/>
            </w:tcBorders>
          </w:tcPr>
          <w:p w14:paraId="41C4E4DD" w14:textId="77777777" w:rsidR="00B17833" w:rsidRPr="002F2806" w:rsidRDefault="00B17833" w:rsidP="002F3CA6">
            <w:pPr>
              <w:rPr>
                <w:rFonts w:asciiTheme="majorBidi" w:eastAsia="Times New Roman" w:hAnsiTheme="majorBidi" w:cstheme="majorBidi"/>
                <w:kern w:val="0"/>
                <w:sz w:val="24"/>
                <w:szCs w:val="24"/>
                <w14:ligatures w14:val="none"/>
              </w:rPr>
            </w:pPr>
            <w:r w:rsidRPr="002F2806">
              <w:rPr>
                <w:rFonts w:asciiTheme="majorBidi" w:eastAsia="Times New Roman" w:hAnsiTheme="majorBidi" w:cstheme="majorBidi"/>
                <w:kern w:val="0"/>
                <w:sz w:val="24"/>
                <w:szCs w:val="24"/>
                <w14:ligatures w14:val="none"/>
              </w:rPr>
              <w:t>Addressing stigma and fear of judgment, along with providing comprehensive education about STIs, is essential to improve healthcare-seeking behavior among young women.</w:t>
            </w:r>
          </w:p>
        </w:tc>
        <w:tc>
          <w:tcPr>
            <w:tcW w:w="2430" w:type="dxa"/>
            <w:tcBorders>
              <w:top w:val="single" w:sz="4" w:space="0" w:color="auto"/>
              <w:left w:val="single" w:sz="4" w:space="0" w:color="auto"/>
              <w:bottom w:val="single" w:sz="4" w:space="0" w:color="auto"/>
              <w:right w:val="single" w:sz="4" w:space="0" w:color="auto"/>
            </w:tcBorders>
          </w:tcPr>
          <w:p w14:paraId="398CD08C" w14:textId="77777777" w:rsidR="00B17833" w:rsidRPr="002F2806" w:rsidRDefault="00B17833" w:rsidP="002F3CA6">
            <w:pPr>
              <w:rPr>
                <w:rFonts w:asciiTheme="majorBidi" w:hAnsiTheme="majorBidi" w:cstheme="majorBidi"/>
                <w:color w:val="000000" w:themeColor="text1"/>
                <w:sz w:val="24"/>
                <w:szCs w:val="24"/>
              </w:rPr>
            </w:pPr>
            <w:r w:rsidRPr="002F2806">
              <w:rPr>
                <w:rFonts w:asciiTheme="majorBidi" w:hAnsiTheme="majorBidi" w:cstheme="majorBidi"/>
                <w:color w:val="000000" w:themeColor="text1"/>
                <w:sz w:val="24"/>
                <w:szCs w:val="24"/>
              </w:rPr>
              <w:t>Small sample size</w:t>
            </w:r>
          </w:p>
        </w:tc>
      </w:tr>
    </w:tbl>
    <w:p w14:paraId="546BD9ED" w14:textId="77777777" w:rsidR="00D46997" w:rsidRDefault="00D46997" w:rsidP="002F2806">
      <w:pPr>
        <w:spacing w:line="360" w:lineRule="auto"/>
        <w:jc w:val="center"/>
        <w:rPr>
          <w:rFonts w:asciiTheme="majorBidi" w:hAnsiTheme="majorBidi" w:cstheme="majorBidi"/>
          <w:sz w:val="24"/>
          <w:szCs w:val="24"/>
        </w:rPr>
      </w:pPr>
    </w:p>
    <w:p w14:paraId="797E46D4" w14:textId="77777777" w:rsidR="00D46997" w:rsidRDefault="00D46997" w:rsidP="001C47EE">
      <w:pPr>
        <w:spacing w:line="360" w:lineRule="auto"/>
        <w:rPr>
          <w:rFonts w:asciiTheme="majorBidi" w:hAnsiTheme="majorBidi" w:cstheme="majorBidi"/>
          <w:sz w:val="24"/>
          <w:szCs w:val="24"/>
        </w:rPr>
      </w:pPr>
    </w:p>
    <w:p w14:paraId="7BFEE7BF" w14:textId="5A39BCB0" w:rsidR="002F2806" w:rsidRPr="002F2806" w:rsidRDefault="002F2806" w:rsidP="00940250">
      <w:pPr>
        <w:spacing w:line="360" w:lineRule="auto"/>
        <w:rPr>
          <w:rFonts w:asciiTheme="majorBidi" w:hAnsiTheme="majorBidi" w:cstheme="majorBidi"/>
          <w:sz w:val="24"/>
          <w:szCs w:val="24"/>
        </w:rPr>
      </w:pPr>
    </w:p>
    <w:sectPr w:rsidR="002F2806" w:rsidRPr="002F2806" w:rsidSect="002F280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21E5D2" w14:textId="77777777" w:rsidR="0008358D" w:rsidRDefault="0008358D" w:rsidP="00EF145C">
      <w:pPr>
        <w:spacing w:after="0" w:line="240" w:lineRule="auto"/>
      </w:pPr>
      <w:r>
        <w:separator/>
      </w:r>
    </w:p>
  </w:endnote>
  <w:endnote w:type="continuationSeparator" w:id="0">
    <w:p w14:paraId="5FBB4C10" w14:textId="77777777" w:rsidR="0008358D" w:rsidRDefault="0008358D" w:rsidP="00EF14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Bidi" w:hAnsiTheme="majorBidi" w:cstheme="majorBidi"/>
        <w:sz w:val="24"/>
        <w:szCs w:val="24"/>
      </w:rPr>
      <w:id w:val="-1504279330"/>
      <w:docPartObj>
        <w:docPartGallery w:val="Page Numbers (Bottom of Page)"/>
        <w:docPartUnique/>
      </w:docPartObj>
    </w:sdtPr>
    <w:sdtEndPr>
      <w:rPr>
        <w:noProof/>
      </w:rPr>
    </w:sdtEndPr>
    <w:sdtContent>
      <w:p w14:paraId="4DD4D0F8" w14:textId="77777777" w:rsidR="00827DDB" w:rsidRPr="00827DDB" w:rsidRDefault="00827DDB">
        <w:pPr>
          <w:pStyle w:val="Footer"/>
          <w:jc w:val="center"/>
          <w:rPr>
            <w:rFonts w:asciiTheme="majorBidi" w:hAnsiTheme="majorBidi" w:cstheme="majorBidi"/>
            <w:sz w:val="24"/>
            <w:szCs w:val="24"/>
          </w:rPr>
        </w:pPr>
        <w:r w:rsidRPr="00827DDB">
          <w:rPr>
            <w:rFonts w:asciiTheme="majorBidi" w:hAnsiTheme="majorBidi" w:cstheme="majorBidi"/>
            <w:sz w:val="24"/>
            <w:szCs w:val="24"/>
          </w:rPr>
          <w:fldChar w:fldCharType="begin"/>
        </w:r>
        <w:r w:rsidRPr="00827DDB">
          <w:rPr>
            <w:rFonts w:asciiTheme="majorBidi" w:hAnsiTheme="majorBidi" w:cstheme="majorBidi"/>
            <w:sz w:val="24"/>
            <w:szCs w:val="24"/>
          </w:rPr>
          <w:instrText xml:space="preserve"> PAGE   \* MERGEFORMAT </w:instrText>
        </w:r>
        <w:r w:rsidRPr="00827DDB">
          <w:rPr>
            <w:rFonts w:asciiTheme="majorBidi" w:hAnsiTheme="majorBidi" w:cstheme="majorBidi"/>
            <w:sz w:val="24"/>
            <w:szCs w:val="24"/>
          </w:rPr>
          <w:fldChar w:fldCharType="separate"/>
        </w:r>
        <w:r w:rsidRPr="00827DDB">
          <w:rPr>
            <w:rFonts w:asciiTheme="majorBidi" w:hAnsiTheme="majorBidi" w:cstheme="majorBidi"/>
            <w:noProof/>
            <w:sz w:val="24"/>
            <w:szCs w:val="24"/>
          </w:rPr>
          <w:t>2</w:t>
        </w:r>
        <w:r w:rsidRPr="00827DDB">
          <w:rPr>
            <w:rFonts w:asciiTheme="majorBidi" w:hAnsiTheme="majorBidi" w:cstheme="majorBidi"/>
            <w:noProof/>
            <w:sz w:val="24"/>
            <w:szCs w:val="24"/>
          </w:rPr>
          <w:fldChar w:fldCharType="end"/>
        </w:r>
      </w:p>
    </w:sdtContent>
  </w:sdt>
  <w:p w14:paraId="78618ED6" w14:textId="77777777" w:rsidR="00827DDB" w:rsidRPr="00827DDB" w:rsidRDefault="00827DDB">
    <w:pPr>
      <w:pStyle w:val="Footer"/>
      <w:rPr>
        <w:rFonts w:asciiTheme="majorBidi" w:hAnsiTheme="majorBidi" w:cstheme="majorBidi"/>
        <w:sz w:val="26"/>
        <w:szCs w:val="2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3F532" w14:textId="77777777" w:rsidR="0008358D" w:rsidRDefault="0008358D" w:rsidP="00EF145C">
      <w:pPr>
        <w:spacing w:after="0" w:line="240" w:lineRule="auto"/>
      </w:pPr>
      <w:r>
        <w:separator/>
      </w:r>
    </w:p>
  </w:footnote>
  <w:footnote w:type="continuationSeparator" w:id="0">
    <w:p w14:paraId="0CDBB28B" w14:textId="77777777" w:rsidR="0008358D" w:rsidRDefault="0008358D" w:rsidP="00EF14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81B8D"/>
    <w:multiLevelType w:val="multilevel"/>
    <w:tmpl w:val="5CAA7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312075"/>
    <w:multiLevelType w:val="multilevel"/>
    <w:tmpl w:val="9EE8A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210E9D"/>
    <w:multiLevelType w:val="multilevel"/>
    <w:tmpl w:val="A4A61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2E7FB8"/>
    <w:multiLevelType w:val="multilevel"/>
    <w:tmpl w:val="38DA8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E871B6"/>
    <w:multiLevelType w:val="multilevel"/>
    <w:tmpl w:val="2A72C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942D1B"/>
    <w:multiLevelType w:val="multilevel"/>
    <w:tmpl w:val="25164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C004EE"/>
    <w:multiLevelType w:val="hybridMultilevel"/>
    <w:tmpl w:val="99860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4C7D6E"/>
    <w:multiLevelType w:val="multilevel"/>
    <w:tmpl w:val="7BC82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E73482"/>
    <w:multiLevelType w:val="hybridMultilevel"/>
    <w:tmpl w:val="36B08D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C73DB6"/>
    <w:multiLevelType w:val="hybridMultilevel"/>
    <w:tmpl w:val="32BA8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023067C"/>
    <w:multiLevelType w:val="multilevel"/>
    <w:tmpl w:val="EFDA4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A7541B"/>
    <w:multiLevelType w:val="multilevel"/>
    <w:tmpl w:val="CE82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5E3C82"/>
    <w:multiLevelType w:val="multilevel"/>
    <w:tmpl w:val="1C44B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ED386C"/>
    <w:multiLevelType w:val="multilevel"/>
    <w:tmpl w:val="A20A0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8B65CF"/>
    <w:multiLevelType w:val="hybridMultilevel"/>
    <w:tmpl w:val="1E702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5D6F19"/>
    <w:multiLevelType w:val="multilevel"/>
    <w:tmpl w:val="C8B4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097464"/>
    <w:multiLevelType w:val="multilevel"/>
    <w:tmpl w:val="F8EAC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770DF0"/>
    <w:multiLevelType w:val="multilevel"/>
    <w:tmpl w:val="BA642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126F10"/>
    <w:multiLevelType w:val="multilevel"/>
    <w:tmpl w:val="FFD642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E649FC"/>
    <w:multiLevelType w:val="multilevel"/>
    <w:tmpl w:val="324A9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3268672">
    <w:abstractNumId w:val="14"/>
  </w:num>
  <w:num w:numId="2" w16cid:durableId="1428623865">
    <w:abstractNumId w:val="6"/>
  </w:num>
  <w:num w:numId="3" w16cid:durableId="618534498">
    <w:abstractNumId w:val="9"/>
  </w:num>
  <w:num w:numId="4" w16cid:durableId="481893100">
    <w:abstractNumId w:val="16"/>
  </w:num>
  <w:num w:numId="5" w16cid:durableId="1431974812">
    <w:abstractNumId w:val="17"/>
  </w:num>
  <w:num w:numId="6" w16cid:durableId="161822577">
    <w:abstractNumId w:val="5"/>
  </w:num>
  <w:num w:numId="7" w16cid:durableId="254478454">
    <w:abstractNumId w:val="11"/>
  </w:num>
  <w:num w:numId="8" w16cid:durableId="1790781918">
    <w:abstractNumId w:val="2"/>
  </w:num>
  <w:num w:numId="9" w16cid:durableId="1442459951">
    <w:abstractNumId w:val="3"/>
  </w:num>
  <w:num w:numId="10" w16cid:durableId="1860116777">
    <w:abstractNumId w:val="4"/>
  </w:num>
  <w:num w:numId="11" w16cid:durableId="351298243">
    <w:abstractNumId w:val="0"/>
  </w:num>
  <w:num w:numId="12" w16cid:durableId="1204564162">
    <w:abstractNumId w:val="7"/>
  </w:num>
  <w:num w:numId="13" w16cid:durableId="1976911970">
    <w:abstractNumId w:val="13"/>
  </w:num>
  <w:num w:numId="14" w16cid:durableId="1328824673">
    <w:abstractNumId w:val="15"/>
  </w:num>
  <w:num w:numId="15" w16cid:durableId="83235070">
    <w:abstractNumId w:val="1"/>
  </w:num>
  <w:num w:numId="16" w16cid:durableId="1352688291">
    <w:abstractNumId w:val="12"/>
  </w:num>
  <w:num w:numId="17" w16cid:durableId="1267929563">
    <w:abstractNumId w:val="18"/>
  </w:num>
  <w:num w:numId="18" w16cid:durableId="2091152289">
    <w:abstractNumId w:val="19"/>
  </w:num>
  <w:num w:numId="19" w16cid:durableId="1356073933">
    <w:abstractNumId w:val="10"/>
  </w:num>
  <w:num w:numId="20" w16cid:durableId="4536707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a9eftao9parfe05ddpdpw1fzwdez2x000s&quot;&gt;My EndNote Library&lt;record-ids&gt;&lt;item&gt;236&lt;/item&gt;&lt;item&gt;237&lt;/item&gt;&lt;item&gt;238&lt;/item&gt;&lt;item&gt;240&lt;/item&gt;&lt;item&gt;241&lt;/item&gt;&lt;item&gt;242&lt;/item&gt;&lt;item&gt;243&lt;/item&gt;&lt;item&gt;244&lt;/item&gt;&lt;item&gt;245&lt;/item&gt;&lt;item&gt;246&lt;/item&gt;&lt;item&gt;247&lt;/item&gt;&lt;item&gt;248&lt;/item&gt;&lt;item&gt;250&lt;/item&gt;&lt;item&gt;251&lt;/item&gt;&lt;item&gt;252&lt;/item&gt;&lt;item&gt;255&lt;/item&gt;&lt;item&gt;256&lt;/item&gt;&lt;item&gt;257&lt;/item&gt;&lt;item&gt;258&lt;/item&gt;&lt;item&gt;259&lt;/item&gt;&lt;item&gt;260&lt;/item&gt;&lt;item&gt;261&lt;/item&gt;&lt;item&gt;263&lt;/item&gt;&lt;item&gt;265&lt;/item&gt;&lt;item&gt;268&lt;/item&gt;&lt;item&gt;270&lt;/item&gt;&lt;item&gt;271&lt;/item&gt;&lt;item&gt;272&lt;/item&gt;&lt;item&gt;273&lt;/item&gt;&lt;item&gt;274&lt;/item&gt;&lt;item&gt;275&lt;/item&gt;&lt;item&gt;276&lt;/item&gt;&lt;item&gt;277&lt;/item&gt;&lt;item&gt;278&lt;/item&gt;&lt;item&gt;280&lt;/item&gt;&lt;item&gt;281&lt;/item&gt;&lt;item&gt;282&lt;/item&gt;&lt;item&gt;284&lt;/item&gt;&lt;item&gt;285&lt;/item&gt;&lt;item&gt;286&lt;/item&gt;&lt;item&gt;287&lt;/item&gt;&lt;item&gt;288&lt;/item&gt;&lt;item&gt;290&lt;/item&gt;&lt;item&gt;291&lt;/item&gt;&lt;item&gt;292&lt;/item&gt;&lt;item&gt;293&lt;/item&gt;&lt;item&gt;295&lt;/item&gt;&lt;item&gt;296&lt;/item&gt;&lt;item&gt;297&lt;/item&gt;&lt;item&gt;298&lt;/item&gt;&lt;item&gt;299&lt;/item&gt;&lt;item&gt;300&lt;/item&gt;&lt;item&gt;301&lt;/item&gt;&lt;item&gt;302&lt;/item&gt;&lt;item&gt;303&lt;/item&gt;&lt;item&gt;304&lt;/item&gt;&lt;item&gt;305&lt;/item&gt;&lt;item&gt;306&lt;/item&gt;&lt;item&gt;307&lt;/item&gt;&lt;item&gt;308&lt;/item&gt;&lt;item&gt;309&lt;/item&gt;&lt;item&gt;310&lt;/item&gt;&lt;item&gt;311&lt;/item&gt;&lt;item&gt;312&lt;/item&gt;&lt;item&gt;314&lt;/item&gt;&lt;item&gt;315&lt;/item&gt;&lt;item&gt;316&lt;/item&gt;&lt;item&gt;317&lt;/item&gt;&lt;item&gt;319&lt;/item&gt;&lt;item&gt;320&lt;/item&gt;&lt;item&gt;321&lt;/item&gt;&lt;item&gt;322&lt;/item&gt;&lt;item&gt;323&lt;/item&gt;&lt;item&gt;324&lt;/item&gt;&lt;item&gt;325&lt;/item&gt;&lt;/record-ids&gt;&lt;/item&gt;&lt;/Libraries&gt;"/>
  </w:docVars>
  <w:rsids>
    <w:rsidRoot w:val="00122236"/>
    <w:rsid w:val="00001A7B"/>
    <w:rsid w:val="00001CFC"/>
    <w:rsid w:val="00002E8A"/>
    <w:rsid w:val="00004048"/>
    <w:rsid w:val="00004419"/>
    <w:rsid w:val="00005364"/>
    <w:rsid w:val="00006D05"/>
    <w:rsid w:val="00007D47"/>
    <w:rsid w:val="00010054"/>
    <w:rsid w:val="00010317"/>
    <w:rsid w:val="0001282C"/>
    <w:rsid w:val="00012A45"/>
    <w:rsid w:val="00012CD1"/>
    <w:rsid w:val="000155C2"/>
    <w:rsid w:val="00015B0F"/>
    <w:rsid w:val="00015D6A"/>
    <w:rsid w:val="000205D1"/>
    <w:rsid w:val="00021E6D"/>
    <w:rsid w:val="000223CE"/>
    <w:rsid w:val="0002263E"/>
    <w:rsid w:val="00022B59"/>
    <w:rsid w:val="00024B30"/>
    <w:rsid w:val="00024D07"/>
    <w:rsid w:val="000258D4"/>
    <w:rsid w:val="00031DD3"/>
    <w:rsid w:val="00033D78"/>
    <w:rsid w:val="000369A8"/>
    <w:rsid w:val="00036A2B"/>
    <w:rsid w:val="000379AF"/>
    <w:rsid w:val="00042FD4"/>
    <w:rsid w:val="000432BD"/>
    <w:rsid w:val="00045F77"/>
    <w:rsid w:val="00046877"/>
    <w:rsid w:val="00046C51"/>
    <w:rsid w:val="000476E4"/>
    <w:rsid w:val="00050689"/>
    <w:rsid w:val="00051CB4"/>
    <w:rsid w:val="00054489"/>
    <w:rsid w:val="00055585"/>
    <w:rsid w:val="000568D4"/>
    <w:rsid w:val="00061CA6"/>
    <w:rsid w:val="00061E92"/>
    <w:rsid w:val="00062C60"/>
    <w:rsid w:val="00062D1F"/>
    <w:rsid w:val="000637C4"/>
    <w:rsid w:val="00063B33"/>
    <w:rsid w:val="000641DE"/>
    <w:rsid w:val="00065E97"/>
    <w:rsid w:val="00066374"/>
    <w:rsid w:val="000671C0"/>
    <w:rsid w:val="000673AB"/>
    <w:rsid w:val="00067437"/>
    <w:rsid w:val="000707B2"/>
    <w:rsid w:val="00071237"/>
    <w:rsid w:val="00071383"/>
    <w:rsid w:val="00071F5D"/>
    <w:rsid w:val="000739CD"/>
    <w:rsid w:val="00076591"/>
    <w:rsid w:val="000779AE"/>
    <w:rsid w:val="00077DE7"/>
    <w:rsid w:val="0008040D"/>
    <w:rsid w:val="0008358D"/>
    <w:rsid w:val="00085EC6"/>
    <w:rsid w:val="00086C9E"/>
    <w:rsid w:val="0009050F"/>
    <w:rsid w:val="0009128F"/>
    <w:rsid w:val="00095FE9"/>
    <w:rsid w:val="00096DCB"/>
    <w:rsid w:val="000A01C7"/>
    <w:rsid w:val="000A1DDF"/>
    <w:rsid w:val="000A3BB3"/>
    <w:rsid w:val="000A4833"/>
    <w:rsid w:val="000A48C2"/>
    <w:rsid w:val="000A5148"/>
    <w:rsid w:val="000B0B53"/>
    <w:rsid w:val="000B17F2"/>
    <w:rsid w:val="000B198A"/>
    <w:rsid w:val="000B6591"/>
    <w:rsid w:val="000B79DF"/>
    <w:rsid w:val="000C013C"/>
    <w:rsid w:val="000C219A"/>
    <w:rsid w:val="000C360E"/>
    <w:rsid w:val="000C3A78"/>
    <w:rsid w:val="000C4CB5"/>
    <w:rsid w:val="000C52AF"/>
    <w:rsid w:val="000C5D9E"/>
    <w:rsid w:val="000C6C1C"/>
    <w:rsid w:val="000D00EC"/>
    <w:rsid w:val="000D0A4D"/>
    <w:rsid w:val="000D18F8"/>
    <w:rsid w:val="000D27B4"/>
    <w:rsid w:val="000D47E4"/>
    <w:rsid w:val="000D5954"/>
    <w:rsid w:val="000D64A6"/>
    <w:rsid w:val="000E138C"/>
    <w:rsid w:val="000E3E4A"/>
    <w:rsid w:val="000E6230"/>
    <w:rsid w:val="000E6474"/>
    <w:rsid w:val="000E71F3"/>
    <w:rsid w:val="000E7242"/>
    <w:rsid w:val="000E7B55"/>
    <w:rsid w:val="000F0E8E"/>
    <w:rsid w:val="000F181B"/>
    <w:rsid w:val="000F441F"/>
    <w:rsid w:val="000F513C"/>
    <w:rsid w:val="000F5A84"/>
    <w:rsid w:val="000F5F22"/>
    <w:rsid w:val="000F691F"/>
    <w:rsid w:val="000F6A11"/>
    <w:rsid w:val="000F6A41"/>
    <w:rsid w:val="000F77BD"/>
    <w:rsid w:val="000F7FEF"/>
    <w:rsid w:val="001007EE"/>
    <w:rsid w:val="0010110A"/>
    <w:rsid w:val="00103442"/>
    <w:rsid w:val="001036BC"/>
    <w:rsid w:val="00103E7B"/>
    <w:rsid w:val="00107702"/>
    <w:rsid w:val="00107B0A"/>
    <w:rsid w:val="001141A7"/>
    <w:rsid w:val="00116BB3"/>
    <w:rsid w:val="00117423"/>
    <w:rsid w:val="00121255"/>
    <w:rsid w:val="00121519"/>
    <w:rsid w:val="00122236"/>
    <w:rsid w:val="00122586"/>
    <w:rsid w:val="001262E2"/>
    <w:rsid w:val="00126DA2"/>
    <w:rsid w:val="0013363B"/>
    <w:rsid w:val="00134D06"/>
    <w:rsid w:val="00134F23"/>
    <w:rsid w:val="00143671"/>
    <w:rsid w:val="001436A0"/>
    <w:rsid w:val="001436E0"/>
    <w:rsid w:val="00143EE8"/>
    <w:rsid w:val="0014489A"/>
    <w:rsid w:val="001454F5"/>
    <w:rsid w:val="00145CF6"/>
    <w:rsid w:val="00146F36"/>
    <w:rsid w:val="0014792A"/>
    <w:rsid w:val="001505D3"/>
    <w:rsid w:val="0015176E"/>
    <w:rsid w:val="001531CC"/>
    <w:rsid w:val="001534DA"/>
    <w:rsid w:val="00153F4F"/>
    <w:rsid w:val="00154015"/>
    <w:rsid w:val="001541E8"/>
    <w:rsid w:val="00154511"/>
    <w:rsid w:val="001567D2"/>
    <w:rsid w:val="001628BE"/>
    <w:rsid w:val="00162A34"/>
    <w:rsid w:val="001649D5"/>
    <w:rsid w:val="00165738"/>
    <w:rsid w:val="00165758"/>
    <w:rsid w:val="00171150"/>
    <w:rsid w:val="00171D35"/>
    <w:rsid w:val="0017224E"/>
    <w:rsid w:val="0017378D"/>
    <w:rsid w:val="00176D21"/>
    <w:rsid w:val="00177CE0"/>
    <w:rsid w:val="001804D2"/>
    <w:rsid w:val="00180AE4"/>
    <w:rsid w:val="00181773"/>
    <w:rsid w:val="00182001"/>
    <w:rsid w:val="001821FA"/>
    <w:rsid w:val="00182D51"/>
    <w:rsid w:val="00182D7D"/>
    <w:rsid w:val="00184706"/>
    <w:rsid w:val="00184FB7"/>
    <w:rsid w:val="00185958"/>
    <w:rsid w:val="00186154"/>
    <w:rsid w:val="00186308"/>
    <w:rsid w:val="00186A33"/>
    <w:rsid w:val="0019014B"/>
    <w:rsid w:val="00191236"/>
    <w:rsid w:val="00192275"/>
    <w:rsid w:val="0019332B"/>
    <w:rsid w:val="00195241"/>
    <w:rsid w:val="001A0569"/>
    <w:rsid w:val="001A29D7"/>
    <w:rsid w:val="001A42FA"/>
    <w:rsid w:val="001A545F"/>
    <w:rsid w:val="001A64A2"/>
    <w:rsid w:val="001B09B8"/>
    <w:rsid w:val="001B2FC9"/>
    <w:rsid w:val="001B3E06"/>
    <w:rsid w:val="001B4907"/>
    <w:rsid w:val="001B6B8F"/>
    <w:rsid w:val="001B7878"/>
    <w:rsid w:val="001B795C"/>
    <w:rsid w:val="001C072B"/>
    <w:rsid w:val="001C08DE"/>
    <w:rsid w:val="001C13FC"/>
    <w:rsid w:val="001C1D79"/>
    <w:rsid w:val="001C39A4"/>
    <w:rsid w:val="001C47EE"/>
    <w:rsid w:val="001C5027"/>
    <w:rsid w:val="001C5E14"/>
    <w:rsid w:val="001C664D"/>
    <w:rsid w:val="001C7E01"/>
    <w:rsid w:val="001D0104"/>
    <w:rsid w:val="001D0131"/>
    <w:rsid w:val="001D36DB"/>
    <w:rsid w:val="001D3BE4"/>
    <w:rsid w:val="001D4108"/>
    <w:rsid w:val="001E1604"/>
    <w:rsid w:val="001E4057"/>
    <w:rsid w:val="001E4A1D"/>
    <w:rsid w:val="001E6F4C"/>
    <w:rsid w:val="001E7D1D"/>
    <w:rsid w:val="001F249D"/>
    <w:rsid w:val="001F408F"/>
    <w:rsid w:val="001F4719"/>
    <w:rsid w:val="001F53F9"/>
    <w:rsid w:val="001F6635"/>
    <w:rsid w:val="001F6CDC"/>
    <w:rsid w:val="001F7C21"/>
    <w:rsid w:val="00201028"/>
    <w:rsid w:val="0020152E"/>
    <w:rsid w:val="00204E58"/>
    <w:rsid w:val="00205A30"/>
    <w:rsid w:val="00205AF1"/>
    <w:rsid w:val="0020735A"/>
    <w:rsid w:val="00210477"/>
    <w:rsid w:val="00212575"/>
    <w:rsid w:val="002145C8"/>
    <w:rsid w:val="00217444"/>
    <w:rsid w:val="00221400"/>
    <w:rsid w:val="00223E5E"/>
    <w:rsid w:val="00223F1E"/>
    <w:rsid w:val="00226CAE"/>
    <w:rsid w:val="00227D14"/>
    <w:rsid w:val="00232C33"/>
    <w:rsid w:val="00232EC5"/>
    <w:rsid w:val="00233E18"/>
    <w:rsid w:val="00233EEE"/>
    <w:rsid w:val="00242D6A"/>
    <w:rsid w:val="00244164"/>
    <w:rsid w:val="0025074C"/>
    <w:rsid w:val="00251E50"/>
    <w:rsid w:val="00253B51"/>
    <w:rsid w:val="0025568E"/>
    <w:rsid w:val="00256FED"/>
    <w:rsid w:val="00260253"/>
    <w:rsid w:val="00260F2F"/>
    <w:rsid w:val="00261205"/>
    <w:rsid w:val="00263798"/>
    <w:rsid w:val="002653C6"/>
    <w:rsid w:val="002659FE"/>
    <w:rsid w:val="00267698"/>
    <w:rsid w:val="00273508"/>
    <w:rsid w:val="00276101"/>
    <w:rsid w:val="00276EE6"/>
    <w:rsid w:val="00280179"/>
    <w:rsid w:val="002827E2"/>
    <w:rsid w:val="00284E2F"/>
    <w:rsid w:val="002877F6"/>
    <w:rsid w:val="00293E3D"/>
    <w:rsid w:val="00294AC2"/>
    <w:rsid w:val="00294C13"/>
    <w:rsid w:val="002958A4"/>
    <w:rsid w:val="002961A2"/>
    <w:rsid w:val="0029625A"/>
    <w:rsid w:val="00296B44"/>
    <w:rsid w:val="00296D8D"/>
    <w:rsid w:val="00296EF3"/>
    <w:rsid w:val="002A02BE"/>
    <w:rsid w:val="002A232B"/>
    <w:rsid w:val="002A378D"/>
    <w:rsid w:val="002A4101"/>
    <w:rsid w:val="002A43C0"/>
    <w:rsid w:val="002A7FC1"/>
    <w:rsid w:val="002B06AD"/>
    <w:rsid w:val="002B0C51"/>
    <w:rsid w:val="002B4C16"/>
    <w:rsid w:val="002B4DF0"/>
    <w:rsid w:val="002B5322"/>
    <w:rsid w:val="002B5572"/>
    <w:rsid w:val="002B5BEB"/>
    <w:rsid w:val="002C0B79"/>
    <w:rsid w:val="002C26B8"/>
    <w:rsid w:val="002C2D80"/>
    <w:rsid w:val="002C4222"/>
    <w:rsid w:val="002C6613"/>
    <w:rsid w:val="002C6A8D"/>
    <w:rsid w:val="002C71D5"/>
    <w:rsid w:val="002C71E7"/>
    <w:rsid w:val="002D3083"/>
    <w:rsid w:val="002D3316"/>
    <w:rsid w:val="002D35B5"/>
    <w:rsid w:val="002D3C21"/>
    <w:rsid w:val="002D7776"/>
    <w:rsid w:val="002D7D96"/>
    <w:rsid w:val="002E0601"/>
    <w:rsid w:val="002E0AF9"/>
    <w:rsid w:val="002E2912"/>
    <w:rsid w:val="002E37BA"/>
    <w:rsid w:val="002E3F8E"/>
    <w:rsid w:val="002E4DFE"/>
    <w:rsid w:val="002E5CF6"/>
    <w:rsid w:val="002E7A77"/>
    <w:rsid w:val="002F0A9C"/>
    <w:rsid w:val="002F0C4F"/>
    <w:rsid w:val="002F0DAB"/>
    <w:rsid w:val="002F0E82"/>
    <w:rsid w:val="002F1836"/>
    <w:rsid w:val="002F2806"/>
    <w:rsid w:val="002F4C9A"/>
    <w:rsid w:val="002F4D2C"/>
    <w:rsid w:val="002F5D73"/>
    <w:rsid w:val="002F78D2"/>
    <w:rsid w:val="003016B5"/>
    <w:rsid w:val="0030190D"/>
    <w:rsid w:val="0030337A"/>
    <w:rsid w:val="00307591"/>
    <w:rsid w:val="003114E0"/>
    <w:rsid w:val="00311E2B"/>
    <w:rsid w:val="00312C38"/>
    <w:rsid w:val="0031316B"/>
    <w:rsid w:val="00315DCF"/>
    <w:rsid w:val="00316BD4"/>
    <w:rsid w:val="00317687"/>
    <w:rsid w:val="0031775A"/>
    <w:rsid w:val="003203A8"/>
    <w:rsid w:val="00321E6C"/>
    <w:rsid w:val="003228BB"/>
    <w:rsid w:val="003230B5"/>
    <w:rsid w:val="003234E8"/>
    <w:rsid w:val="003254B2"/>
    <w:rsid w:val="00325DC8"/>
    <w:rsid w:val="0032606B"/>
    <w:rsid w:val="003271FD"/>
    <w:rsid w:val="00327856"/>
    <w:rsid w:val="00330E6D"/>
    <w:rsid w:val="00331354"/>
    <w:rsid w:val="003332BB"/>
    <w:rsid w:val="00333CD3"/>
    <w:rsid w:val="00341974"/>
    <w:rsid w:val="00341F4F"/>
    <w:rsid w:val="00343EA4"/>
    <w:rsid w:val="00344081"/>
    <w:rsid w:val="003449D4"/>
    <w:rsid w:val="00345D6B"/>
    <w:rsid w:val="00346C37"/>
    <w:rsid w:val="003476DC"/>
    <w:rsid w:val="003510E6"/>
    <w:rsid w:val="003518EC"/>
    <w:rsid w:val="00351E6B"/>
    <w:rsid w:val="00352EF1"/>
    <w:rsid w:val="003531EB"/>
    <w:rsid w:val="003547BA"/>
    <w:rsid w:val="00354DAF"/>
    <w:rsid w:val="00355366"/>
    <w:rsid w:val="003553D2"/>
    <w:rsid w:val="00355B61"/>
    <w:rsid w:val="00356564"/>
    <w:rsid w:val="003572AC"/>
    <w:rsid w:val="00357E64"/>
    <w:rsid w:val="003605AC"/>
    <w:rsid w:val="003615FD"/>
    <w:rsid w:val="0036241C"/>
    <w:rsid w:val="0036245F"/>
    <w:rsid w:val="003636CD"/>
    <w:rsid w:val="00363FD0"/>
    <w:rsid w:val="00364F55"/>
    <w:rsid w:val="00366A19"/>
    <w:rsid w:val="00367F80"/>
    <w:rsid w:val="00370078"/>
    <w:rsid w:val="00370204"/>
    <w:rsid w:val="0037202B"/>
    <w:rsid w:val="0037410D"/>
    <w:rsid w:val="00374EC2"/>
    <w:rsid w:val="00376763"/>
    <w:rsid w:val="003779D6"/>
    <w:rsid w:val="00380A35"/>
    <w:rsid w:val="00381C23"/>
    <w:rsid w:val="003822EC"/>
    <w:rsid w:val="003842D3"/>
    <w:rsid w:val="00385BC6"/>
    <w:rsid w:val="00387833"/>
    <w:rsid w:val="00390001"/>
    <w:rsid w:val="00391B6F"/>
    <w:rsid w:val="00391FC1"/>
    <w:rsid w:val="003928D0"/>
    <w:rsid w:val="00392F39"/>
    <w:rsid w:val="00395924"/>
    <w:rsid w:val="003966A0"/>
    <w:rsid w:val="00397089"/>
    <w:rsid w:val="00397CAE"/>
    <w:rsid w:val="003A3888"/>
    <w:rsid w:val="003A4144"/>
    <w:rsid w:val="003A6544"/>
    <w:rsid w:val="003A7BB0"/>
    <w:rsid w:val="003A7E29"/>
    <w:rsid w:val="003B44E5"/>
    <w:rsid w:val="003B6767"/>
    <w:rsid w:val="003B7003"/>
    <w:rsid w:val="003B72D2"/>
    <w:rsid w:val="003C4302"/>
    <w:rsid w:val="003C4C24"/>
    <w:rsid w:val="003C54ED"/>
    <w:rsid w:val="003D0838"/>
    <w:rsid w:val="003D142B"/>
    <w:rsid w:val="003D1C9A"/>
    <w:rsid w:val="003D25B1"/>
    <w:rsid w:val="003D5FE8"/>
    <w:rsid w:val="003D6967"/>
    <w:rsid w:val="003D7AA2"/>
    <w:rsid w:val="003D7E80"/>
    <w:rsid w:val="003E1D91"/>
    <w:rsid w:val="003E2C39"/>
    <w:rsid w:val="003E3BDA"/>
    <w:rsid w:val="003E6BF2"/>
    <w:rsid w:val="003E757B"/>
    <w:rsid w:val="003E7B42"/>
    <w:rsid w:val="003F17B6"/>
    <w:rsid w:val="003F1E3F"/>
    <w:rsid w:val="003F34EB"/>
    <w:rsid w:val="003F37ED"/>
    <w:rsid w:val="003F4863"/>
    <w:rsid w:val="003F587F"/>
    <w:rsid w:val="003F66D5"/>
    <w:rsid w:val="003F6D47"/>
    <w:rsid w:val="003F768F"/>
    <w:rsid w:val="004047A5"/>
    <w:rsid w:val="0040786E"/>
    <w:rsid w:val="00407F39"/>
    <w:rsid w:val="00410E48"/>
    <w:rsid w:val="004134BC"/>
    <w:rsid w:val="00413E57"/>
    <w:rsid w:val="004142C8"/>
    <w:rsid w:val="00414D74"/>
    <w:rsid w:val="00415EF7"/>
    <w:rsid w:val="004165FA"/>
    <w:rsid w:val="00416D48"/>
    <w:rsid w:val="00424A4F"/>
    <w:rsid w:val="00424F65"/>
    <w:rsid w:val="00425B36"/>
    <w:rsid w:val="00425F05"/>
    <w:rsid w:val="00426B98"/>
    <w:rsid w:val="0043076D"/>
    <w:rsid w:val="00430791"/>
    <w:rsid w:val="00430E21"/>
    <w:rsid w:val="004317E1"/>
    <w:rsid w:val="0043183E"/>
    <w:rsid w:val="00432D5B"/>
    <w:rsid w:val="00432EFB"/>
    <w:rsid w:val="0043345C"/>
    <w:rsid w:val="00434371"/>
    <w:rsid w:val="00435F88"/>
    <w:rsid w:val="00436F1C"/>
    <w:rsid w:val="004400A3"/>
    <w:rsid w:val="0044126D"/>
    <w:rsid w:val="004412A9"/>
    <w:rsid w:val="00441CFC"/>
    <w:rsid w:val="004435D2"/>
    <w:rsid w:val="004443EA"/>
    <w:rsid w:val="00444F3A"/>
    <w:rsid w:val="00445248"/>
    <w:rsid w:val="004453F1"/>
    <w:rsid w:val="00445B15"/>
    <w:rsid w:val="0045113E"/>
    <w:rsid w:val="004544C4"/>
    <w:rsid w:val="00455367"/>
    <w:rsid w:val="00455B92"/>
    <w:rsid w:val="00455FFE"/>
    <w:rsid w:val="0045686B"/>
    <w:rsid w:val="004574BB"/>
    <w:rsid w:val="00457EFF"/>
    <w:rsid w:val="0046392E"/>
    <w:rsid w:val="00463B16"/>
    <w:rsid w:val="004664EE"/>
    <w:rsid w:val="00467577"/>
    <w:rsid w:val="00467D03"/>
    <w:rsid w:val="00470756"/>
    <w:rsid w:val="004730BC"/>
    <w:rsid w:val="00475156"/>
    <w:rsid w:val="00477AE6"/>
    <w:rsid w:val="00480E47"/>
    <w:rsid w:val="00482838"/>
    <w:rsid w:val="00484EF9"/>
    <w:rsid w:val="00485437"/>
    <w:rsid w:val="004856AE"/>
    <w:rsid w:val="00486045"/>
    <w:rsid w:val="00486741"/>
    <w:rsid w:val="00487A12"/>
    <w:rsid w:val="00491435"/>
    <w:rsid w:val="00491D46"/>
    <w:rsid w:val="00491EFA"/>
    <w:rsid w:val="00492E10"/>
    <w:rsid w:val="00494129"/>
    <w:rsid w:val="00494D59"/>
    <w:rsid w:val="00495647"/>
    <w:rsid w:val="00495C60"/>
    <w:rsid w:val="00497DCC"/>
    <w:rsid w:val="004A1708"/>
    <w:rsid w:val="004A1F20"/>
    <w:rsid w:val="004A2A5B"/>
    <w:rsid w:val="004A2BD9"/>
    <w:rsid w:val="004A356F"/>
    <w:rsid w:val="004A6021"/>
    <w:rsid w:val="004A7C68"/>
    <w:rsid w:val="004B2A1C"/>
    <w:rsid w:val="004B320E"/>
    <w:rsid w:val="004B3A8A"/>
    <w:rsid w:val="004B3B0D"/>
    <w:rsid w:val="004B4ADC"/>
    <w:rsid w:val="004B4F14"/>
    <w:rsid w:val="004B7DE4"/>
    <w:rsid w:val="004C12BC"/>
    <w:rsid w:val="004C1A8A"/>
    <w:rsid w:val="004C21AC"/>
    <w:rsid w:val="004C3622"/>
    <w:rsid w:val="004C67F7"/>
    <w:rsid w:val="004C6987"/>
    <w:rsid w:val="004C75AB"/>
    <w:rsid w:val="004D1107"/>
    <w:rsid w:val="004D1F9F"/>
    <w:rsid w:val="004D2853"/>
    <w:rsid w:val="004D59C3"/>
    <w:rsid w:val="004D626E"/>
    <w:rsid w:val="004D6315"/>
    <w:rsid w:val="004D7925"/>
    <w:rsid w:val="004D79AB"/>
    <w:rsid w:val="004E10FC"/>
    <w:rsid w:val="004E2375"/>
    <w:rsid w:val="004E2A7B"/>
    <w:rsid w:val="004E308A"/>
    <w:rsid w:val="004E3D59"/>
    <w:rsid w:val="004E6B03"/>
    <w:rsid w:val="004F1AD0"/>
    <w:rsid w:val="004F488E"/>
    <w:rsid w:val="004F4B86"/>
    <w:rsid w:val="004F6BAB"/>
    <w:rsid w:val="004F6EF5"/>
    <w:rsid w:val="004F7C37"/>
    <w:rsid w:val="00500730"/>
    <w:rsid w:val="00501475"/>
    <w:rsid w:val="00502B0D"/>
    <w:rsid w:val="005035D7"/>
    <w:rsid w:val="00503719"/>
    <w:rsid w:val="00504BD1"/>
    <w:rsid w:val="0051223E"/>
    <w:rsid w:val="00513157"/>
    <w:rsid w:val="005134D0"/>
    <w:rsid w:val="00514A22"/>
    <w:rsid w:val="00514D92"/>
    <w:rsid w:val="00516658"/>
    <w:rsid w:val="00517FC3"/>
    <w:rsid w:val="00521640"/>
    <w:rsid w:val="005225BB"/>
    <w:rsid w:val="005231F5"/>
    <w:rsid w:val="00523B80"/>
    <w:rsid w:val="005245A3"/>
    <w:rsid w:val="0052502E"/>
    <w:rsid w:val="0052605B"/>
    <w:rsid w:val="00526923"/>
    <w:rsid w:val="0053028A"/>
    <w:rsid w:val="00530E34"/>
    <w:rsid w:val="005310DF"/>
    <w:rsid w:val="0053211B"/>
    <w:rsid w:val="00533854"/>
    <w:rsid w:val="0053393F"/>
    <w:rsid w:val="00540AE8"/>
    <w:rsid w:val="005450C3"/>
    <w:rsid w:val="0054557E"/>
    <w:rsid w:val="00547380"/>
    <w:rsid w:val="00547BAD"/>
    <w:rsid w:val="005522AF"/>
    <w:rsid w:val="005527E8"/>
    <w:rsid w:val="00552F77"/>
    <w:rsid w:val="00553A11"/>
    <w:rsid w:val="00554088"/>
    <w:rsid w:val="00554492"/>
    <w:rsid w:val="00554571"/>
    <w:rsid w:val="0055506F"/>
    <w:rsid w:val="005559C3"/>
    <w:rsid w:val="00560536"/>
    <w:rsid w:val="00560BC4"/>
    <w:rsid w:val="00561C88"/>
    <w:rsid w:val="005633D5"/>
    <w:rsid w:val="00563794"/>
    <w:rsid w:val="00564A3A"/>
    <w:rsid w:val="00565695"/>
    <w:rsid w:val="005672C0"/>
    <w:rsid w:val="00570B22"/>
    <w:rsid w:val="00570DB7"/>
    <w:rsid w:val="00570EA1"/>
    <w:rsid w:val="0057348F"/>
    <w:rsid w:val="00574F1C"/>
    <w:rsid w:val="005753C8"/>
    <w:rsid w:val="00576BDA"/>
    <w:rsid w:val="0057760C"/>
    <w:rsid w:val="00580581"/>
    <w:rsid w:val="005813D4"/>
    <w:rsid w:val="00582DE8"/>
    <w:rsid w:val="00583A16"/>
    <w:rsid w:val="005859C0"/>
    <w:rsid w:val="00586F24"/>
    <w:rsid w:val="005903D9"/>
    <w:rsid w:val="00590CD6"/>
    <w:rsid w:val="00591FFA"/>
    <w:rsid w:val="00591FFD"/>
    <w:rsid w:val="005937AA"/>
    <w:rsid w:val="005947D5"/>
    <w:rsid w:val="005947FE"/>
    <w:rsid w:val="00594A6B"/>
    <w:rsid w:val="00595949"/>
    <w:rsid w:val="00595B3E"/>
    <w:rsid w:val="00595EC4"/>
    <w:rsid w:val="00596329"/>
    <w:rsid w:val="00596C74"/>
    <w:rsid w:val="005978D5"/>
    <w:rsid w:val="005A10C2"/>
    <w:rsid w:val="005A2CA3"/>
    <w:rsid w:val="005A3FC4"/>
    <w:rsid w:val="005A5688"/>
    <w:rsid w:val="005A6E37"/>
    <w:rsid w:val="005A7EDA"/>
    <w:rsid w:val="005B1FAB"/>
    <w:rsid w:val="005B2857"/>
    <w:rsid w:val="005B4D8C"/>
    <w:rsid w:val="005B4FA6"/>
    <w:rsid w:val="005B6395"/>
    <w:rsid w:val="005B6909"/>
    <w:rsid w:val="005C0532"/>
    <w:rsid w:val="005C5108"/>
    <w:rsid w:val="005C66C4"/>
    <w:rsid w:val="005C66EB"/>
    <w:rsid w:val="005C6EAA"/>
    <w:rsid w:val="005C6EC0"/>
    <w:rsid w:val="005D0FAE"/>
    <w:rsid w:val="005D2077"/>
    <w:rsid w:val="005D2616"/>
    <w:rsid w:val="005D44DC"/>
    <w:rsid w:val="005D69EC"/>
    <w:rsid w:val="005D7986"/>
    <w:rsid w:val="005E2374"/>
    <w:rsid w:val="005E2E78"/>
    <w:rsid w:val="005E32A7"/>
    <w:rsid w:val="005E4CA5"/>
    <w:rsid w:val="005E6924"/>
    <w:rsid w:val="005F095C"/>
    <w:rsid w:val="005F2EE2"/>
    <w:rsid w:val="005F57C5"/>
    <w:rsid w:val="00600E6A"/>
    <w:rsid w:val="00600FBC"/>
    <w:rsid w:val="0060547B"/>
    <w:rsid w:val="00605CA1"/>
    <w:rsid w:val="00606D26"/>
    <w:rsid w:val="006134FE"/>
    <w:rsid w:val="00614CD3"/>
    <w:rsid w:val="00615819"/>
    <w:rsid w:val="00615D66"/>
    <w:rsid w:val="006179E4"/>
    <w:rsid w:val="0062179E"/>
    <w:rsid w:val="00622630"/>
    <w:rsid w:val="00622881"/>
    <w:rsid w:val="0062290D"/>
    <w:rsid w:val="00624642"/>
    <w:rsid w:val="0062575A"/>
    <w:rsid w:val="006262BE"/>
    <w:rsid w:val="00626D90"/>
    <w:rsid w:val="0063051C"/>
    <w:rsid w:val="00630E45"/>
    <w:rsid w:val="006317AD"/>
    <w:rsid w:val="00631DC1"/>
    <w:rsid w:val="006322C2"/>
    <w:rsid w:val="0063388D"/>
    <w:rsid w:val="006349E2"/>
    <w:rsid w:val="006355A0"/>
    <w:rsid w:val="0063653B"/>
    <w:rsid w:val="00636844"/>
    <w:rsid w:val="006413B3"/>
    <w:rsid w:val="00641559"/>
    <w:rsid w:val="0064186B"/>
    <w:rsid w:val="00641EA7"/>
    <w:rsid w:val="00642E92"/>
    <w:rsid w:val="00643943"/>
    <w:rsid w:val="00643EB3"/>
    <w:rsid w:val="00645C67"/>
    <w:rsid w:val="00646139"/>
    <w:rsid w:val="00646275"/>
    <w:rsid w:val="00647B74"/>
    <w:rsid w:val="00650142"/>
    <w:rsid w:val="006502E4"/>
    <w:rsid w:val="0065060E"/>
    <w:rsid w:val="006515DB"/>
    <w:rsid w:val="006521B7"/>
    <w:rsid w:val="00652CA1"/>
    <w:rsid w:val="0065323A"/>
    <w:rsid w:val="0065484A"/>
    <w:rsid w:val="00655A37"/>
    <w:rsid w:val="00662CB0"/>
    <w:rsid w:val="00667352"/>
    <w:rsid w:val="006718E3"/>
    <w:rsid w:val="00671A49"/>
    <w:rsid w:val="00672D53"/>
    <w:rsid w:val="00673981"/>
    <w:rsid w:val="00674968"/>
    <w:rsid w:val="00680DE6"/>
    <w:rsid w:val="00684265"/>
    <w:rsid w:val="00684B42"/>
    <w:rsid w:val="006852BD"/>
    <w:rsid w:val="00685CDF"/>
    <w:rsid w:val="00686CEC"/>
    <w:rsid w:val="00686E27"/>
    <w:rsid w:val="00692160"/>
    <w:rsid w:val="006937C3"/>
    <w:rsid w:val="00693FAA"/>
    <w:rsid w:val="0069401A"/>
    <w:rsid w:val="00694FFA"/>
    <w:rsid w:val="00696373"/>
    <w:rsid w:val="006974F3"/>
    <w:rsid w:val="00697A22"/>
    <w:rsid w:val="006A10D7"/>
    <w:rsid w:val="006A12DC"/>
    <w:rsid w:val="006A17C8"/>
    <w:rsid w:val="006A2369"/>
    <w:rsid w:val="006A3AD2"/>
    <w:rsid w:val="006A3DFB"/>
    <w:rsid w:val="006A595B"/>
    <w:rsid w:val="006A77E7"/>
    <w:rsid w:val="006B04D5"/>
    <w:rsid w:val="006B2570"/>
    <w:rsid w:val="006B3E80"/>
    <w:rsid w:val="006B4AE4"/>
    <w:rsid w:val="006B5A7A"/>
    <w:rsid w:val="006B5DC4"/>
    <w:rsid w:val="006B75D0"/>
    <w:rsid w:val="006C10B8"/>
    <w:rsid w:val="006C1DBB"/>
    <w:rsid w:val="006C2407"/>
    <w:rsid w:val="006D0A58"/>
    <w:rsid w:val="006D0D59"/>
    <w:rsid w:val="006D143A"/>
    <w:rsid w:val="006D47AE"/>
    <w:rsid w:val="006D4FDC"/>
    <w:rsid w:val="006D5932"/>
    <w:rsid w:val="006D60C5"/>
    <w:rsid w:val="006D6D46"/>
    <w:rsid w:val="006D703D"/>
    <w:rsid w:val="006E12C3"/>
    <w:rsid w:val="006E1C58"/>
    <w:rsid w:val="006E25C4"/>
    <w:rsid w:val="006E31C6"/>
    <w:rsid w:val="006E67E7"/>
    <w:rsid w:val="006F003B"/>
    <w:rsid w:val="006F2712"/>
    <w:rsid w:val="006F3E09"/>
    <w:rsid w:val="006F6394"/>
    <w:rsid w:val="006F690D"/>
    <w:rsid w:val="0070437B"/>
    <w:rsid w:val="00704F75"/>
    <w:rsid w:val="0070511A"/>
    <w:rsid w:val="00705A9F"/>
    <w:rsid w:val="00705FBA"/>
    <w:rsid w:val="00706477"/>
    <w:rsid w:val="007068E3"/>
    <w:rsid w:val="00706996"/>
    <w:rsid w:val="00710680"/>
    <w:rsid w:val="00711176"/>
    <w:rsid w:val="007122B3"/>
    <w:rsid w:val="00712A37"/>
    <w:rsid w:val="007130BE"/>
    <w:rsid w:val="00713544"/>
    <w:rsid w:val="00713E80"/>
    <w:rsid w:val="00715A6A"/>
    <w:rsid w:val="00715B1B"/>
    <w:rsid w:val="00720996"/>
    <w:rsid w:val="007214AB"/>
    <w:rsid w:val="007214F9"/>
    <w:rsid w:val="00722644"/>
    <w:rsid w:val="007233E8"/>
    <w:rsid w:val="00723B52"/>
    <w:rsid w:val="00726CF3"/>
    <w:rsid w:val="007273E9"/>
    <w:rsid w:val="00730EA6"/>
    <w:rsid w:val="00731B60"/>
    <w:rsid w:val="007346A7"/>
    <w:rsid w:val="00736C02"/>
    <w:rsid w:val="007405D6"/>
    <w:rsid w:val="00741D81"/>
    <w:rsid w:val="00743637"/>
    <w:rsid w:val="00744124"/>
    <w:rsid w:val="007443B8"/>
    <w:rsid w:val="0074557B"/>
    <w:rsid w:val="00745C71"/>
    <w:rsid w:val="00746179"/>
    <w:rsid w:val="007477DC"/>
    <w:rsid w:val="00747CF2"/>
    <w:rsid w:val="0075174B"/>
    <w:rsid w:val="0075311A"/>
    <w:rsid w:val="00753D85"/>
    <w:rsid w:val="00753F7E"/>
    <w:rsid w:val="007556B0"/>
    <w:rsid w:val="0075674A"/>
    <w:rsid w:val="0076216C"/>
    <w:rsid w:val="00763509"/>
    <w:rsid w:val="007760B2"/>
    <w:rsid w:val="00776217"/>
    <w:rsid w:val="00776E9F"/>
    <w:rsid w:val="0078156C"/>
    <w:rsid w:val="00781F3D"/>
    <w:rsid w:val="00783C74"/>
    <w:rsid w:val="00784043"/>
    <w:rsid w:val="00784069"/>
    <w:rsid w:val="007874EE"/>
    <w:rsid w:val="00792D9E"/>
    <w:rsid w:val="00793645"/>
    <w:rsid w:val="00794323"/>
    <w:rsid w:val="00794E69"/>
    <w:rsid w:val="007966AD"/>
    <w:rsid w:val="00796D3A"/>
    <w:rsid w:val="007A01D5"/>
    <w:rsid w:val="007A041E"/>
    <w:rsid w:val="007A3A75"/>
    <w:rsid w:val="007A41F5"/>
    <w:rsid w:val="007A4202"/>
    <w:rsid w:val="007A46FB"/>
    <w:rsid w:val="007A505E"/>
    <w:rsid w:val="007A5D77"/>
    <w:rsid w:val="007A61FD"/>
    <w:rsid w:val="007A6AFE"/>
    <w:rsid w:val="007B255B"/>
    <w:rsid w:val="007B5071"/>
    <w:rsid w:val="007B5A5D"/>
    <w:rsid w:val="007B7185"/>
    <w:rsid w:val="007B73D0"/>
    <w:rsid w:val="007C01B4"/>
    <w:rsid w:val="007C1994"/>
    <w:rsid w:val="007C34FB"/>
    <w:rsid w:val="007C5B5C"/>
    <w:rsid w:val="007C6E90"/>
    <w:rsid w:val="007D40C6"/>
    <w:rsid w:val="007D552A"/>
    <w:rsid w:val="007D5AA7"/>
    <w:rsid w:val="007D662F"/>
    <w:rsid w:val="007E0126"/>
    <w:rsid w:val="007E01D4"/>
    <w:rsid w:val="007E346C"/>
    <w:rsid w:val="007E3F49"/>
    <w:rsid w:val="007E4C63"/>
    <w:rsid w:val="007E528D"/>
    <w:rsid w:val="007E6C25"/>
    <w:rsid w:val="007F02C7"/>
    <w:rsid w:val="007F0A64"/>
    <w:rsid w:val="007F2F85"/>
    <w:rsid w:val="007F3252"/>
    <w:rsid w:val="007F351E"/>
    <w:rsid w:val="007F4706"/>
    <w:rsid w:val="007F4797"/>
    <w:rsid w:val="007F5AC0"/>
    <w:rsid w:val="007F6971"/>
    <w:rsid w:val="007F6EC2"/>
    <w:rsid w:val="007F7193"/>
    <w:rsid w:val="00800332"/>
    <w:rsid w:val="00800E16"/>
    <w:rsid w:val="00804730"/>
    <w:rsid w:val="00806FB2"/>
    <w:rsid w:val="00812104"/>
    <w:rsid w:val="00812E0A"/>
    <w:rsid w:val="008162B7"/>
    <w:rsid w:val="008209BE"/>
    <w:rsid w:val="00821C1E"/>
    <w:rsid w:val="00825D74"/>
    <w:rsid w:val="00826AF0"/>
    <w:rsid w:val="00827DDB"/>
    <w:rsid w:val="00830CDB"/>
    <w:rsid w:val="0083267F"/>
    <w:rsid w:val="00833C6B"/>
    <w:rsid w:val="00833C74"/>
    <w:rsid w:val="008365B8"/>
    <w:rsid w:val="0084141F"/>
    <w:rsid w:val="008435D5"/>
    <w:rsid w:val="00843D01"/>
    <w:rsid w:val="00843E76"/>
    <w:rsid w:val="008463EB"/>
    <w:rsid w:val="0084648A"/>
    <w:rsid w:val="008467DA"/>
    <w:rsid w:val="008477A2"/>
    <w:rsid w:val="0084781C"/>
    <w:rsid w:val="0085242A"/>
    <w:rsid w:val="0085244B"/>
    <w:rsid w:val="00853991"/>
    <w:rsid w:val="00854713"/>
    <w:rsid w:val="008560BB"/>
    <w:rsid w:val="00861169"/>
    <w:rsid w:val="008642A6"/>
    <w:rsid w:val="008649F5"/>
    <w:rsid w:val="00865433"/>
    <w:rsid w:val="00865AB3"/>
    <w:rsid w:val="00865D55"/>
    <w:rsid w:val="00866CD8"/>
    <w:rsid w:val="008670AF"/>
    <w:rsid w:val="008674E9"/>
    <w:rsid w:val="008729EC"/>
    <w:rsid w:val="00872F9E"/>
    <w:rsid w:val="00873898"/>
    <w:rsid w:val="00873DF2"/>
    <w:rsid w:val="0087673D"/>
    <w:rsid w:val="008854C1"/>
    <w:rsid w:val="008854FB"/>
    <w:rsid w:val="00887A5B"/>
    <w:rsid w:val="00890282"/>
    <w:rsid w:val="008917D3"/>
    <w:rsid w:val="00893B4D"/>
    <w:rsid w:val="00894516"/>
    <w:rsid w:val="008948C8"/>
    <w:rsid w:val="0089557B"/>
    <w:rsid w:val="00897C44"/>
    <w:rsid w:val="00897F1E"/>
    <w:rsid w:val="008A0A8D"/>
    <w:rsid w:val="008A0AA7"/>
    <w:rsid w:val="008A4274"/>
    <w:rsid w:val="008A5895"/>
    <w:rsid w:val="008A77A6"/>
    <w:rsid w:val="008B2B48"/>
    <w:rsid w:val="008B2D43"/>
    <w:rsid w:val="008B3FB6"/>
    <w:rsid w:val="008C1609"/>
    <w:rsid w:val="008C1E34"/>
    <w:rsid w:val="008C3DD7"/>
    <w:rsid w:val="008C6B1B"/>
    <w:rsid w:val="008C7206"/>
    <w:rsid w:val="008C758E"/>
    <w:rsid w:val="008D1EE6"/>
    <w:rsid w:val="008D2924"/>
    <w:rsid w:val="008D3101"/>
    <w:rsid w:val="008D427C"/>
    <w:rsid w:val="008D754F"/>
    <w:rsid w:val="008D79F0"/>
    <w:rsid w:val="008D7E97"/>
    <w:rsid w:val="008E0684"/>
    <w:rsid w:val="008E319B"/>
    <w:rsid w:val="008E6C0D"/>
    <w:rsid w:val="008E7342"/>
    <w:rsid w:val="008F32B1"/>
    <w:rsid w:val="008F4417"/>
    <w:rsid w:val="008F5CBD"/>
    <w:rsid w:val="008F78C4"/>
    <w:rsid w:val="00901800"/>
    <w:rsid w:val="009047EB"/>
    <w:rsid w:val="00905E4A"/>
    <w:rsid w:val="00907A9C"/>
    <w:rsid w:val="00913B91"/>
    <w:rsid w:val="00913C3A"/>
    <w:rsid w:val="00913F85"/>
    <w:rsid w:val="009150C7"/>
    <w:rsid w:val="00916394"/>
    <w:rsid w:val="00920759"/>
    <w:rsid w:val="00921E66"/>
    <w:rsid w:val="009229A3"/>
    <w:rsid w:val="00922CFC"/>
    <w:rsid w:val="00923A8D"/>
    <w:rsid w:val="00924D42"/>
    <w:rsid w:val="00924D4D"/>
    <w:rsid w:val="00924DF6"/>
    <w:rsid w:val="00926734"/>
    <w:rsid w:val="009316DB"/>
    <w:rsid w:val="00932A9A"/>
    <w:rsid w:val="009374EA"/>
    <w:rsid w:val="0093780A"/>
    <w:rsid w:val="00937F65"/>
    <w:rsid w:val="00940250"/>
    <w:rsid w:val="009406CF"/>
    <w:rsid w:val="0094176B"/>
    <w:rsid w:val="00942BB1"/>
    <w:rsid w:val="00945101"/>
    <w:rsid w:val="009464D0"/>
    <w:rsid w:val="00947026"/>
    <w:rsid w:val="00947A60"/>
    <w:rsid w:val="00951388"/>
    <w:rsid w:val="00951ACA"/>
    <w:rsid w:val="00952AD2"/>
    <w:rsid w:val="0095367E"/>
    <w:rsid w:val="00953891"/>
    <w:rsid w:val="00954F8B"/>
    <w:rsid w:val="0095567B"/>
    <w:rsid w:val="00955B65"/>
    <w:rsid w:val="00955BF7"/>
    <w:rsid w:val="009562F3"/>
    <w:rsid w:val="00961BD5"/>
    <w:rsid w:val="00962D90"/>
    <w:rsid w:val="00964DBB"/>
    <w:rsid w:val="00966BAB"/>
    <w:rsid w:val="00967829"/>
    <w:rsid w:val="00967A4D"/>
    <w:rsid w:val="0097036E"/>
    <w:rsid w:val="00971A23"/>
    <w:rsid w:val="00974ED5"/>
    <w:rsid w:val="009762E0"/>
    <w:rsid w:val="009764E7"/>
    <w:rsid w:val="0098222B"/>
    <w:rsid w:val="00987648"/>
    <w:rsid w:val="0098775B"/>
    <w:rsid w:val="00987D9D"/>
    <w:rsid w:val="009933C3"/>
    <w:rsid w:val="009937D6"/>
    <w:rsid w:val="00993B99"/>
    <w:rsid w:val="0099430C"/>
    <w:rsid w:val="009A0FE5"/>
    <w:rsid w:val="009A118E"/>
    <w:rsid w:val="009A3235"/>
    <w:rsid w:val="009A43E5"/>
    <w:rsid w:val="009B5CB5"/>
    <w:rsid w:val="009C0559"/>
    <w:rsid w:val="009C0DA4"/>
    <w:rsid w:val="009C222E"/>
    <w:rsid w:val="009C45EF"/>
    <w:rsid w:val="009C4FE5"/>
    <w:rsid w:val="009C58F4"/>
    <w:rsid w:val="009C779B"/>
    <w:rsid w:val="009D6342"/>
    <w:rsid w:val="009D7384"/>
    <w:rsid w:val="009D7522"/>
    <w:rsid w:val="009E0968"/>
    <w:rsid w:val="009E0B90"/>
    <w:rsid w:val="009E1E28"/>
    <w:rsid w:val="009E2605"/>
    <w:rsid w:val="009E2872"/>
    <w:rsid w:val="009E4489"/>
    <w:rsid w:val="009E5248"/>
    <w:rsid w:val="009E60FD"/>
    <w:rsid w:val="009E71B0"/>
    <w:rsid w:val="009E7281"/>
    <w:rsid w:val="009E7941"/>
    <w:rsid w:val="009E7FE9"/>
    <w:rsid w:val="009F0CB0"/>
    <w:rsid w:val="009F3467"/>
    <w:rsid w:val="009F54CE"/>
    <w:rsid w:val="00A00139"/>
    <w:rsid w:val="00A001E7"/>
    <w:rsid w:val="00A01856"/>
    <w:rsid w:val="00A01A91"/>
    <w:rsid w:val="00A04143"/>
    <w:rsid w:val="00A043E9"/>
    <w:rsid w:val="00A04EDD"/>
    <w:rsid w:val="00A05A69"/>
    <w:rsid w:val="00A06918"/>
    <w:rsid w:val="00A10138"/>
    <w:rsid w:val="00A10357"/>
    <w:rsid w:val="00A108F2"/>
    <w:rsid w:val="00A10BE2"/>
    <w:rsid w:val="00A115E5"/>
    <w:rsid w:val="00A13A8B"/>
    <w:rsid w:val="00A14849"/>
    <w:rsid w:val="00A16A0E"/>
    <w:rsid w:val="00A21BB9"/>
    <w:rsid w:val="00A21DF4"/>
    <w:rsid w:val="00A21E1B"/>
    <w:rsid w:val="00A21E82"/>
    <w:rsid w:val="00A25538"/>
    <w:rsid w:val="00A25DED"/>
    <w:rsid w:val="00A265FD"/>
    <w:rsid w:val="00A26B77"/>
    <w:rsid w:val="00A27858"/>
    <w:rsid w:val="00A307AD"/>
    <w:rsid w:val="00A30C86"/>
    <w:rsid w:val="00A3399C"/>
    <w:rsid w:val="00A3638E"/>
    <w:rsid w:val="00A37BBC"/>
    <w:rsid w:val="00A40847"/>
    <w:rsid w:val="00A426F2"/>
    <w:rsid w:val="00A434A2"/>
    <w:rsid w:val="00A434C2"/>
    <w:rsid w:val="00A456DB"/>
    <w:rsid w:val="00A52AC4"/>
    <w:rsid w:val="00A52F5A"/>
    <w:rsid w:val="00A54F75"/>
    <w:rsid w:val="00A554A6"/>
    <w:rsid w:val="00A566C4"/>
    <w:rsid w:val="00A56795"/>
    <w:rsid w:val="00A5725D"/>
    <w:rsid w:val="00A575E9"/>
    <w:rsid w:val="00A60BF6"/>
    <w:rsid w:val="00A64F68"/>
    <w:rsid w:val="00A65525"/>
    <w:rsid w:val="00A66549"/>
    <w:rsid w:val="00A67C43"/>
    <w:rsid w:val="00A70211"/>
    <w:rsid w:val="00A71EC5"/>
    <w:rsid w:val="00A73505"/>
    <w:rsid w:val="00A7432A"/>
    <w:rsid w:val="00A75449"/>
    <w:rsid w:val="00A8114B"/>
    <w:rsid w:val="00A81750"/>
    <w:rsid w:val="00A82CC3"/>
    <w:rsid w:val="00A87E01"/>
    <w:rsid w:val="00A918C9"/>
    <w:rsid w:val="00A966EE"/>
    <w:rsid w:val="00AA1736"/>
    <w:rsid w:val="00AA3982"/>
    <w:rsid w:val="00AA63C3"/>
    <w:rsid w:val="00AA7095"/>
    <w:rsid w:val="00AA739D"/>
    <w:rsid w:val="00AB43C2"/>
    <w:rsid w:val="00AB456A"/>
    <w:rsid w:val="00AB5322"/>
    <w:rsid w:val="00AB6782"/>
    <w:rsid w:val="00AC05BC"/>
    <w:rsid w:val="00AC0987"/>
    <w:rsid w:val="00AC0D0A"/>
    <w:rsid w:val="00AC236C"/>
    <w:rsid w:val="00AC24B4"/>
    <w:rsid w:val="00AC343C"/>
    <w:rsid w:val="00AC480B"/>
    <w:rsid w:val="00AC5658"/>
    <w:rsid w:val="00AC59F8"/>
    <w:rsid w:val="00AC5A8B"/>
    <w:rsid w:val="00AC6499"/>
    <w:rsid w:val="00AC7333"/>
    <w:rsid w:val="00AC7774"/>
    <w:rsid w:val="00AD1DA3"/>
    <w:rsid w:val="00AD3185"/>
    <w:rsid w:val="00AD35B5"/>
    <w:rsid w:val="00AD3B6C"/>
    <w:rsid w:val="00AD4E91"/>
    <w:rsid w:val="00AD5763"/>
    <w:rsid w:val="00AD6263"/>
    <w:rsid w:val="00AD6764"/>
    <w:rsid w:val="00AD6D66"/>
    <w:rsid w:val="00AE27B1"/>
    <w:rsid w:val="00AE3106"/>
    <w:rsid w:val="00AE3716"/>
    <w:rsid w:val="00AE5AB2"/>
    <w:rsid w:val="00AE63CB"/>
    <w:rsid w:val="00AE6F2A"/>
    <w:rsid w:val="00AE7599"/>
    <w:rsid w:val="00AF2228"/>
    <w:rsid w:val="00AF61E8"/>
    <w:rsid w:val="00AF7590"/>
    <w:rsid w:val="00AF7EB5"/>
    <w:rsid w:val="00B0306B"/>
    <w:rsid w:val="00B0381D"/>
    <w:rsid w:val="00B03EF4"/>
    <w:rsid w:val="00B04104"/>
    <w:rsid w:val="00B042C1"/>
    <w:rsid w:val="00B05422"/>
    <w:rsid w:val="00B0544C"/>
    <w:rsid w:val="00B05E2C"/>
    <w:rsid w:val="00B05F4C"/>
    <w:rsid w:val="00B06792"/>
    <w:rsid w:val="00B06B41"/>
    <w:rsid w:val="00B12158"/>
    <w:rsid w:val="00B1270B"/>
    <w:rsid w:val="00B1370A"/>
    <w:rsid w:val="00B15D4E"/>
    <w:rsid w:val="00B17250"/>
    <w:rsid w:val="00B17833"/>
    <w:rsid w:val="00B243C1"/>
    <w:rsid w:val="00B25744"/>
    <w:rsid w:val="00B266E0"/>
    <w:rsid w:val="00B268C9"/>
    <w:rsid w:val="00B27155"/>
    <w:rsid w:val="00B35B91"/>
    <w:rsid w:val="00B35C30"/>
    <w:rsid w:val="00B35FA2"/>
    <w:rsid w:val="00B369F5"/>
    <w:rsid w:val="00B41951"/>
    <w:rsid w:val="00B4286B"/>
    <w:rsid w:val="00B50DA4"/>
    <w:rsid w:val="00B54930"/>
    <w:rsid w:val="00B564E7"/>
    <w:rsid w:val="00B57493"/>
    <w:rsid w:val="00B575A6"/>
    <w:rsid w:val="00B600D8"/>
    <w:rsid w:val="00B64998"/>
    <w:rsid w:val="00B73127"/>
    <w:rsid w:val="00B738BF"/>
    <w:rsid w:val="00B73B6A"/>
    <w:rsid w:val="00B7559F"/>
    <w:rsid w:val="00B75955"/>
    <w:rsid w:val="00B764D5"/>
    <w:rsid w:val="00B775F9"/>
    <w:rsid w:val="00B81625"/>
    <w:rsid w:val="00B8209B"/>
    <w:rsid w:val="00B82461"/>
    <w:rsid w:val="00B83D86"/>
    <w:rsid w:val="00B85498"/>
    <w:rsid w:val="00B85751"/>
    <w:rsid w:val="00B86C8A"/>
    <w:rsid w:val="00B907BC"/>
    <w:rsid w:val="00B91EE9"/>
    <w:rsid w:val="00B931CC"/>
    <w:rsid w:val="00B93E3C"/>
    <w:rsid w:val="00BA0901"/>
    <w:rsid w:val="00BA1060"/>
    <w:rsid w:val="00BA2254"/>
    <w:rsid w:val="00BA3300"/>
    <w:rsid w:val="00BA34ED"/>
    <w:rsid w:val="00BA4731"/>
    <w:rsid w:val="00BA4AD7"/>
    <w:rsid w:val="00BA666B"/>
    <w:rsid w:val="00BB4F42"/>
    <w:rsid w:val="00BC02EA"/>
    <w:rsid w:val="00BC152F"/>
    <w:rsid w:val="00BC2F7E"/>
    <w:rsid w:val="00BC467D"/>
    <w:rsid w:val="00BC4D7F"/>
    <w:rsid w:val="00BD0E08"/>
    <w:rsid w:val="00BD1266"/>
    <w:rsid w:val="00BD1C4A"/>
    <w:rsid w:val="00BD1FB7"/>
    <w:rsid w:val="00BD276F"/>
    <w:rsid w:val="00BD390C"/>
    <w:rsid w:val="00BD3973"/>
    <w:rsid w:val="00BD3EB1"/>
    <w:rsid w:val="00BD4D48"/>
    <w:rsid w:val="00BD5E4C"/>
    <w:rsid w:val="00BD6289"/>
    <w:rsid w:val="00BD7527"/>
    <w:rsid w:val="00BD7FE8"/>
    <w:rsid w:val="00BE3A96"/>
    <w:rsid w:val="00BE4025"/>
    <w:rsid w:val="00BE46D3"/>
    <w:rsid w:val="00BE520B"/>
    <w:rsid w:val="00BE6801"/>
    <w:rsid w:val="00BE69E0"/>
    <w:rsid w:val="00BF37C7"/>
    <w:rsid w:val="00BF3C56"/>
    <w:rsid w:val="00BF3D89"/>
    <w:rsid w:val="00BF4507"/>
    <w:rsid w:val="00BF7236"/>
    <w:rsid w:val="00C00F71"/>
    <w:rsid w:val="00C03A9A"/>
    <w:rsid w:val="00C046A1"/>
    <w:rsid w:val="00C048AB"/>
    <w:rsid w:val="00C05B43"/>
    <w:rsid w:val="00C06B40"/>
    <w:rsid w:val="00C07C0A"/>
    <w:rsid w:val="00C10AE8"/>
    <w:rsid w:val="00C11E5A"/>
    <w:rsid w:val="00C127D3"/>
    <w:rsid w:val="00C13EFE"/>
    <w:rsid w:val="00C14235"/>
    <w:rsid w:val="00C146FF"/>
    <w:rsid w:val="00C14C5F"/>
    <w:rsid w:val="00C15E9E"/>
    <w:rsid w:val="00C206BF"/>
    <w:rsid w:val="00C207DC"/>
    <w:rsid w:val="00C20E20"/>
    <w:rsid w:val="00C212FF"/>
    <w:rsid w:val="00C2152A"/>
    <w:rsid w:val="00C2169F"/>
    <w:rsid w:val="00C23809"/>
    <w:rsid w:val="00C24740"/>
    <w:rsid w:val="00C2476F"/>
    <w:rsid w:val="00C24FC8"/>
    <w:rsid w:val="00C251AC"/>
    <w:rsid w:val="00C26FBE"/>
    <w:rsid w:val="00C3373B"/>
    <w:rsid w:val="00C36A5F"/>
    <w:rsid w:val="00C36CE6"/>
    <w:rsid w:val="00C37219"/>
    <w:rsid w:val="00C37652"/>
    <w:rsid w:val="00C37A18"/>
    <w:rsid w:val="00C425BB"/>
    <w:rsid w:val="00C427E2"/>
    <w:rsid w:val="00C43A0B"/>
    <w:rsid w:val="00C44BAE"/>
    <w:rsid w:val="00C45378"/>
    <w:rsid w:val="00C45803"/>
    <w:rsid w:val="00C46813"/>
    <w:rsid w:val="00C47C87"/>
    <w:rsid w:val="00C51795"/>
    <w:rsid w:val="00C51EC6"/>
    <w:rsid w:val="00C532F8"/>
    <w:rsid w:val="00C5425F"/>
    <w:rsid w:val="00C54358"/>
    <w:rsid w:val="00C554FA"/>
    <w:rsid w:val="00C55CCB"/>
    <w:rsid w:val="00C57ACD"/>
    <w:rsid w:val="00C57D77"/>
    <w:rsid w:val="00C618AF"/>
    <w:rsid w:val="00C62CFB"/>
    <w:rsid w:val="00C631E3"/>
    <w:rsid w:val="00C639C4"/>
    <w:rsid w:val="00C653FA"/>
    <w:rsid w:val="00C65E74"/>
    <w:rsid w:val="00C6658C"/>
    <w:rsid w:val="00C70A7A"/>
    <w:rsid w:val="00C70D2C"/>
    <w:rsid w:val="00C72EC5"/>
    <w:rsid w:val="00C74504"/>
    <w:rsid w:val="00C7509C"/>
    <w:rsid w:val="00C7611C"/>
    <w:rsid w:val="00C766C7"/>
    <w:rsid w:val="00C77320"/>
    <w:rsid w:val="00C80726"/>
    <w:rsid w:val="00C8126C"/>
    <w:rsid w:val="00C8153D"/>
    <w:rsid w:val="00C82CF7"/>
    <w:rsid w:val="00C846CC"/>
    <w:rsid w:val="00C85F1D"/>
    <w:rsid w:val="00C85F80"/>
    <w:rsid w:val="00C86309"/>
    <w:rsid w:val="00C9032F"/>
    <w:rsid w:val="00C946C2"/>
    <w:rsid w:val="00C946EA"/>
    <w:rsid w:val="00C95412"/>
    <w:rsid w:val="00C95572"/>
    <w:rsid w:val="00C9592E"/>
    <w:rsid w:val="00C959EB"/>
    <w:rsid w:val="00C97507"/>
    <w:rsid w:val="00CA19D0"/>
    <w:rsid w:val="00CA2FC5"/>
    <w:rsid w:val="00CA395D"/>
    <w:rsid w:val="00CB0591"/>
    <w:rsid w:val="00CB75E0"/>
    <w:rsid w:val="00CC0CB8"/>
    <w:rsid w:val="00CC12A7"/>
    <w:rsid w:val="00CC2094"/>
    <w:rsid w:val="00CC2BB3"/>
    <w:rsid w:val="00CC3053"/>
    <w:rsid w:val="00CC3F10"/>
    <w:rsid w:val="00CC56AC"/>
    <w:rsid w:val="00CD4A41"/>
    <w:rsid w:val="00CD5860"/>
    <w:rsid w:val="00CD6994"/>
    <w:rsid w:val="00CD6BB4"/>
    <w:rsid w:val="00CD7921"/>
    <w:rsid w:val="00CD7D94"/>
    <w:rsid w:val="00CE0753"/>
    <w:rsid w:val="00CE0EB0"/>
    <w:rsid w:val="00CE19F6"/>
    <w:rsid w:val="00CE1A53"/>
    <w:rsid w:val="00CE2533"/>
    <w:rsid w:val="00CE3B81"/>
    <w:rsid w:val="00CE570F"/>
    <w:rsid w:val="00CF33D9"/>
    <w:rsid w:val="00CF4910"/>
    <w:rsid w:val="00CF54B9"/>
    <w:rsid w:val="00CF58AE"/>
    <w:rsid w:val="00CF5D4A"/>
    <w:rsid w:val="00CF74FE"/>
    <w:rsid w:val="00CF7527"/>
    <w:rsid w:val="00D01567"/>
    <w:rsid w:val="00D03F16"/>
    <w:rsid w:val="00D044C9"/>
    <w:rsid w:val="00D063B2"/>
    <w:rsid w:val="00D0649C"/>
    <w:rsid w:val="00D11B6C"/>
    <w:rsid w:val="00D1310F"/>
    <w:rsid w:val="00D14C79"/>
    <w:rsid w:val="00D14E4E"/>
    <w:rsid w:val="00D167D4"/>
    <w:rsid w:val="00D16BD5"/>
    <w:rsid w:val="00D1764E"/>
    <w:rsid w:val="00D228EF"/>
    <w:rsid w:val="00D2391A"/>
    <w:rsid w:val="00D25A6A"/>
    <w:rsid w:val="00D26028"/>
    <w:rsid w:val="00D31122"/>
    <w:rsid w:val="00D31AEE"/>
    <w:rsid w:val="00D320AA"/>
    <w:rsid w:val="00D3255B"/>
    <w:rsid w:val="00D33315"/>
    <w:rsid w:val="00D363B7"/>
    <w:rsid w:val="00D42C4B"/>
    <w:rsid w:val="00D44482"/>
    <w:rsid w:val="00D45511"/>
    <w:rsid w:val="00D4553D"/>
    <w:rsid w:val="00D45D71"/>
    <w:rsid w:val="00D45D95"/>
    <w:rsid w:val="00D46997"/>
    <w:rsid w:val="00D50635"/>
    <w:rsid w:val="00D507E3"/>
    <w:rsid w:val="00D510C2"/>
    <w:rsid w:val="00D523BF"/>
    <w:rsid w:val="00D5482B"/>
    <w:rsid w:val="00D5500F"/>
    <w:rsid w:val="00D56785"/>
    <w:rsid w:val="00D6237A"/>
    <w:rsid w:val="00D63966"/>
    <w:rsid w:val="00D63E02"/>
    <w:rsid w:val="00D64A1B"/>
    <w:rsid w:val="00D65302"/>
    <w:rsid w:val="00D716AD"/>
    <w:rsid w:val="00D73773"/>
    <w:rsid w:val="00D748E5"/>
    <w:rsid w:val="00D74942"/>
    <w:rsid w:val="00D75497"/>
    <w:rsid w:val="00D83EF5"/>
    <w:rsid w:val="00D85503"/>
    <w:rsid w:val="00D871A4"/>
    <w:rsid w:val="00D87411"/>
    <w:rsid w:val="00D918AE"/>
    <w:rsid w:val="00D9428F"/>
    <w:rsid w:val="00D9517E"/>
    <w:rsid w:val="00D96B7A"/>
    <w:rsid w:val="00DA07F3"/>
    <w:rsid w:val="00DA098E"/>
    <w:rsid w:val="00DA1398"/>
    <w:rsid w:val="00DA16F4"/>
    <w:rsid w:val="00DA2250"/>
    <w:rsid w:val="00DA336C"/>
    <w:rsid w:val="00DA3B06"/>
    <w:rsid w:val="00DA4BBC"/>
    <w:rsid w:val="00DA5125"/>
    <w:rsid w:val="00DA5E84"/>
    <w:rsid w:val="00DA654D"/>
    <w:rsid w:val="00DA6DE9"/>
    <w:rsid w:val="00DA7C02"/>
    <w:rsid w:val="00DA7E9B"/>
    <w:rsid w:val="00DB03B8"/>
    <w:rsid w:val="00DB2D2C"/>
    <w:rsid w:val="00DB5CE2"/>
    <w:rsid w:val="00DC2BC9"/>
    <w:rsid w:val="00DC37C8"/>
    <w:rsid w:val="00DC3A11"/>
    <w:rsid w:val="00DC4796"/>
    <w:rsid w:val="00DC51D7"/>
    <w:rsid w:val="00DC5411"/>
    <w:rsid w:val="00DC65D3"/>
    <w:rsid w:val="00DD457D"/>
    <w:rsid w:val="00DD6314"/>
    <w:rsid w:val="00DE020B"/>
    <w:rsid w:val="00DE06E6"/>
    <w:rsid w:val="00DE10BD"/>
    <w:rsid w:val="00DE212C"/>
    <w:rsid w:val="00DE331E"/>
    <w:rsid w:val="00DE5869"/>
    <w:rsid w:val="00DE71D7"/>
    <w:rsid w:val="00DE7300"/>
    <w:rsid w:val="00DF0A86"/>
    <w:rsid w:val="00DF1FF6"/>
    <w:rsid w:val="00DF2C37"/>
    <w:rsid w:val="00DF4483"/>
    <w:rsid w:val="00DF6819"/>
    <w:rsid w:val="00DF7BDD"/>
    <w:rsid w:val="00E0098D"/>
    <w:rsid w:val="00E01A0F"/>
    <w:rsid w:val="00E0356B"/>
    <w:rsid w:val="00E05361"/>
    <w:rsid w:val="00E07259"/>
    <w:rsid w:val="00E0775F"/>
    <w:rsid w:val="00E101DA"/>
    <w:rsid w:val="00E107B5"/>
    <w:rsid w:val="00E10981"/>
    <w:rsid w:val="00E11C75"/>
    <w:rsid w:val="00E12B98"/>
    <w:rsid w:val="00E140BB"/>
    <w:rsid w:val="00E16329"/>
    <w:rsid w:val="00E23A78"/>
    <w:rsid w:val="00E24D45"/>
    <w:rsid w:val="00E2560D"/>
    <w:rsid w:val="00E335D3"/>
    <w:rsid w:val="00E3402A"/>
    <w:rsid w:val="00E34EC1"/>
    <w:rsid w:val="00E43E23"/>
    <w:rsid w:val="00E51993"/>
    <w:rsid w:val="00E5305D"/>
    <w:rsid w:val="00E55A1C"/>
    <w:rsid w:val="00E5657A"/>
    <w:rsid w:val="00E632E1"/>
    <w:rsid w:val="00E63CEC"/>
    <w:rsid w:val="00E64EA1"/>
    <w:rsid w:val="00E656A7"/>
    <w:rsid w:val="00E7080B"/>
    <w:rsid w:val="00E730E8"/>
    <w:rsid w:val="00E7346F"/>
    <w:rsid w:val="00E7486D"/>
    <w:rsid w:val="00E767B5"/>
    <w:rsid w:val="00E8196B"/>
    <w:rsid w:val="00E829BD"/>
    <w:rsid w:val="00E82C11"/>
    <w:rsid w:val="00E82CE5"/>
    <w:rsid w:val="00E832A2"/>
    <w:rsid w:val="00E838B8"/>
    <w:rsid w:val="00E8508B"/>
    <w:rsid w:val="00E85CCE"/>
    <w:rsid w:val="00E86200"/>
    <w:rsid w:val="00E86602"/>
    <w:rsid w:val="00E90B8B"/>
    <w:rsid w:val="00E9179D"/>
    <w:rsid w:val="00E92145"/>
    <w:rsid w:val="00E94C64"/>
    <w:rsid w:val="00E954AC"/>
    <w:rsid w:val="00E95AF2"/>
    <w:rsid w:val="00E971A1"/>
    <w:rsid w:val="00E97FAE"/>
    <w:rsid w:val="00EA5A89"/>
    <w:rsid w:val="00EA5C64"/>
    <w:rsid w:val="00EA75A3"/>
    <w:rsid w:val="00EB1B9B"/>
    <w:rsid w:val="00EB28EE"/>
    <w:rsid w:val="00EB464D"/>
    <w:rsid w:val="00EB4919"/>
    <w:rsid w:val="00EB591F"/>
    <w:rsid w:val="00EB72BE"/>
    <w:rsid w:val="00EC3536"/>
    <w:rsid w:val="00EC5879"/>
    <w:rsid w:val="00EC79AF"/>
    <w:rsid w:val="00ED0F7B"/>
    <w:rsid w:val="00ED6B35"/>
    <w:rsid w:val="00EE06A0"/>
    <w:rsid w:val="00EE1538"/>
    <w:rsid w:val="00EE173C"/>
    <w:rsid w:val="00EE258D"/>
    <w:rsid w:val="00EE25AD"/>
    <w:rsid w:val="00EE533D"/>
    <w:rsid w:val="00EE58F8"/>
    <w:rsid w:val="00EE7DF1"/>
    <w:rsid w:val="00EE7E58"/>
    <w:rsid w:val="00EF03B4"/>
    <w:rsid w:val="00EF145C"/>
    <w:rsid w:val="00EF3608"/>
    <w:rsid w:val="00EF3DC0"/>
    <w:rsid w:val="00EF401F"/>
    <w:rsid w:val="00EF43F2"/>
    <w:rsid w:val="00EF4B15"/>
    <w:rsid w:val="00F0451B"/>
    <w:rsid w:val="00F047E6"/>
    <w:rsid w:val="00F05194"/>
    <w:rsid w:val="00F05AB2"/>
    <w:rsid w:val="00F07445"/>
    <w:rsid w:val="00F12DDE"/>
    <w:rsid w:val="00F13B2A"/>
    <w:rsid w:val="00F1467C"/>
    <w:rsid w:val="00F151C7"/>
    <w:rsid w:val="00F160DE"/>
    <w:rsid w:val="00F16164"/>
    <w:rsid w:val="00F172BE"/>
    <w:rsid w:val="00F2680D"/>
    <w:rsid w:val="00F30446"/>
    <w:rsid w:val="00F325E0"/>
    <w:rsid w:val="00F34937"/>
    <w:rsid w:val="00F41E94"/>
    <w:rsid w:val="00F4355A"/>
    <w:rsid w:val="00F43CE7"/>
    <w:rsid w:val="00F45A63"/>
    <w:rsid w:val="00F45CC9"/>
    <w:rsid w:val="00F468C3"/>
    <w:rsid w:val="00F468CE"/>
    <w:rsid w:val="00F5097D"/>
    <w:rsid w:val="00F5102B"/>
    <w:rsid w:val="00F51951"/>
    <w:rsid w:val="00F52191"/>
    <w:rsid w:val="00F53E02"/>
    <w:rsid w:val="00F56B38"/>
    <w:rsid w:val="00F60880"/>
    <w:rsid w:val="00F62193"/>
    <w:rsid w:val="00F621BC"/>
    <w:rsid w:val="00F632AF"/>
    <w:rsid w:val="00F6569A"/>
    <w:rsid w:val="00F6647D"/>
    <w:rsid w:val="00F71524"/>
    <w:rsid w:val="00F745AD"/>
    <w:rsid w:val="00F75108"/>
    <w:rsid w:val="00F80E7A"/>
    <w:rsid w:val="00F829DF"/>
    <w:rsid w:val="00F82EE3"/>
    <w:rsid w:val="00F850EA"/>
    <w:rsid w:val="00F859A7"/>
    <w:rsid w:val="00F87ABC"/>
    <w:rsid w:val="00F90696"/>
    <w:rsid w:val="00F90FA2"/>
    <w:rsid w:val="00F91433"/>
    <w:rsid w:val="00F91E5B"/>
    <w:rsid w:val="00F92074"/>
    <w:rsid w:val="00F94CE3"/>
    <w:rsid w:val="00F95036"/>
    <w:rsid w:val="00F96A66"/>
    <w:rsid w:val="00F96FBB"/>
    <w:rsid w:val="00F9715F"/>
    <w:rsid w:val="00F97B45"/>
    <w:rsid w:val="00FA2097"/>
    <w:rsid w:val="00FA43E6"/>
    <w:rsid w:val="00FA4BDA"/>
    <w:rsid w:val="00FA60C0"/>
    <w:rsid w:val="00FA7BAB"/>
    <w:rsid w:val="00FB1DFF"/>
    <w:rsid w:val="00FB3DD6"/>
    <w:rsid w:val="00FB6924"/>
    <w:rsid w:val="00FB746A"/>
    <w:rsid w:val="00FC0211"/>
    <w:rsid w:val="00FC0792"/>
    <w:rsid w:val="00FC18F8"/>
    <w:rsid w:val="00FC4209"/>
    <w:rsid w:val="00FC453B"/>
    <w:rsid w:val="00FC502B"/>
    <w:rsid w:val="00FC5BD8"/>
    <w:rsid w:val="00FC7EF4"/>
    <w:rsid w:val="00FD02F0"/>
    <w:rsid w:val="00FD1107"/>
    <w:rsid w:val="00FD13CA"/>
    <w:rsid w:val="00FD35D1"/>
    <w:rsid w:val="00FD4A30"/>
    <w:rsid w:val="00FE0F60"/>
    <w:rsid w:val="00FE2C62"/>
    <w:rsid w:val="00FE2E3C"/>
    <w:rsid w:val="00FE325F"/>
    <w:rsid w:val="00FE4037"/>
    <w:rsid w:val="00FE4EE1"/>
    <w:rsid w:val="00FE5382"/>
    <w:rsid w:val="00FE5F25"/>
    <w:rsid w:val="00FE69A4"/>
    <w:rsid w:val="00FF02FE"/>
    <w:rsid w:val="00FF0FBA"/>
    <w:rsid w:val="00FF165C"/>
    <w:rsid w:val="00FF3163"/>
    <w:rsid w:val="00FF38A3"/>
    <w:rsid w:val="00FF4493"/>
    <w:rsid w:val="00FF455F"/>
    <w:rsid w:val="00FF65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7B1639"/>
  <w15:chartTrackingRefBased/>
  <w15:docId w15:val="{83FF9557-E9FD-453D-8467-88B049953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363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918C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583A16"/>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14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145C"/>
  </w:style>
  <w:style w:type="paragraph" w:styleId="Footer">
    <w:name w:val="footer"/>
    <w:basedOn w:val="Normal"/>
    <w:link w:val="FooterChar"/>
    <w:uiPriority w:val="99"/>
    <w:unhideWhenUsed/>
    <w:rsid w:val="00EF14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45C"/>
  </w:style>
  <w:style w:type="paragraph" w:styleId="ListParagraph">
    <w:name w:val="List Paragraph"/>
    <w:basedOn w:val="Normal"/>
    <w:uiPriority w:val="34"/>
    <w:qFormat/>
    <w:rsid w:val="00F047E6"/>
    <w:pPr>
      <w:ind w:left="720"/>
      <w:contextualSpacing/>
    </w:pPr>
  </w:style>
  <w:style w:type="character" w:customStyle="1" w:styleId="Heading3Char">
    <w:name w:val="Heading 3 Char"/>
    <w:basedOn w:val="DefaultParagraphFont"/>
    <w:link w:val="Heading3"/>
    <w:uiPriority w:val="9"/>
    <w:rsid w:val="00583A16"/>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583A16"/>
    <w:rPr>
      <w:b/>
      <w:bCs/>
    </w:rPr>
  </w:style>
  <w:style w:type="table" w:styleId="TableGrid">
    <w:name w:val="Table Grid"/>
    <w:basedOn w:val="TableNormal"/>
    <w:uiPriority w:val="39"/>
    <w:rsid w:val="00583A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46392E"/>
    <w:pPr>
      <w:spacing w:after="0" w:line="240" w:lineRule="auto"/>
    </w:pPr>
    <w:rPr>
      <w:rFonts w:ascii="Calibri" w:eastAsia="SimSun" w:hAnsi="Calibri" w:cs="Arial"/>
      <w:kern w:val="0"/>
      <w:sz w:val="21"/>
      <w:szCs w:val="21"/>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rmalWeb">
    <w:name w:val="Normal (Web)"/>
    <w:basedOn w:val="Normal"/>
    <w:uiPriority w:val="99"/>
    <w:unhideWhenUsed/>
    <w:rsid w:val="00CF491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1Char">
    <w:name w:val="Heading 1 Char"/>
    <w:basedOn w:val="DefaultParagraphFont"/>
    <w:link w:val="Heading1"/>
    <w:uiPriority w:val="9"/>
    <w:rsid w:val="0074363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918C9"/>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276EE6"/>
    <w:pPr>
      <w:outlineLvl w:val="9"/>
    </w:pPr>
    <w:rPr>
      <w:kern w:val="0"/>
      <w14:ligatures w14:val="none"/>
    </w:rPr>
  </w:style>
  <w:style w:type="paragraph" w:styleId="TOC1">
    <w:name w:val="toc 1"/>
    <w:basedOn w:val="Normal"/>
    <w:next w:val="Normal"/>
    <w:autoRedefine/>
    <w:uiPriority w:val="39"/>
    <w:unhideWhenUsed/>
    <w:rsid w:val="00276EE6"/>
    <w:pPr>
      <w:spacing w:after="100"/>
    </w:pPr>
  </w:style>
  <w:style w:type="paragraph" w:styleId="TOC2">
    <w:name w:val="toc 2"/>
    <w:basedOn w:val="Normal"/>
    <w:next w:val="Normal"/>
    <w:autoRedefine/>
    <w:uiPriority w:val="39"/>
    <w:unhideWhenUsed/>
    <w:rsid w:val="00276EE6"/>
    <w:pPr>
      <w:spacing w:after="100"/>
      <w:ind w:left="220"/>
    </w:pPr>
  </w:style>
  <w:style w:type="character" w:styleId="Hyperlink">
    <w:name w:val="Hyperlink"/>
    <w:basedOn w:val="DefaultParagraphFont"/>
    <w:uiPriority w:val="99"/>
    <w:unhideWhenUsed/>
    <w:rsid w:val="00276EE6"/>
    <w:rPr>
      <w:color w:val="0563C1" w:themeColor="hyperlink"/>
      <w:u w:val="single"/>
    </w:rPr>
  </w:style>
  <w:style w:type="character" w:styleId="UnresolvedMention">
    <w:name w:val="Unresolved Mention"/>
    <w:basedOn w:val="DefaultParagraphFont"/>
    <w:uiPriority w:val="99"/>
    <w:semiHidden/>
    <w:unhideWhenUsed/>
    <w:rsid w:val="009F54CE"/>
    <w:rPr>
      <w:color w:val="605E5C"/>
      <w:shd w:val="clear" w:color="auto" w:fill="E1DFDD"/>
    </w:rPr>
  </w:style>
  <w:style w:type="paragraph" w:customStyle="1" w:styleId="EndNoteBibliographyTitle">
    <w:name w:val="EndNote Bibliography Title"/>
    <w:basedOn w:val="Normal"/>
    <w:link w:val="EndNoteBibliographyTitleChar"/>
    <w:rsid w:val="00D46997"/>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D46997"/>
    <w:rPr>
      <w:rFonts w:ascii="Calibri" w:hAnsi="Calibri" w:cs="Calibri"/>
    </w:rPr>
  </w:style>
  <w:style w:type="paragraph" w:customStyle="1" w:styleId="EndNoteBibliography">
    <w:name w:val="EndNote Bibliography"/>
    <w:basedOn w:val="Normal"/>
    <w:link w:val="EndNoteBibliographyChar"/>
    <w:rsid w:val="00D46997"/>
    <w:pPr>
      <w:spacing w:line="240" w:lineRule="auto"/>
      <w:jc w:val="center"/>
    </w:pPr>
    <w:rPr>
      <w:rFonts w:ascii="Calibri" w:hAnsi="Calibri" w:cs="Calibri"/>
    </w:rPr>
  </w:style>
  <w:style w:type="character" w:customStyle="1" w:styleId="EndNoteBibliographyChar">
    <w:name w:val="EndNote Bibliography Char"/>
    <w:basedOn w:val="DefaultParagraphFont"/>
    <w:link w:val="EndNoteBibliography"/>
    <w:rsid w:val="00D46997"/>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8034">
      <w:bodyDiv w:val="1"/>
      <w:marLeft w:val="0"/>
      <w:marRight w:val="0"/>
      <w:marTop w:val="0"/>
      <w:marBottom w:val="0"/>
      <w:divBdr>
        <w:top w:val="none" w:sz="0" w:space="0" w:color="auto"/>
        <w:left w:val="none" w:sz="0" w:space="0" w:color="auto"/>
        <w:bottom w:val="none" w:sz="0" w:space="0" w:color="auto"/>
        <w:right w:val="none" w:sz="0" w:space="0" w:color="auto"/>
      </w:divBdr>
    </w:div>
    <w:div w:id="42751437">
      <w:bodyDiv w:val="1"/>
      <w:marLeft w:val="0"/>
      <w:marRight w:val="0"/>
      <w:marTop w:val="0"/>
      <w:marBottom w:val="0"/>
      <w:divBdr>
        <w:top w:val="none" w:sz="0" w:space="0" w:color="auto"/>
        <w:left w:val="none" w:sz="0" w:space="0" w:color="auto"/>
        <w:bottom w:val="none" w:sz="0" w:space="0" w:color="auto"/>
        <w:right w:val="none" w:sz="0" w:space="0" w:color="auto"/>
      </w:divBdr>
    </w:div>
    <w:div w:id="63067039">
      <w:bodyDiv w:val="1"/>
      <w:marLeft w:val="0"/>
      <w:marRight w:val="0"/>
      <w:marTop w:val="0"/>
      <w:marBottom w:val="0"/>
      <w:divBdr>
        <w:top w:val="none" w:sz="0" w:space="0" w:color="auto"/>
        <w:left w:val="none" w:sz="0" w:space="0" w:color="auto"/>
        <w:bottom w:val="none" w:sz="0" w:space="0" w:color="auto"/>
        <w:right w:val="none" w:sz="0" w:space="0" w:color="auto"/>
      </w:divBdr>
    </w:div>
    <w:div w:id="66341735">
      <w:bodyDiv w:val="1"/>
      <w:marLeft w:val="0"/>
      <w:marRight w:val="0"/>
      <w:marTop w:val="0"/>
      <w:marBottom w:val="0"/>
      <w:divBdr>
        <w:top w:val="none" w:sz="0" w:space="0" w:color="auto"/>
        <w:left w:val="none" w:sz="0" w:space="0" w:color="auto"/>
        <w:bottom w:val="none" w:sz="0" w:space="0" w:color="auto"/>
        <w:right w:val="none" w:sz="0" w:space="0" w:color="auto"/>
      </w:divBdr>
    </w:div>
    <w:div w:id="66534012">
      <w:bodyDiv w:val="1"/>
      <w:marLeft w:val="0"/>
      <w:marRight w:val="0"/>
      <w:marTop w:val="0"/>
      <w:marBottom w:val="0"/>
      <w:divBdr>
        <w:top w:val="none" w:sz="0" w:space="0" w:color="auto"/>
        <w:left w:val="none" w:sz="0" w:space="0" w:color="auto"/>
        <w:bottom w:val="none" w:sz="0" w:space="0" w:color="auto"/>
        <w:right w:val="none" w:sz="0" w:space="0" w:color="auto"/>
      </w:divBdr>
    </w:div>
    <w:div w:id="67267165">
      <w:bodyDiv w:val="1"/>
      <w:marLeft w:val="0"/>
      <w:marRight w:val="0"/>
      <w:marTop w:val="0"/>
      <w:marBottom w:val="0"/>
      <w:divBdr>
        <w:top w:val="none" w:sz="0" w:space="0" w:color="auto"/>
        <w:left w:val="none" w:sz="0" w:space="0" w:color="auto"/>
        <w:bottom w:val="none" w:sz="0" w:space="0" w:color="auto"/>
        <w:right w:val="none" w:sz="0" w:space="0" w:color="auto"/>
      </w:divBdr>
    </w:div>
    <w:div w:id="77483035">
      <w:bodyDiv w:val="1"/>
      <w:marLeft w:val="0"/>
      <w:marRight w:val="0"/>
      <w:marTop w:val="0"/>
      <w:marBottom w:val="0"/>
      <w:divBdr>
        <w:top w:val="none" w:sz="0" w:space="0" w:color="auto"/>
        <w:left w:val="none" w:sz="0" w:space="0" w:color="auto"/>
        <w:bottom w:val="none" w:sz="0" w:space="0" w:color="auto"/>
        <w:right w:val="none" w:sz="0" w:space="0" w:color="auto"/>
      </w:divBdr>
    </w:div>
    <w:div w:id="145443201">
      <w:bodyDiv w:val="1"/>
      <w:marLeft w:val="0"/>
      <w:marRight w:val="0"/>
      <w:marTop w:val="0"/>
      <w:marBottom w:val="0"/>
      <w:divBdr>
        <w:top w:val="none" w:sz="0" w:space="0" w:color="auto"/>
        <w:left w:val="none" w:sz="0" w:space="0" w:color="auto"/>
        <w:bottom w:val="none" w:sz="0" w:space="0" w:color="auto"/>
        <w:right w:val="none" w:sz="0" w:space="0" w:color="auto"/>
      </w:divBdr>
    </w:div>
    <w:div w:id="169107645">
      <w:bodyDiv w:val="1"/>
      <w:marLeft w:val="0"/>
      <w:marRight w:val="0"/>
      <w:marTop w:val="0"/>
      <w:marBottom w:val="0"/>
      <w:divBdr>
        <w:top w:val="none" w:sz="0" w:space="0" w:color="auto"/>
        <w:left w:val="none" w:sz="0" w:space="0" w:color="auto"/>
        <w:bottom w:val="none" w:sz="0" w:space="0" w:color="auto"/>
        <w:right w:val="none" w:sz="0" w:space="0" w:color="auto"/>
      </w:divBdr>
    </w:div>
    <w:div w:id="175848839">
      <w:bodyDiv w:val="1"/>
      <w:marLeft w:val="0"/>
      <w:marRight w:val="0"/>
      <w:marTop w:val="0"/>
      <w:marBottom w:val="0"/>
      <w:divBdr>
        <w:top w:val="none" w:sz="0" w:space="0" w:color="auto"/>
        <w:left w:val="none" w:sz="0" w:space="0" w:color="auto"/>
        <w:bottom w:val="none" w:sz="0" w:space="0" w:color="auto"/>
        <w:right w:val="none" w:sz="0" w:space="0" w:color="auto"/>
      </w:divBdr>
    </w:div>
    <w:div w:id="189493975">
      <w:bodyDiv w:val="1"/>
      <w:marLeft w:val="0"/>
      <w:marRight w:val="0"/>
      <w:marTop w:val="0"/>
      <w:marBottom w:val="0"/>
      <w:divBdr>
        <w:top w:val="none" w:sz="0" w:space="0" w:color="auto"/>
        <w:left w:val="none" w:sz="0" w:space="0" w:color="auto"/>
        <w:bottom w:val="none" w:sz="0" w:space="0" w:color="auto"/>
        <w:right w:val="none" w:sz="0" w:space="0" w:color="auto"/>
      </w:divBdr>
    </w:div>
    <w:div w:id="196161833">
      <w:bodyDiv w:val="1"/>
      <w:marLeft w:val="0"/>
      <w:marRight w:val="0"/>
      <w:marTop w:val="0"/>
      <w:marBottom w:val="0"/>
      <w:divBdr>
        <w:top w:val="none" w:sz="0" w:space="0" w:color="auto"/>
        <w:left w:val="none" w:sz="0" w:space="0" w:color="auto"/>
        <w:bottom w:val="none" w:sz="0" w:space="0" w:color="auto"/>
        <w:right w:val="none" w:sz="0" w:space="0" w:color="auto"/>
      </w:divBdr>
    </w:div>
    <w:div w:id="225459440">
      <w:bodyDiv w:val="1"/>
      <w:marLeft w:val="0"/>
      <w:marRight w:val="0"/>
      <w:marTop w:val="0"/>
      <w:marBottom w:val="0"/>
      <w:divBdr>
        <w:top w:val="none" w:sz="0" w:space="0" w:color="auto"/>
        <w:left w:val="none" w:sz="0" w:space="0" w:color="auto"/>
        <w:bottom w:val="none" w:sz="0" w:space="0" w:color="auto"/>
        <w:right w:val="none" w:sz="0" w:space="0" w:color="auto"/>
      </w:divBdr>
    </w:div>
    <w:div w:id="227157937">
      <w:bodyDiv w:val="1"/>
      <w:marLeft w:val="0"/>
      <w:marRight w:val="0"/>
      <w:marTop w:val="0"/>
      <w:marBottom w:val="0"/>
      <w:divBdr>
        <w:top w:val="none" w:sz="0" w:space="0" w:color="auto"/>
        <w:left w:val="none" w:sz="0" w:space="0" w:color="auto"/>
        <w:bottom w:val="none" w:sz="0" w:space="0" w:color="auto"/>
        <w:right w:val="none" w:sz="0" w:space="0" w:color="auto"/>
      </w:divBdr>
    </w:div>
    <w:div w:id="231544723">
      <w:bodyDiv w:val="1"/>
      <w:marLeft w:val="0"/>
      <w:marRight w:val="0"/>
      <w:marTop w:val="0"/>
      <w:marBottom w:val="0"/>
      <w:divBdr>
        <w:top w:val="none" w:sz="0" w:space="0" w:color="auto"/>
        <w:left w:val="none" w:sz="0" w:space="0" w:color="auto"/>
        <w:bottom w:val="none" w:sz="0" w:space="0" w:color="auto"/>
        <w:right w:val="none" w:sz="0" w:space="0" w:color="auto"/>
      </w:divBdr>
    </w:div>
    <w:div w:id="242842491">
      <w:bodyDiv w:val="1"/>
      <w:marLeft w:val="0"/>
      <w:marRight w:val="0"/>
      <w:marTop w:val="0"/>
      <w:marBottom w:val="0"/>
      <w:divBdr>
        <w:top w:val="none" w:sz="0" w:space="0" w:color="auto"/>
        <w:left w:val="none" w:sz="0" w:space="0" w:color="auto"/>
        <w:bottom w:val="none" w:sz="0" w:space="0" w:color="auto"/>
        <w:right w:val="none" w:sz="0" w:space="0" w:color="auto"/>
      </w:divBdr>
    </w:div>
    <w:div w:id="258102357">
      <w:bodyDiv w:val="1"/>
      <w:marLeft w:val="0"/>
      <w:marRight w:val="0"/>
      <w:marTop w:val="0"/>
      <w:marBottom w:val="0"/>
      <w:divBdr>
        <w:top w:val="none" w:sz="0" w:space="0" w:color="auto"/>
        <w:left w:val="none" w:sz="0" w:space="0" w:color="auto"/>
        <w:bottom w:val="none" w:sz="0" w:space="0" w:color="auto"/>
        <w:right w:val="none" w:sz="0" w:space="0" w:color="auto"/>
      </w:divBdr>
    </w:div>
    <w:div w:id="274405477">
      <w:bodyDiv w:val="1"/>
      <w:marLeft w:val="0"/>
      <w:marRight w:val="0"/>
      <w:marTop w:val="0"/>
      <w:marBottom w:val="0"/>
      <w:divBdr>
        <w:top w:val="none" w:sz="0" w:space="0" w:color="auto"/>
        <w:left w:val="none" w:sz="0" w:space="0" w:color="auto"/>
        <w:bottom w:val="none" w:sz="0" w:space="0" w:color="auto"/>
        <w:right w:val="none" w:sz="0" w:space="0" w:color="auto"/>
      </w:divBdr>
    </w:div>
    <w:div w:id="283508834">
      <w:bodyDiv w:val="1"/>
      <w:marLeft w:val="0"/>
      <w:marRight w:val="0"/>
      <w:marTop w:val="0"/>
      <w:marBottom w:val="0"/>
      <w:divBdr>
        <w:top w:val="none" w:sz="0" w:space="0" w:color="auto"/>
        <w:left w:val="none" w:sz="0" w:space="0" w:color="auto"/>
        <w:bottom w:val="none" w:sz="0" w:space="0" w:color="auto"/>
        <w:right w:val="none" w:sz="0" w:space="0" w:color="auto"/>
      </w:divBdr>
    </w:div>
    <w:div w:id="297734322">
      <w:bodyDiv w:val="1"/>
      <w:marLeft w:val="0"/>
      <w:marRight w:val="0"/>
      <w:marTop w:val="0"/>
      <w:marBottom w:val="0"/>
      <w:divBdr>
        <w:top w:val="none" w:sz="0" w:space="0" w:color="auto"/>
        <w:left w:val="none" w:sz="0" w:space="0" w:color="auto"/>
        <w:bottom w:val="none" w:sz="0" w:space="0" w:color="auto"/>
        <w:right w:val="none" w:sz="0" w:space="0" w:color="auto"/>
      </w:divBdr>
    </w:div>
    <w:div w:id="353531514">
      <w:bodyDiv w:val="1"/>
      <w:marLeft w:val="0"/>
      <w:marRight w:val="0"/>
      <w:marTop w:val="0"/>
      <w:marBottom w:val="0"/>
      <w:divBdr>
        <w:top w:val="none" w:sz="0" w:space="0" w:color="auto"/>
        <w:left w:val="none" w:sz="0" w:space="0" w:color="auto"/>
        <w:bottom w:val="none" w:sz="0" w:space="0" w:color="auto"/>
        <w:right w:val="none" w:sz="0" w:space="0" w:color="auto"/>
      </w:divBdr>
    </w:div>
    <w:div w:id="362749585">
      <w:bodyDiv w:val="1"/>
      <w:marLeft w:val="0"/>
      <w:marRight w:val="0"/>
      <w:marTop w:val="0"/>
      <w:marBottom w:val="0"/>
      <w:divBdr>
        <w:top w:val="none" w:sz="0" w:space="0" w:color="auto"/>
        <w:left w:val="none" w:sz="0" w:space="0" w:color="auto"/>
        <w:bottom w:val="none" w:sz="0" w:space="0" w:color="auto"/>
        <w:right w:val="none" w:sz="0" w:space="0" w:color="auto"/>
      </w:divBdr>
    </w:div>
    <w:div w:id="367922114">
      <w:bodyDiv w:val="1"/>
      <w:marLeft w:val="0"/>
      <w:marRight w:val="0"/>
      <w:marTop w:val="0"/>
      <w:marBottom w:val="0"/>
      <w:divBdr>
        <w:top w:val="none" w:sz="0" w:space="0" w:color="auto"/>
        <w:left w:val="none" w:sz="0" w:space="0" w:color="auto"/>
        <w:bottom w:val="none" w:sz="0" w:space="0" w:color="auto"/>
        <w:right w:val="none" w:sz="0" w:space="0" w:color="auto"/>
      </w:divBdr>
    </w:div>
    <w:div w:id="410082927">
      <w:bodyDiv w:val="1"/>
      <w:marLeft w:val="0"/>
      <w:marRight w:val="0"/>
      <w:marTop w:val="0"/>
      <w:marBottom w:val="0"/>
      <w:divBdr>
        <w:top w:val="none" w:sz="0" w:space="0" w:color="auto"/>
        <w:left w:val="none" w:sz="0" w:space="0" w:color="auto"/>
        <w:bottom w:val="none" w:sz="0" w:space="0" w:color="auto"/>
        <w:right w:val="none" w:sz="0" w:space="0" w:color="auto"/>
      </w:divBdr>
    </w:div>
    <w:div w:id="425611366">
      <w:bodyDiv w:val="1"/>
      <w:marLeft w:val="0"/>
      <w:marRight w:val="0"/>
      <w:marTop w:val="0"/>
      <w:marBottom w:val="0"/>
      <w:divBdr>
        <w:top w:val="none" w:sz="0" w:space="0" w:color="auto"/>
        <w:left w:val="none" w:sz="0" w:space="0" w:color="auto"/>
        <w:bottom w:val="none" w:sz="0" w:space="0" w:color="auto"/>
        <w:right w:val="none" w:sz="0" w:space="0" w:color="auto"/>
      </w:divBdr>
    </w:div>
    <w:div w:id="426389931">
      <w:bodyDiv w:val="1"/>
      <w:marLeft w:val="0"/>
      <w:marRight w:val="0"/>
      <w:marTop w:val="0"/>
      <w:marBottom w:val="0"/>
      <w:divBdr>
        <w:top w:val="none" w:sz="0" w:space="0" w:color="auto"/>
        <w:left w:val="none" w:sz="0" w:space="0" w:color="auto"/>
        <w:bottom w:val="none" w:sz="0" w:space="0" w:color="auto"/>
        <w:right w:val="none" w:sz="0" w:space="0" w:color="auto"/>
      </w:divBdr>
    </w:div>
    <w:div w:id="430930476">
      <w:bodyDiv w:val="1"/>
      <w:marLeft w:val="0"/>
      <w:marRight w:val="0"/>
      <w:marTop w:val="0"/>
      <w:marBottom w:val="0"/>
      <w:divBdr>
        <w:top w:val="none" w:sz="0" w:space="0" w:color="auto"/>
        <w:left w:val="none" w:sz="0" w:space="0" w:color="auto"/>
        <w:bottom w:val="none" w:sz="0" w:space="0" w:color="auto"/>
        <w:right w:val="none" w:sz="0" w:space="0" w:color="auto"/>
      </w:divBdr>
    </w:div>
    <w:div w:id="435294829">
      <w:bodyDiv w:val="1"/>
      <w:marLeft w:val="0"/>
      <w:marRight w:val="0"/>
      <w:marTop w:val="0"/>
      <w:marBottom w:val="0"/>
      <w:divBdr>
        <w:top w:val="none" w:sz="0" w:space="0" w:color="auto"/>
        <w:left w:val="none" w:sz="0" w:space="0" w:color="auto"/>
        <w:bottom w:val="none" w:sz="0" w:space="0" w:color="auto"/>
        <w:right w:val="none" w:sz="0" w:space="0" w:color="auto"/>
      </w:divBdr>
    </w:div>
    <w:div w:id="453446336">
      <w:bodyDiv w:val="1"/>
      <w:marLeft w:val="0"/>
      <w:marRight w:val="0"/>
      <w:marTop w:val="0"/>
      <w:marBottom w:val="0"/>
      <w:divBdr>
        <w:top w:val="none" w:sz="0" w:space="0" w:color="auto"/>
        <w:left w:val="none" w:sz="0" w:space="0" w:color="auto"/>
        <w:bottom w:val="none" w:sz="0" w:space="0" w:color="auto"/>
        <w:right w:val="none" w:sz="0" w:space="0" w:color="auto"/>
      </w:divBdr>
    </w:div>
    <w:div w:id="464738053">
      <w:bodyDiv w:val="1"/>
      <w:marLeft w:val="0"/>
      <w:marRight w:val="0"/>
      <w:marTop w:val="0"/>
      <w:marBottom w:val="0"/>
      <w:divBdr>
        <w:top w:val="none" w:sz="0" w:space="0" w:color="auto"/>
        <w:left w:val="none" w:sz="0" w:space="0" w:color="auto"/>
        <w:bottom w:val="none" w:sz="0" w:space="0" w:color="auto"/>
        <w:right w:val="none" w:sz="0" w:space="0" w:color="auto"/>
      </w:divBdr>
    </w:div>
    <w:div w:id="475338694">
      <w:bodyDiv w:val="1"/>
      <w:marLeft w:val="0"/>
      <w:marRight w:val="0"/>
      <w:marTop w:val="0"/>
      <w:marBottom w:val="0"/>
      <w:divBdr>
        <w:top w:val="none" w:sz="0" w:space="0" w:color="auto"/>
        <w:left w:val="none" w:sz="0" w:space="0" w:color="auto"/>
        <w:bottom w:val="none" w:sz="0" w:space="0" w:color="auto"/>
        <w:right w:val="none" w:sz="0" w:space="0" w:color="auto"/>
      </w:divBdr>
    </w:div>
    <w:div w:id="540048588">
      <w:bodyDiv w:val="1"/>
      <w:marLeft w:val="0"/>
      <w:marRight w:val="0"/>
      <w:marTop w:val="0"/>
      <w:marBottom w:val="0"/>
      <w:divBdr>
        <w:top w:val="none" w:sz="0" w:space="0" w:color="auto"/>
        <w:left w:val="none" w:sz="0" w:space="0" w:color="auto"/>
        <w:bottom w:val="none" w:sz="0" w:space="0" w:color="auto"/>
        <w:right w:val="none" w:sz="0" w:space="0" w:color="auto"/>
      </w:divBdr>
    </w:div>
    <w:div w:id="575820488">
      <w:bodyDiv w:val="1"/>
      <w:marLeft w:val="0"/>
      <w:marRight w:val="0"/>
      <w:marTop w:val="0"/>
      <w:marBottom w:val="0"/>
      <w:divBdr>
        <w:top w:val="none" w:sz="0" w:space="0" w:color="auto"/>
        <w:left w:val="none" w:sz="0" w:space="0" w:color="auto"/>
        <w:bottom w:val="none" w:sz="0" w:space="0" w:color="auto"/>
        <w:right w:val="none" w:sz="0" w:space="0" w:color="auto"/>
      </w:divBdr>
    </w:div>
    <w:div w:id="581792405">
      <w:bodyDiv w:val="1"/>
      <w:marLeft w:val="0"/>
      <w:marRight w:val="0"/>
      <w:marTop w:val="0"/>
      <w:marBottom w:val="0"/>
      <w:divBdr>
        <w:top w:val="none" w:sz="0" w:space="0" w:color="auto"/>
        <w:left w:val="none" w:sz="0" w:space="0" w:color="auto"/>
        <w:bottom w:val="none" w:sz="0" w:space="0" w:color="auto"/>
        <w:right w:val="none" w:sz="0" w:space="0" w:color="auto"/>
      </w:divBdr>
    </w:div>
    <w:div w:id="612321731">
      <w:bodyDiv w:val="1"/>
      <w:marLeft w:val="0"/>
      <w:marRight w:val="0"/>
      <w:marTop w:val="0"/>
      <w:marBottom w:val="0"/>
      <w:divBdr>
        <w:top w:val="none" w:sz="0" w:space="0" w:color="auto"/>
        <w:left w:val="none" w:sz="0" w:space="0" w:color="auto"/>
        <w:bottom w:val="none" w:sz="0" w:space="0" w:color="auto"/>
        <w:right w:val="none" w:sz="0" w:space="0" w:color="auto"/>
      </w:divBdr>
    </w:div>
    <w:div w:id="619384521">
      <w:bodyDiv w:val="1"/>
      <w:marLeft w:val="0"/>
      <w:marRight w:val="0"/>
      <w:marTop w:val="0"/>
      <w:marBottom w:val="0"/>
      <w:divBdr>
        <w:top w:val="none" w:sz="0" w:space="0" w:color="auto"/>
        <w:left w:val="none" w:sz="0" w:space="0" w:color="auto"/>
        <w:bottom w:val="none" w:sz="0" w:space="0" w:color="auto"/>
        <w:right w:val="none" w:sz="0" w:space="0" w:color="auto"/>
      </w:divBdr>
    </w:div>
    <w:div w:id="639648447">
      <w:bodyDiv w:val="1"/>
      <w:marLeft w:val="0"/>
      <w:marRight w:val="0"/>
      <w:marTop w:val="0"/>
      <w:marBottom w:val="0"/>
      <w:divBdr>
        <w:top w:val="none" w:sz="0" w:space="0" w:color="auto"/>
        <w:left w:val="none" w:sz="0" w:space="0" w:color="auto"/>
        <w:bottom w:val="none" w:sz="0" w:space="0" w:color="auto"/>
        <w:right w:val="none" w:sz="0" w:space="0" w:color="auto"/>
      </w:divBdr>
    </w:div>
    <w:div w:id="730155985">
      <w:bodyDiv w:val="1"/>
      <w:marLeft w:val="0"/>
      <w:marRight w:val="0"/>
      <w:marTop w:val="0"/>
      <w:marBottom w:val="0"/>
      <w:divBdr>
        <w:top w:val="none" w:sz="0" w:space="0" w:color="auto"/>
        <w:left w:val="none" w:sz="0" w:space="0" w:color="auto"/>
        <w:bottom w:val="none" w:sz="0" w:space="0" w:color="auto"/>
        <w:right w:val="none" w:sz="0" w:space="0" w:color="auto"/>
      </w:divBdr>
    </w:div>
    <w:div w:id="757750915">
      <w:bodyDiv w:val="1"/>
      <w:marLeft w:val="0"/>
      <w:marRight w:val="0"/>
      <w:marTop w:val="0"/>
      <w:marBottom w:val="0"/>
      <w:divBdr>
        <w:top w:val="none" w:sz="0" w:space="0" w:color="auto"/>
        <w:left w:val="none" w:sz="0" w:space="0" w:color="auto"/>
        <w:bottom w:val="none" w:sz="0" w:space="0" w:color="auto"/>
        <w:right w:val="none" w:sz="0" w:space="0" w:color="auto"/>
      </w:divBdr>
    </w:div>
    <w:div w:id="782698764">
      <w:bodyDiv w:val="1"/>
      <w:marLeft w:val="0"/>
      <w:marRight w:val="0"/>
      <w:marTop w:val="0"/>
      <w:marBottom w:val="0"/>
      <w:divBdr>
        <w:top w:val="none" w:sz="0" w:space="0" w:color="auto"/>
        <w:left w:val="none" w:sz="0" w:space="0" w:color="auto"/>
        <w:bottom w:val="none" w:sz="0" w:space="0" w:color="auto"/>
        <w:right w:val="none" w:sz="0" w:space="0" w:color="auto"/>
      </w:divBdr>
    </w:div>
    <w:div w:id="800005027">
      <w:bodyDiv w:val="1"/>
      <w:marLeft w:val="0"/>
      <w:marRight w:val="0"/>
      <w:marTop w:val="0"/>
      <w:marBottom w:val="0"/>
      <w:divBdr>
        <w:top w:val="none" w:sz="0" w:space="0" w:color="auto"/>
        <w:left w:val="none" w:sz="0" w:space="0" w:color="auto"/>
        <w:bottom w:val="none" w:sz="0" w:space="0" w:color="auto"/>
        <w:right w:val="none" w:sz="0" w:space="0" w:color="auto"/>
      </w:divBdr>
    </w:div>
    <w:div w:id="815613325">
      <w:bodyDiv w:val="1"/>
      <w:marLeft w:val="0"/>
      <w:marRight w:val="0"/>
      <w:marTop w:val="0"/>
      <w:marBottom w:val="0"/>
      <w:divBdr>
        <w:top w:val="none" w:sz="0" w:space="0" w:color="auto"/>
        <w:left w:val="none" w:sz="0" w:space="0" w:color="auto"/>
        <w:bottom w:val="none" w:sz="0" w:space="0" w:color="auto"/>
        <w:right w:val="none" w:sz="0" w:space="0" w:color="auto"/>
      </w:divBdr>
    </w:div>
    <w:div w:id="822740693">
      <w:bodyDiv w:val="1"/>
      <w:marLeft w:val="0"/>
      <w:marRight w:val="0"/>
      <w:marTop w:val="0"/>
      <w:marBottom w:val="0"/>
      <w:divBdr>
        <w:top w:val="none" w:sz="0" w:space="0" w:color="auto"/>
        <w:left w:val="none" w:sz="0" w:space="0" w:color="auto"/>
        <w:bottom w:val="none" w:sz="0" w:space="0" w:color="auto"/>
        <w:right w:val="none" w:sz="0" w:space="0" w:color="auto"/>
      </w:divBdr>
    </w:div>
    <w:div w:id="867375262">
      <w:bodyDiv w:val="1"/>
      <w:marLeft w:val="0"/>
      <w:marRight w:val="0"/>
      <w:marTop w:val="0"/>
      <w:marBottom w:val="0"/>
      <w:divBdr>
        <w:top w:val="none" w:sz="0" w:space="0" w:color="auto"/>
        <w:left w:val="none" w:sz="0" w:space="0" w:color="auto"/>
        <w:bottom w:val="none" w:sz="0" w:space="0" w:color="auto"/>
        <w:right w:val="none" w:sz="0" w:space="0" w:color="auto"/>
      </w:divBdr>
    </w:div>
    <w:div w:id="910625093">
      <w:bodyDiv w:val="1"/>
      <w:marLeft w:val="0"/>
      <w:marRight w:val="0"/>
      <w:marTop w:val="0"/>
      <w:marBottom w:val="0"/>
      <w:divBdr>
        <w:top w:val="none" w:sz="0" w:space="0" w:color="auto"/>
        <w:left w:val="none" w:sz="0" w:space="0" w:color="auto"/>
        <w:bottom w:val="none" w:sz="0" w:space="0" w:color="auto"/>
        <w:right w:val="none" w:sz="0" w:space="0" w:color="auto"/>
      </w:divBdr>
    </w:div>
    <w:div w:id="917248658">
      <w:bodyDiv w:val="1"/>
      <w:marLeft w:val="0"/>
      <w:marRight w:val="0"/>
      <w:marTop w:val="0"/>
      <w:marBottom w:val="0"/>
      <w:divBdr>
        <w:top w:val="none" w:sz="0" w:space="0" w:color="auto"/>
        <w:left w:val="none" w:sz="0" w:space="0" w:color="auto"/>
        <w:bottom w:val="none" w:sz="0" w:space="0" w:color="auto"/>
        <w:right w:val="none" w:sz="0" w:space="0" w:color="auto"/>
      </w:divBdr>
    </w:div>
    <w:div w:id="931351473">
      <w:bodyDiv w:val="1"/>
      <w:marLeft w:val="0"/>
      <w:marRight w:val="0"/>
      <w:marTop w:val="0"/>
      <w:marBottom w:val="0"/>
      <w:divBdr>
        <w:top w:val="none" w:sz="0" w:space="0" w:color="auto"/>
        <w:left w:val="none" w:sz="0" w:space="0" w:color="auto"/>
        <w:bottom w:val="none" w:sz="0" w:space="0" w:color="auto"/>
        <w:right w:val="none" w:sz="0" w:space="0" w:color="auto"/>
      </w:divBdr>
    </w:div>
    <w:div w:id="959460151">
      <w:bodyDiv w:val="1"/>
      <w:marLeft w:val="0"/>
      <w:marRight w:val="0"/>
      <w:marTop w:val="0"/>
      <w:marBottom w:val="0"/>
      <w:divBdr>
        <w:top w:val="none" w:sz="0" w:space="0" w:color="auto"/>
        <w:left w:val="none" w:sz="0" w:space="0" w:color="auto"/>
        <w:bottom w:val="none" w:sz="0" w:space="0" w:color="auto"/>
        <w:right w:val="none" w:sz="0" w:space="0" w:color="auto"/>
      </w:divBdr>
    </w:div>
    <w:div w:id="962737205">
      <w:bodyDiv w:val="1"/>
      <w:marLeft w:val="0"/>
      <w:marRight w:val="0"/>
      <w:marTop w:val="0"/>
      <w:marBottom w:val="0"/>
      <w:divBdr>
        <w:top w:val="none" w:sz="0" w:space="0" w:color="auto"/>
        <w:left w:val="none" w:sz="0" w:space="0" w:color="auto"/>
        <w:bottom w:val="none" w:sz="0" w:space="0" w:color="auto"/>
        <w:right w:val="none" w:sz="0" w:space="0" w:color="auto"/>
      </w:divBdr>
    </w:div>
    <w:div w:id="989403889">
      <w:bodyDiv w:val="1"/>
      <w:marLeft w:val="0"/>
      <w:marRight w:val="0"/>
      <w:marTop w:val="0"/>
      <w:marBottom w:val="0"/>
      <w:divBdr>
        <w:top w:val="none" w:sz="0" w:space="0" w:color="auto"/>
        <w:left w:val="none" w:sz="0" w:space="0" w:color="auto"/>
        <w:bottom w:val="none" w:sz="0" w:space="0" w:color="auto"/>
        <w:right w:val="none" w:sz="0" w:space="0" w:color="auto"/>
      </w:divBdr>
    </w:div>
    <w:div w:id="1046612048">
      <w:bodyDiv w:val="1"/>
      <w:marLeft w:val="0"/>
      <w:marRight w:val="0"/>
      <w:marTop w:val="0"/>
      <w:marBottom w:val="0"/>
      <w:divBdr>
        <w:top w:val="none" w:sz="0" w:space="0" w:color="auto"/>
        <w:left w:val="none" w:sz="0" w:space="0" w:color="auto"/>
        <w:bottom w:val="none" w:sz="0" w:space="0" w:color="auto"/>
        <w:right w:val="none" w:sz="0" w:space="0" w:color="auto"/>
      </w:divBdr>
    </w:div>
    <w:div w:id="1066418825">
      <w:bodyDiv w:val="1"/>
      <w:marLeft w:val="0"/>
      <w:marRight w:val="0"/>
      <w:marTop w:val="0"/>
      <w:marBottom w:val="0"/>
      <w:divBdr>
        <w:top w:val="none" w:sz="0" w:space="0" w:color="auto"/>
        <w:left w:val="none" w:sz="0" w:space="0" w:color="auto"/>
        <w:bottom w:val="none" w:sz="0" w:space="0" w:color="auto"/>
        <w:right w:val="none" w:sz="0" w:space="0" w:color="auto"/>
      </w:divBdr>
    </w:div>
    <w:div w:id="1095173233">
      <w:bodyDiv w:val="1"/>
      <w:marLeft w:val="0"/>
      <w:marRight w:val="0"/>
      <w:marTop w:val="0"/>
      <w:marBottom w:val="0"/>
      <w:divBdr>
        <w:top w:val="none" w:sz="0" w:space="0" w:color="auto"/>
        <w:left w:val="none" w:sz="0" w:space="0" w:color="auto"/>
        <w:bottom w:val="none" w:sz="0" w:space="0" w:color="auto"/>
        <w:right w:val="none" w:sz="0" w:space="0" w:color="auto"/>
      </w:divBdr>
    </w:div>
    <w:div w:id="1144196864">
      <w:bodyDiv w:val="1"/>
      <w:marLeft w:val="0"/>
      <w:marRight w:val="0"/>
      <w:marTop w:val="0"/>
      <w:marBottom w:val="0"/>
      <w:divBdr>
        <w:top w:val="none" w:sz="0" w:space="0" w:color="auto"/>
        <w:left w:val="none" w:sz="0" w:space="0" w:color="auto"/>
        <w:bottom w:val="none" w:sz="0" w:space="0" w:color="auto"/>
        <w:right w:val="none" w:sz="0" w:space="0" w:color="auto"/>
      </w:divBdr>
    </w:div>
    <w:div w:id="1175344299">
      <w:bodyDiv w:val="1"/>
      <w:marLeft w:val="0"/>
      <w:marRight w:val="0"/>
      <w:marTop w:val="0"/>
      <w:marBottom w:val="0"/>
      <w:divBdr>
        <w:top w:val="none" w:sz="0" w:space="0" w:color="auto"/>
        <w:left w:val="none" w:sz="0" w:space="0" w:color="auto"/>
        <w:bottom w:val="none" w:sz="0" w:space="0" w:color="auto"/>
        <w:right w:val="none" w:sz="0" w:space="0" w:color="auto"/>
      </w:divBdr>
    </w:div>
    <w:div w:id="1206480350">
      <w:bodyDiv w:val="1"/>
      <w:marLeft w:val="0"/>
      <w:marRight w:val="0"/>
      <w:marTop w:val="0"/>
      <w:marBottom w:val="0"/>
      <w:divBdr>
        <w:top w:val="none" w:sz="0" w:space="0" w:color="auto"/>
        <w:left w:val="none" w:sz="0" w:space="0" w:color="auto"/>
        <w:bottom w:val="none" w:sz="0" w:space="0" w:color="auto"/>
        <w:right w:val="none" w:sz="0" w:space="0" w:color="auto"/>
      </w:divBdr>
    </w:div>
    <w:div w:id="1207991325">
      <w:bodyDiv w:val="1"/>
      <w:marLeft w:val="0"/>
      <w:marRight w:val="0"/>
      <w:marTop w:val="0"/>
      <w:marBottom w:val="0"/>
      <w:divBdr>
        <w:top w:val="none" w:sz="0" w:space="0" w:color="auto"/>
        <w:left w:val="none" w:sz="0" w:space="0" w:color="auto"/>
        <w:bottom w:val="none" w:sz="0" w:space="0" w:color="auto"/>
        <w:right w:val="none" w:sz="0" w:space="0" w:color="auto"/>
      </w:divBdr>
    </w:div>
    <w:div w:id="1227298937">
      <w:bodyDiv w:val="1"/>
      <w:marLeft w:val="0"/>
      <w:marRight w:val="0"/>
      <w:marTop w:val="0"/>
      <w:marBottom w:val="0"/>
      <w:divBdr>
        <w:top w:val="none" w:sz="0" w:space="0" w:color="auto"/>
        <w:left w:val="none" w:sz="0" w:space="0" w:color="auto"/>
        <w:bottom w:val="none" w:sz="0" w:space="0" w:color="auto"/>
        <w:right w:val="none" w:sz="0" w:space="0" w:color="auto"/>
      </w:divBdr>
    </w:div>
    <w:div w:id="1242763583">
      <w:bodyDiv w:val="1"/>
      <w:marLeft w:val="0"/>
      <w:marRight w:val="0"/>
      <w:marTop w:val="0"/>
      <w:marBottom w:val="0"/>
      <w:divBdr>
        <w:top w:val="none" w:sz="0" w:space="0" w:color="auto"/>
        <w:left w:val="none" w:sz="0" w:space="0" w:color="auto"/>
        <w:bottom w:val="none" w:sz="0" w:space="0" w:color="auto"/>
        <w:right w:val="none" w:sz="0" w:space="0" w:color="auto"/>
      </w:divBdr>
    </w:div>
    <w:div w:id="1249079686">
      <w:bodyDiv w:val="1"/>
      <w:marLeft w:val="0"/>
      <w:marRight w:val="0"/>
      <w:marTop w:val="0"/>
      <w:marBottom w:val="0"/>
      <w:divBdr>
        <w:top w:val="none" w:sz="0" w:space="0" w:color="auto"/>
        <w:left w:val="none" w:sz="0" w:space="0" w:color="auto"/>
        <w:bottom w:val="none" w:sz="0" w:space="0" w:color="auto"/>
        <w:right w:val="none" w:sz="0" w:space="0" w:color="auto"/>
      </w:divBdr>
    </w:div>
    <w:div w:id="1265576550">
      <w:bodyDiv w:val="1"/>
      <w:marLeft w:val="0"/>
      <w:marRight w:val="0"/>
      <w:marTop w:val="0"/>
      <w:marBottom w:val="0"/>
      <w:divBdr>
        <w:top w:val="none" w:sz="0" w:space="0" w:color="auto"/>
        <w:left w:val="none" w:sz="0" w:space="0" w:color="auto"/>
        <w:bottom w:val="none" w:sz="0" w:space="0" w:color="auto"/>
        <w:right w:val="none" w:sz="0" w:space="0" w:color="auto"/>
      </w:divBdr>
    </w:div>
    <w:div w:id="1267926839">
      <w:bodyDiv w:val="1"/>
      <w:marLeft w:val="0"/>
      <w:marRight w:val="0"/>
      <w:marTop w:val="0"/>
      <w:marBottom w:val="0"/>
      <w:divBdr>
        <w:top w:val="none" w:sz="0" w:space="0" w:color="auto"/>
        <w:left w:val="none" w:sz="0" w:space="0" w:color="auto"/>
        <w:bottom w:val="none" w:sz="0" w:space="0" w:color="auto"/>
        <w:right w:val="none" w:sz="0" w:space="0" w:color="auto"/>
      </w:divBdr>
    </w:div>
    <w:div w:id="1291206639">
      <w:bodyDiv w:val="1"/>
      <w:marLeft w:val="0"/>
      <w:marRight w:val="0"/>
      <w:marTop w:val="0"/>
      <w:marBottom w:val="0"/>
      <w:divBdr>
        <w:top w:val="none" w:sz="0" w:space="0" w:color="auto"/>
        <w:left w:val="none" w:sz="0" w:space="0" w:color="auto"/>
        <w:bottom w:val="none" w:sz="0" w:space="0" w:color="auto"/>
        <w:right w:val="none" w:sz="0" w:space="0" w:color="auto"/>
      </w:divBdr>
    </w:div>
    <w:div w:id="1313023086">
      <w:bodyDiv w:val="1"/>
      <w:marLeft w:val="0"/>
      <w:marRight w:val="0"/>
      <w:marTop w:val="0"/>
      <w:marBottom w:val="0"/>
      <w:divBdr>
        <w:top w:val="none" w:sz="0" w:space="0" w:color="auto"/>
        <w:left w:val="none" w:sz="0" w:space="0" w:color="auto"/>
        <w:bottom w:val="none" w:sz="0" w:space="0" w:color="auto"/>
        <w:right w:val="none" w:sz="0" w:space="0" w:color="auto"/>
      </w:divBdr>
    </w:div>
    <w:div w:id="1342707269">
      <w:bodyDiv w:val="1"/>
      <w:marLeft w:val="0"/>
      <w:marRight w:val="0"/>
      <w:marTop w:val="0"/>
      <w:marBottom w:val="0"/>
      <w:divBdr>
        <w:top w:val="none" w:sz="0" w:space="0" w:color="auto"/>
        <w:left w:val="none" w:sz="0" w:space="0" w:color="auto"/>
        <w:bottom w:val="none" w:sz="0" w:space="0" w:color="auto"/>
        <w:right w:val="none" w:sz="0" w:space="0" w:color="auto"/>
      </w:divBdr>
    </w:div>
    <w:div w:id="1351951014">
      <w:bodyDiv w:val="1"/>
      <w:marLeft w:val="0"/>
      <w:marRight w:val="0"/>
      <w:marTop w:val="0"/>
      <w:marBottom w:val="0"/>
      <w:divBdr>
        <w:top w:val="none" w:sz="0" w:space="0" w:color="auto"/>
        <w:left w:val="none" w:sz="0" w:space="0" w:color="auto"/>
        <w:bottom w:val="none" w:sz="0" w:space="0" w:color="auto"/>
        <w:right w:val="none" w:sz="0" w:space="0" w:color="auto"/>
      </w:divBdr>
    </w:div>
    <w:div w:id="1363896948">
      <w:bodyDiv w:val="1"/>
      <w:marLeft w:val="0"/>
      <w:marRight w:val="0"/>
      <w:marTop w:val="0"/>
      <w:marBottom w:val="0"/>
      <w:divBdr>
        <w:top w:val="none" w:sz="0" w:space="0" w:color="auto"/>
        <w:left w:val="none" w:sz="0" w:space="0" w:color="auto"/>
        <w:bottom w:val="none" w:sz="0" w:space="0" w:color="auto"/>
        <w:right w:val="none" w:sz="0" w:space="0" w:color="auto"/>
      </w:divBdr>
    </w:div>
    <w:div w:id="1404831915">
      <w:bodyDiv w:val="1"/>
      <w:marLeft w:val="0"/>
      <w:marRight w:val="0"/>
      <w:marTop w:val="0"/>
      <w:marBottom w:val="0"/>
      <w:divBdr>
        <w:top w:val="none" w:sz="0" w:space="0" w:color="auto"/>
        <w:left w:val="none" w:sz="0" w:space="0" w:color="auto"/>
        <w:bottom w:val="none" w:sz="0" w:space="0" w:color="auto"/>
        <w:right w:val="none" w:sz="0" w:space="0" w:color="auto"/>
      </w:divBdr>
    </w:div>
    <w:div w:id="1409185429">
      <w:bodyDiv w:val="1"/>
      <w:marLeft w:val="0"/>
      <w:marRight w:val="0"/>
      <w:marTop w:val="0"/>
      <w:marBottom w:val="0"/>
      <w:divBdr>
        <w:top w:val="none" w:sz="0" w:space="0" w:color="auto"/>
        <w:left w:val="none" w:sz="0" w:space="0" w:color="auto"/>
        <w:bottom w:val="none" w:sz="0" w:space="0" w:color="auto"/>
        <w:right w:val="none" w:sz="0" w:space="0" w:color="auto"/>
      </w:divBdr>
    </w:div>
    <w:div w:id="1439449116">
      <w:bodyDiv w:val="1"/>
      <w:marLeft w:val="0"/>
      <w:marRight w:val="0"/>
      <w:marTop w:val="0"/>
      <w:marBottom w:val="0"/>
      <w:divBdr>
        <w:top w:val="none" w:sz="0" w:space="0" w:color="auto"/>
        <w:left w:val="none" w:sz="0" w:space="0" w:color="auto"/>
        <w:bottom w:val="none" w:sz="0" w:space="0" w:color="auto"/>
        <w:right w:val="none" w:sz="0" w:space="0" w:color="auto"/>
      </w:divBdr>
    </w:div>
    <w:div w:id="1508253037">
      <w:bodyDiv w:val="1"/>
      <w:marLeft w:val="0"/>
      <w:marRight w:val="0"/>
      <w:marTop w:val="0"/>
      <w:marBottom w:val="0"/>
      <w:divBdr>
        <w:top w:val="none" w:sz="0" w:space="0" w:color="auto"/>
        <w:left w:val="none" w:sz="0" w:space="0" w:color="auto"/>
        <w:bottom w:val="none" w:sz="0" w:space="0" w:color="auto"/>
        <w:right w:val="none" w:sz="0" w:space="0" w:color="auto"/>
      </w:divBdr>
    </w:div>
    <w:div w:id="1538734626">
      <w:bodyDiv w:val="1"/>
      <w:marLeft w:val="0"/>
      <w:marRight w:val="0"/>
      <w:marTop w:val="0"/>
      <w:marBottom w:val="0"/>
      <w:divBdr>
        <w:top w:val="none" w:sz="0" w:space="0" w:color="auto"/>
        <w:left w:val="none" w:sz="0" w:space="0" w:color="auto"/>
        <w:bottom w:val="none" w:sz="0" w:space="0" w:color="auto"/>
        <w:right w:val="none" w:sz="0" w:space="0" w:color="auto"/>
      </w:divBdr>
    </w:div>
    <w:div w:id="1615675051">
      <w:bodyDiv w:val="1"/>
      <w:marLeft w:val="0"/>
      <w:marRight w:val="0"/>
      <w:marTop w:val="0"/>
      <w:marBottom w:val="0"/>
      <w:divBdr>
        <w:top w:val="none" w:sz="0" w:space="0" w:color="auto"/>
        <w:left w:val="none" w:sz="0" w:space="0" w:color="auto"/>
        <w:bottom w:val="none" w:sz="0" w:space="0" w:color="auto"/>
        <w:right w:val="none" w:sz="0" w:space="0" w:color="auto"/>
      </w:divBdr>
    </w:div>
    <w:div w:id="1620381121">
      <w:bodyDiv w:val="1"/>
      <w:marLeft w:val="0"/>
      <w:marRight w:val="0"/>
      <w:marTop w:val="0"/>
      <w:marBottom w:val="0"/>
      <w:divBdr>
        <w:top w:val="none" w:sz="0" w:space="0" w:color="auto"/>
        <w:left w:val="none" w:sz="0" w:space="0" w:color="auto"/>
        <w:bottom w:val="none" w:sz="0" w:space="0" w:color="auto"/>
        <w:right w:val="none" w:sz="0" w:space="0" w:color="auto"/>
      </w:divBdr>
    </w:div>
    <w:div w:id="1641500918">
      <w:bodyDiv w:val="1"/>
      <w:marLeft w:val="0"/>
      <w:marRight w:val="0"/>
      <w:marTop w:val="0"/>
      <w:marBottom w:val="0"/>
      <w:divBdr>
        <w:top w:val="none" w:sz="0" w:space="0" w:color="auto"/>
        <w:left w:val="none" w:sz="0" w:space="0" w:color="auto"/>
        <w:bottom w:val="none" w:sz="0" w:space="0" w:color="auto"/>
        <w:right w:val="none" w:sz="0" w:space="0" w:color="auto"/>
      </w:divBdr>
    </w:div>
    <w:div w:id="1641614369">
      <w:bodyDiv w:val="1"/>
      <w:marLeft w:val="0"/>
      <w:marRight w:val="0"/>
      <w:marTop w:val="0"/>
      <w:marBottom w:val="0"/>
      <w:divBdr>
        <w:top w:val="none" w:sz="0" w:space="0" w:color="auto"/>
        <w:left w:val="none" w:sz="0" w:space="0" w:color="auto"/>
        <w:bottom w:val="none" w:sz="0" w:space="0" w:color="auto"/>
        <w:right w:val="none" w:sz="0" w:space="0" w:color="auto"/>
      </w:divBdr>
    </w:div>
    <w:div w:id="1660189600">
      <w:bodyDiv w:val="1"/>
      <w:marLeft w:val="0"/>
      <w:marRight w:val="0"/>
      <w:marTop w:val="0"/>
      <w:marBottom w:val="0"/>
      <w:divBdr>
        <w:top w:val="none" w:sz="0" w:space="0" w:color="auto"/>
        <w:left w:val="none" w:sz="0" w:space="0" w:color="auto"/>
        <w:bottom w:val="none" w:sz="0" w:space="0" w:color="auto"/>
        <w:right w:val="none" w:sz="0" w:space="0" w:color="auto"/>
      </w:divBdr>
    </w:div>
    <w:div w:id="1660426786">
      <w:bodyDiv w:val="1"/>
      <w:marLeft w:val="0"/>
      <w:marRight w:val="0"/>
      <w:marTop w:val="0"/>
      <w:marBottom w:val="0"/>
      <w:divBdr>
        <w:top w:val="none" w:sz="0" w:space="0" w:color="auto"/>
        <w:left w:val="none" w:sz="0" w:space="0" w:color="auto"/>
        <w:bottom w:val="none" w:sz="0" w:space="0" w:color="auto"/>
        <w:right w:val="none" w:sz="0" w:space="0" w:color="auto"/>
      </w:divBdr>
    </w:div>
    <w:div w:id="1660620890">
      <w:bodyDiv w:val="1"/>
      <w:marLeft w:val="0"/>
      <w:marRight w:val="0"/>
      <w:marTop w:val="0"/>
      <w:marBottom w:val="0"/>
      <w:divBdr>
        <w:top w:val="none" w:sz="0" w:space="0" w:color="auto"/>
        <w:left w:val="none" w:sz="0" w:space="0" w:color="auto"/>
        <w:bottom w:val="none" w:sz="0" w:space="0" w:color="auto"/>
        <w:right w:val="none" w:sz="0" w:space="0" w:color="auto"/>
      </w:divBdr>
    </w:div>
    <w:div w:id="1798528822">
      <w:bodyDiv w:val="1"/>
      <w:marLeft w:val="0"/>
      <w:marRight w:val="0"/>
      <w:marTop w:val="0"/>
      <w:marBottom w:val="0"/>
      <w:divBdr>
        <w:top w:val="none" w:sz="0" w:space="0" w:color="auto"/>
        <w:left w:val="none" w:sz="0" w:space="0" w:color="auto"/>
        <w:bottom w:val="none" w:sz="0" w:space="0" w:color="auto"/>
        <w:right w:val="none" w:sz="0" w:space="0" w:color="auto"/>
      </w:divBdr>
    </w:div>
    <w:div w:id="1801535427">
      <w:bodyDiv w:val="1"/>
      <w:marLeft w:val="0"/>
      <w:marRight w:val="0"/>
      <w:marTop w:val="0"/>
      <w:marBottom w:val="0"/>
      <w:divBdr>
        <w:top w:val="none" w:sz="0" w:space="0" w:color="auto"/>
        <w:left w:val="none" w:sz="0" w:space="0" w:color="auto"/>
        <w:bottom w:val="none" w:sz="0" w:space="0" w:color="auto"/>
        <w:right w:val="none" w:sz="0" w:space="0" w:color="auto"/>
      </w:divBdr>
    </w:div>
    <w:div w:id="1815826172">
      <w:bodyDiv w:val="1"/>
      <w:marLeft w:val="0"/>
      <w:marRight w:val="0"/>
      <w:marTop w:val="0"/>
      <w:marBottom w:val="0"/>
      <w:divBdr>
        <w:top w:val="none" w:sz="0" w:space="0" w:color="auto"/>
        <w:left w:val="none" w:sz="0" w:space="0" w:color="auto"/>
        <w:bottom w:val="none" w:sz="0" w:space="0" w:color="auto"/>
        <w:right w:val="none" w:sz="0" w:space="0" w:color="auto"/>
      </w:divBdr>
    </w:div>
    <w:div w:id="1821535589">
      <w:bodyDiv w:val="1"/>
      <w:marLeft w:val="0"/>
      <w:marRight w:val="0"/>
      <w:marTop w:val="0"/>
      <w:marBottom w:val="0"/>
      <w:divBdr>
        <w:top w:val="none" w:sz="0" w:space="0" w:color="auto"/>
        <w:left w:val="none" w:sz="0" w:space="0" w:color="auto"/>
        <w:bottom w:val="none" w:sz="0" w:space="0" w:color="auto"/>
        <w:right w:val="none" w:sz="0" w:space="0" w:color="auto"/>
      </w:divBdr>
    </w:div>
    <w:div w:id="1832063969">
      <w:bodyDiv w:val="1"/>
      <w:marLeft w:val="0"/>
      <w:marRight w:val="0"/>
      <w:marTop w:val="0"/>
      <w:marBottom w:val="0"/>
      <w:divBdr>
        <w:top w:val="none" w:sz="0" w:space="0" w:color="auto"/>
        <w:left w:val="none" w:sz="0" w:space="0" w:color="auto"/>
        <w:bottom w:val="none" w:sz="0" w:space="0" w:color="auto"/>
        <w:right w:val="none" w:sz="0" w:space="0" w:color="auto"/>
      </w:divBdr>
    </w:div>
    <w:div w:id="1879463979">
      <w:bodyDiv w:val="1"/>
      <w:marLeft w:val="0"/>
      <w:marRight w:val="0"/>
      <w:marTop w:val="0"/>
      <w:marBottom w:val="0"/>
      <w:divBdr>
        <w:top w:val="none" w:sz="0" w:space="0" w:color="auto"/>
        <w:left w:val="none" w:sz="0" w:space="0" w:color="auto"/>
        <w:bottom w:val="none" w:sz="0" w:space="0" w:color="auto"/>
        <w:right w:val="none" w:sz="0" w:space="0" w:color="auto"/>
      </w:divBdr>
    </w:div>
    <w:div w:id="1890215928">
      <w:bodyDiv w:val="1"/>
      <w:marLeft w:val="0"/>
      <w:marRight w:val="0"/>
      <w:marTop w:val="0"/>
      <w:marBottom w:val="0"/>
      <w:divBdr>
        <w:top w:val="none" w:sz="0" w:space="0" w:color="auto"/>
        <w:left w:val="none" w:sz="0" w:space="0" w:color="auto"/>
        <w:bottom w:val="none" w:sz="0" w:space="0" w:color="auto"/>
        <w:right w:val="none" w:sz="0" w:space="0" w:color="auto"/>
      </w:divBdr>
    </w:div>
    <w:div w:id="1905601682">
      <w:bodyDiv w:val="1"/>
      <w:marLeft w:val="0"/>
      <w:marRight w:val="0"/>
      <w:marTop w:val="0"/>
      <w:marBottom w:val="0"/>
      <w:divBdr>
        <w:top w:val="none" w:sz="0" w:space="0" w:color="auto"/>
        <w:left w:val="none" w:sz="0" w:space="0" w:color="auto"/>
        <w:bottom w:val="none" w:sz="0" w:space="0" w:color="auto"/>
        <w:right w:val="none" w:sz="0" w:space="0" w:color="auto"/>
      </w:divBdr>
    </w:div>
    <w:div w:id="1914654713">
      <w:bodyDiv w:val="1"/>
      <w:marLeft w:val="0"/>
      <w:marRight w:val="0"/>
      <w:marTop w:val="0"/>
      <w:marBottom w:val="0"/>
      <w:divBdr>
        <w:top w:val="none" w:sz="0" w:space="0" w:color="auto"/>
        <w:left w:val="none" w:sz="0" w:space="0" w:color="auto"/>
        <w:bottom w:val="none" w:sz="0" w:space="0" w:color="auto"/>
        <w:right w:val="none" w:sz="0" w:space="0" w:color="auto"/>
      </w:divBdr>
    </w:div>
    <w:div w:id="1940019672">
      <w:bodyDiv w:val="1"/>
      <w:marLeft w:val="0"/>
      <w:marRight w:val="0"/>
      <w:marTop w:val="0"/>
      <w:marBottom w:val="0"/>
      <w:divBdr>
        <w:top w:val="none" w:sz="0" w:space="0" w:color="auto"/>
        <w:left w:val="none" w:sz="0" w:space="0" w:color="auto"/>
        <w:bottom w:val="none" w:sz="0" w:space="0" w:color="auto"/>
        <w:right w:val="none" w:sz="0" w:space="0" w:color="auto"/>
      </w:divBdr>
    </w:div>
    <w:div w:id="1969772735">
      <w:bodyDiv w:val="1"/>
      <w:marLeft w:val="0"/>
      <w:marRight w:val="0"/>
      <w:marTop w:val="0"/>
      <w:marBottom w:val="0"/>
      <w:divBdr>
        <w:top w:val="none" w:sz="0" w:space="0" w:color="auto"/>
        <w:left w:val="none" w:sz="0" w:space="0" w:color="auto"/>
        <w:bottom w:val="none" w:sz="0" w:space="0" w:color="auto"/>
        <w:right w:val="none" w:sz="0" w:space="0" w:color="auto"/>
      </w:divBdr>
    </w:div>
    <w:div w:id="2051149284">
      <w:bodyDiv w:val="1"/>
      <w:marLeft w:val="0"/>
      <w:marRight w:val="0"/>
      <w:marTop w:val="0"/>
      <w:marBottom w:val="0"/>
      <w:divBdr>
        <w:top w:val="none" w:sz="0" w:space="0" w:color="auto"/>
        <w:left w:val="none" w:sz="0" w:space="0" w:color="auto"/>
        <w:bottom w:val="none" w:sz="0" w:space="0" w:color="auto"/>
        <w:right w:val="none" w:sz="0" w:space="0" w:color="auto"/>
      </w:divBdr>
    </w:div>
    <w:div w:id="2104570529">
      <w:bodyDiv w:val="1"/>
      <w:marLeft w:val="0"/>
      <w:marRight w:val="0"/>
      <w:marTop w:val="0"/>
      <w:marBottom w:val="0"/>
      <w:divBdr>
        <w:top w:val="none" w:sz="0" w:space="0" w:color="auto"/>
        <w:left w:val="none" w:sz="0" w:space="0" w:color="auto"/>
        <w:bottom w:val="none" w:sz="0" w:space="0" w:color="auto"/>
        <w:right w:val="none" w:sz="0" w:space="0" w:color="auto"/>
      </w:divBdr>
    </w:div>
    <w:div w:id="2123960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A47A0-67DF-4FB9-88E7-0B8C0290F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21230</Words>
  <Characters>121011</Characters>
  <Application>Microsoft Office Word</Application>
  <DocSecurity>0</DocSecurity>
  <Lines>1008</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Nilesh Nawale</cp:lastModifiedBy>
  <cp:revision>2</cp:revision>
  <dcterms:created xsi:type="dcterms:W3CDTF">2025-08-18T05:06:00Z</dcterms:created>
  <dcterms:modified xsi:type="dcterms:W3CDTF">2025-08-18T05:06:00Z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http://www.zotero.org/styles/ieee</vt:lpwstr>
  </property>
  <property fmtid="{D5CDD505-2E9C-101B-9397-08002B2CF9AE}" pid="5" name="Mendeley Recent Style Name 1_1">
    <vt:lpwstr>IEEE</vt:lpwstr>
  </property>
  <property fmtid="{D5CDD505-2E9C-101B-9397-08002B2CF9AE}" pid="6" name="Mendeley Recent Style Id 2_1">
    <vt:lpwstr>http://www.zotero.org/styles/journal-of-applied-water-engineering-and-research</vt:lpwstr>
  </property>
  <property fmtid="{D5CDD505-2E9C-101B-9397-08002B2CF9AE}" pid="7" name="Mendeley Recent Style Name 2_1">
    <vt:lpwstr>Journal of Applied Water Engineering and Research</vt:lpwstr>
  </property>
  <property fmtid="{D5CDD505-2E9C-101B-9397-08002B2CF9AE}" pid="8" name="Mendeley Recent Style Id 3_1">
    <vt:lpwstr>http://www.zotero.org/styles/harvard-leeds-beckett-university</vt:lpwstr>
  </property>
  <property fmtid="{D5CDD505-2E9C-101B-9397-08002B2CF9AE}" pid="9" name="Mendeley Recent Style Name 3_1">
    <vt:lpwstr>Leeds Beckett University - Harvard</vt:lpwstr>
  </property>
  <property fmtid="{D5CDD505-2E9C-101B-9397-08002B2CF9AE}" pid="10" name="Mendeley Recent Style Id 4_1">
    <vt:lpwstr>http://www.zotero.org/styles/harvard-london-south-bank-university</vt:lpwstr>
  </property>
  <property fmtid="{D5CDD505-2E9C-101B-9397-08002B2CF9AE}" pid="11" name="Mendeley Recent Style Name 4_1">
    <vt:lpwstr>London South Bank University - Harvard</vt:lpwstr>
  </property>
  <property fmtid="{D5CDD505-2E9C-101B-9397-08002B2CF9AE}" pid="12" name="Mendeley Recent Style Id 5_1">
    <vt:lpwstr>http://www.zotero.org/styles/national-library-of-medicine</vt:lpwstr>
  </property>
  <property fmtid="{D5CDD505-2E9C-101B-9397-08002B2CF9AE}" pid="13" name="Mendeley Recent Style Name 5_1">
    <vt:lpwstr>National Library of Medicine</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http://www.zotero.org/styles/harvard-the-university-of-northampton</vt:lpwstr>
  </property>
  <property fmtid="{D5CDD505-2E9C-101B-9397-08002B2CF9AE}" pid="17" name="Mendeley Recent Style Name 7_1">
    <vt:lpwstr>The University of Northampton - Harvard</vt:lpwstr>
  </property>
  <property fmtid="{D5CDD505-2E9C-101B-9397-08002B2CF9AE}" pid="18" name="Mendeley Recent Style Id 8_1">
    <vt:lpwstr>http://www.zotero.org/styles/harvard-university-of-greenwich</vt:lpwstr>
  </property>
  <property fmtid="{D5CDD505-2E9C-101B-9397-08002B2CF9AE}" pid="19" name="Mendeley Recent Style Name 8_1">
    <vt:lpwstr>University of Greenwich - Harvard</vt:lpwstr>
  </property>
  <property fmtid="{D5CDD505-2E9C-101B-9397-08002B2CF9AE}" pid="20" name="Mendeley Recent Style Id 9_1">
    <vt:lpwstr>http://www.zotero.org/styles/university-of-lincoln-harvard</vt:lpwstr>
  </property>
  <property fmtid="{D5CDD505-2E9C-101B-9397-08002B2CF9AE}" pid="21" name="Mendeley Recent Style Name 9_1">
    <vt:lpwstr>University of Lincoln - Harvard</vt:lpwstr>
  </property>
  <property fmtid="{D5CDD505-2E9C-101B-9397-08002B2CF9AE}" pid="22" name="Mendeley Document_1">
    <vt:lpwstr>True</vt:lpwstr>
  </property>
  <property fmtid="{D5CDD505-2E9C-101B-9397-08002B2CF9AE}" pid="23" name="Mendeley Unique User Id_1">
    <vt:lpwstr>6ac4a18f-19ef-39ba-acf6-34223f2983a6</vt:lpwstr>
  </property>
  <property fmtid="{D5CDD505-2E9C-101B-9397-08002B2CF9AE}" pid="24" name="Mendeley Citation Style_1">
    <vt:lpwstr>http://www.zotero.org/styles/harvard-the-university-of-northampton</vt:lpwstr>
  </property>
</Properties>
</file>