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B3C674">
      <w:pPr>
        <w:keepNext w:val="0"/>
        <w:keepLines w:val="0"/>
        <w:pageBreakBefore w:val="0"/>
        <w:widowControl w:val="0"/>
        <w:kinsoku/>
        <w:wordWrap/>
        <w:overflowPunct/>
        <w:topLinePunct w:val="0"/>
        <w:autoSpaceDE/>
        <w:autoSpaceDN/>
        <w:bidi w:val="0"/>
        <w:adjustRightInd/>
        <w:snapToGrid/>
        <w:spacing w:line="360" w:lineRule="auto"/>
        <w:ind w:firstLine="425"/>
        <w:textAlignment w:val="auto"/>
        <w:rPr>
          <w:rFonts w:hint="default" w:ascii="Times New Roman" w:hAnsi="Times New Roman" w:eastAsia="等线" w:cs="Times New Roman"/>
          <w:snapToGrid w:val="0"/>
          <w:color w:val="000000"/>
          <w:kern w:val="0"/>
          <w:sz w:val="20"/>
          <w:szCs w:val="20"/>
          <w:lang w:val="en-US" w:eastAsia="zh-CN" w:bidi="en-US"/>
          <w14:ligatures w14:val="none"/>
        </w:rPr>
      </w:pPr>
      <w:r>
        <w:rPr>
          <w:rFonts w:hint="default" w:ascii="Times New Roman" w:hAnsi="Times New Roman" w:eastAsia="等线" w:cs="Times New Roman"/>
          <w:snapToGrid w:val="0"/>
          <w:color w:val="000000"/>
          <w:kern w:val="0"/>
          <w:sz w:val="20"/>
          <w:szCs w:val="20"/>
          <w:lang w:val="en-US" w:eastAsia="zh-CN" w:bidi="en-US"/>
          <w14:ligatures w14:val="none"/>
        </w:rPr>
        <w:t>Table S1 presents the strain isolation results and morphological characteristics, including optimal growth temperatures, colony morphology (size, color, and form) for each isolated strain.</w:t>
      </w:r>
    </w:p>
    <w:p w14:paraId="64AC8CC4">
      <w:pPr>
        <w:keepNext w:val="0"/>
        <w:keepLines w:val="0"/>
        <w:pageBreakBefore w:val="0"/>
        <w:widowControl w:val="0"/>
        <w:kinsoku/>
        <w:wordWrap/>
        <w:overflowPunct/>
        <w:topLinePunct w:val="0"/>
        <w:autoSpaceDE/>
        <w:autoSpaceDN/>
        <w:bidi w:val="0"/>
        <w:adjustRightInd/>
        <w:snapToGrid/>
        <w:spacing w:line="228" w:lineRule="auto"/>
        <w:ind w:firstLine="425"/>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b/>
          <w:bCs/>
          <w:sz w:val="18"/>
          <w:szCs w:val="18"/>
        </w:rPr>
        <w:t>Table S1.</w:t>
      </w:r>
      <w:r>
        <w:rPr>
          <w:rFonts w:hint="default" w:ascii="Times New Roman" w:hAnsi="Times New Roman" w:eastAsia="宋体" w:cs="Times New Roman"/>
          <w:b/>
          <w:bCs/>
          <w:sz w:val="18"/>
          <w:szCs w:val="18"/>
          <w:lang w:val="en-US" w:eastAsia="zh-CN"/>
        </w:rPr>
        <w:t xml:space="preserve"> </w:t>
      </w:r>
      <w:r>
        <w:rPr>
          <w:rFonts w:hint="default" w:ascii="Times New Roman" w:hAnsi="Times New Roman" w:eastAsia="宋体" w:cs="Times New Roman"/>
          <w:sz w:val="18"/>
          <w:szCs w:val="18"/>
        </w:rPr>
        <w:t>Isolation results and morphological characteristics of strains</w:t>
      </w:r>
    </w:p>
    <w:tbl>
      <w:tblPr>
        <w:tblStyle w:val="8"/>
        <w:tblW w:w="8674"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4"/>
        <w:gridCol w:w="1334"/>
        <w:gridCol w:w="1287"/>
        <w:gridCol w:w="4929"/>
      </w:tblGrid>
      <w:tr w14:paraId="2565E1A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tcBorders>
              <w:top w:val="single" w:color="000000" w:sz="12" w:space="0"/>
              <w:bottom w:val="single" w:color="000000" w:sz="6" w:space="0"/>
            </w:tcBorders>
            <w:vAlign w:val="center"/>
          </w:tcPr>
          <w:p w14:paraId="0D49C1D4">
            <w:pPr>
              <w:adjustRightInd w:val="0"/>
              <w:spacing w:before="120" w:after="240" w:line="296" w:lineRule="auto"/>
              <w:contextualSpacing/>
              <w:jc w:val="center"/>
              <w:rPr>
                <w:rFonts w:hint="default" w:ascii="Times New Roman" w:hAnsi="Times New Roman" w:cs="Times New Roman"/>
                <w:b/>
                <w:bCs/>
                <w:sz w:val="18"/>
                <w:szCs w:val="18"/>
              </w:rPr>
            </w:pPr>
            <w:r>
              <w:rPr>
                <w:rFonts w:hint="default" w:ascii="Times New Roman" w:hAnsi="Times New Roman" w:cs="Times New Roman"/>
                <w:b/>
                <w:bCs/>
                <w:sz w:val="18"/>
                <w:szCs w:val="18"/>
              </w:rPr>
              <w:t>Strain number</w:t>
            </w:r>
          </w:p>
        </w:tc>
        <w:tc>
          <w:tcPr>
            <w:tcW w:w="1334" w:type="dxa"/>
            <w:tcBorders>
              <w:top w:val="single" w:color="000000" w:sz="12" w:space="0"/>
              <w:bottom w:val="single" w:color="000000" w:sz="6" w:space="0"/>
            </w:tcBorders>
            <w:vAlign w:val="center"/>
          </w:tcPr>
          <w:p w14:paraId="619D9963">
            <w:pPr>
              <w:adjustRightInd w:val="0"/>
              <w:spacing w:before="120" w:after="240" w:line="296" w:lineRule="auto"/>
              <w:contextualSpacing/>
              <w:jc w:val="center"/>
              <w:rPr>
                <w:rFonts w:hint="default" w:ascii="Times New Roman" w:hAnsi="Times New Roman" w:cs="Times New Roman"/>
                <w:b/>
                <w:bCs/>
                <w:sz w:val="18"/>
                <w:szCs w:val="18"/>
              </w:rPr>
            </w:pPr>
            <w:r>
              <w:rPr>
                <w:rFonts w:hint="default" w:ascii="Times New Roman" w:hAnsi="Times New Roman" w:cs="Times New Roman"/>
                <w:b/>
                <w:bCs/>
                <w:sz w:val="18"/>
                <w:szCs w:val="18"/>
              </w:rPr>
              <w:t>Culture temperature</w:t>
            </w:r>
          </w:p>
        </w:tc>
        <w:tc>
          <w:tcPr>
            <w:tcW w:w="1287" w:type="dxa"/>
            <w:tcBorders>
              <w:top w:val="single" w:color="000000" w:sz="12" w:space="0"/>
              <w:bottom w:val="single" w:color="000000" w:sz="6" w:space="0"/>
            </w:tcBorders>
            <w:vAlign w:val="center"/>
          </w:tcPr>
          <w:p w14:paraId="76124DB8">
            <w:pPr>
              <w:adjustRightInd w:val="0"/>
              <w:spacing w:before="120" w:after="240" w:line="296" w:lineRule="auto"/>
              <w:contextualSpacing/>
              <w:jc w:val="center"/>
              <w:rPr>
                <w:rFonts w:hint="default" w:ascii="Times New Roman" w:hAnsi="Times New Roman" w:cs="Times New Roman"/>
                <w:b/>
                <w:bCs/>
                <w:sz w:val="18"/>
                <w:szCs w:val="18"/>
              </w:rPr>
            </w:pPr>
            <w:r>
              <w:rPr>
                <w:rFonts w:hint="default" w:ascii="Times New Roman" w:hAnsi="Times New Roman" w:cs="Times New Roman"/>
                <w:b/>
                <w:bCs/>
                <w:sz w:val="18"/>
                <w:szCs w:val="18"/>
              </w:rPr>
              <w:t>Medium type</w:t>
            </w:r>
          </w:p>
        </w:tc>
        <w:tc>
          <w:tcPr>
            <w:tcW w:w="4929" w:type="dxa"/>
            <w:tcBorders>
              <w:top w:val="single" w:color="000000" w:sz="12" w:space="0"/>
              <w:bottom w:val="single" w:color="000000" w:sz="6" w:space="0"/>
            </w:tcBorders>
            <w:vAlign w:val="center"/>
          </w:tcPr>
          <w:p w14:paraId="373C751E">
            <w:pPr>
              <w:adjustRightInd w:val="0"/>
              <w:spacing w:before="120" w:after="240" w:line="296" w:lineRule="auto"/>
              <w:contextualSpacing/>
              <w:jc w:val="center"/>
              <w:rPr>
                <w:rFonts w:hint="default" w:ascii="Times New Roman" w:hAnsi="Times New Roman" w:cs="Times New Roman"/>
                <w:b/>
                <w:bCs/>
                <w:sz w:val="18"/>
                <w:szCs w:val="18"/>
              </w:rPr>
            </w:pPr>
            <w:r>
              <w:rPr>
                <w:rFonts w:hint="default" w:ascii="Times New Roman" w:hAnsi="Times New Roman" w:cs="Times New Roman"/>
                <w:b/>
                <w:bCs/>
                <w:sz w:val="18"/>
                <w:szCs w:val="18"/>
              </w:rPr>
              <w:t>Morphological characteristics</w:t>
            </w:r>
          </w:p>
        </w:tc>
      </w:tr>
      <w:tr w14:paraId="3E5B090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tcBorders>
              <w:top w:val="single" w:color="000000" w:sz="6" w:space="0"/>
            </w:tcBorders>
            <w:vAlign w:val="center"/>
          </w:tcPr>
          <w:p w14:paraId="508FAB9F">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LB1</w:t>
            </w:r>
          </w:p>
        </w:tc>
        <w:tc>
          <w:tcPr>
            <w:tcW w:w="1334" w:type="dxa"/>
            <w:tcBorders>
              <w:top w:val="single" w:color="000000" w:sz="6" w:space="0"/>
            </w:tcBorders>
            <w:vAlign w:val="center"/>
          </w:tcPr>
          <w:p w14:paraId="32B7E3AE">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40</w:t>
            </w:r>
            <w:r>
              <w:rPr>
                <w:rFonts w:hint="default" w:ascii="Times New Roman" w:hAnsi="Times New Roman" w:eastAsia="宋体" w:cs="Times New Roman"/>
                <w:sz w:val="18"/>
                <w:szCs w:val="18"/>
              </w:rPr>
              <w:t>℃</w:t>
            </w:r>
          </w:p>
        </w:tc>
        <w:tc>
          <w:tcPr>
            <w:tcW w:w="1287" w:type="dxa"/>
            <w:tcBorders>
              <w:top w:val="single" w:color="000000" w:sz="6" w:space="0"/>
            </w:tcBorders>
            <w:vAlign w:val="center"/>
          </w:tcPr>
          <w:p w14:paraId="53A659C9">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bacteria</w:t>
            </w:r>
          </w:p>
        </w:tc>
        <w:tc>
          <w:tcPr>
            <w:tcW w:w="4929" w:type="dxa"/>
            <w:tcBorders>
              <w:top w:val="single" w:color="000000" w:sz="6" w:space="0"/>
            </w:tcBorders>
            <w:vAlign w:val="center"/>
          </w:tcPr>
          <w:p w14:paraId="2FCF4A1D">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size of the colony is 1 ~ 2 mm, the color is light yellow, the edge is rough, the shape of the colony is irregular round, the colony is dull and opaque.</w:t>
            </w:r>
          </w:p>
        </w:tc>
      </w:tr>
      <w:tr w14:paraId="7F92DB0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45776C13">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LB2</w:t>
            </w:r>
          </w:p>
        </w:tc>
        <w:tc>
          <w:tcPr>
            <w:tcW w:w="1334" w:type="dxa"/>
            <w:vAlign w:val="center"/>
          </w:tcPr>
          <w:p w14:paraId="1179F6C3">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40</w:t>
            </w:r>
            <w:r>
              <w:rPr>
                <w:rFonts w:hint="default" w:ascii="Times New Roman" w:hAnsi="Times New Roman" w:eastAsia="宋体" w:cs="Times New Roman"/>
                <w:sz w:val="18"/>
                <w:szCs w:val="18"/>
              </w:rPr>
              <w:t>℃</w:t>
            </w:r>
          </w:p>
        </w:tc>
        <w:tc>
          <w:tcPr>
            <w:tcW w:w="1287" w:type="dxa"/>
            <w:vAlign w:val="center"/>
          </w:tcPr>
          <w:p w14:paraId="0EFC52D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bacteria</w:t>
            </w:r>
          </w:p>
        </w:tc>
        <w:tc>
          <w:tcPr>
            <w:tcW w:w="4929" w:type="dxa"/>
            <w:vAlign w:val="center"/>
          </w:tcPr>
          <w:p w14:paraId="0103885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colony size is 2 ~ 3 mm, the color is light yellow, the edge is smooth, the colony shape is round, the colony is dull and opaque.</w:t>
            </w:r>
          </w:p>
        </w:tc>
      </w:tr>
      <w:tr w14:paraId="79F485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3FE8AE4D">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LB3</w:t>
            </w:r>
          </w:p>
        </w:tc>
        <w:tc>
          <w:tcPr>
            <w:tcW w:w="1334" w:type="dxa"/>
            <w:vAlign w:val="center"/>
          </w:tcPr>
          <w:p w14:paraId="5C73856E">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40</w:t>
            </w:r>
            <w:r>
              <w:rPr>
                <w:rFonts w:hint="default" w:ascii="Times New Roman" w:hAnsi="Times New Roman" w:eastAsia="宋体" w:cs="Times New Roman"/>
                <w:sz w:val="18"/>
                <w:szCs w:val="18"/>
              </w:rPr>
              <w:t>℃</w:t>
            </w:r>
          </w:p>
        </w:tc>
        <w:tc>
          <w:tcPr>
            <w:tcW w:w="1287" w:type="dxa"/>
            <w:vAlign w:val="center"/>
          </w:tcPr>
          <w:p w14:paraId="56D2B569">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bacteria</w:t>
            </w:r>
          </w:p>
        </w:tc>
        <w:tc>
          <w:tcPr>
            <w:tcW w:w="4929" w:type="dxa"/>
            <w:vAlign w:val="center"/>
          </w:tcPr>
          <w:p w14:paraId="6C865EE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size of the colony is 1.5 ~ 2 mm, the color is light yellow, the edge is rough, the shape of the colony is nearly round, the colony is dull and opaque.</w:t>
            </w:r>
          </w:p>
        </w:tc>
      </w:tr>
      <w:tr w14:paraId="666E276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34B2BD25">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LB4</w:t>
            </w:r>
          </w:p>
        </w:tc>
        <w:tc>
          <w:tcPr>
            <w:tcW w:w="1334" w:type="dxa"/>
            <w:vAlign w:val="center"/>
          </w:tcPr>
          <w:p w14:paraId="480F0417">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50</w:t>
            </w:r>
            <w:r>
              <w:rPr>
                <w:rFonts w:hint="default" w:ascii="Times New Roman" w:hAnsi="Times New Roman" w:eastAsia="宋体" w:cs="Times New Roman"/>
                <w:sz w:val="18"/>
                <w:szCs w:val="18"/>
              </w:rPr>
              <w:t>℃</w:t>
            </w:r>
          </w:p>
        </w:tc>
        <w:tc>
          <w:tcPr>
            <w:tcW w:w="1287" w:type="dxa"/>
            <w:vAlign w:val="center"/>
          </w:tcPr>
          <w:p w14:paraId="031CC36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bacteria</w:t>
            </w:r>
          </w:p>
        </w:tc>
        <w:tc>
          <w:tcPr>
            <w:tcW w:w="4929" w:type="dxa"/>
            <w:vAlign w:val="center"/>
          </w:tcPr>
          <w:p w14:paraId="0181AA47">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colony size is 1 ~ 2 mm, the color is light yellow, the edge is smooth, the colony shape is nearly round, the colony is dull and opaque.</w:t>
            </w:r>
          </w:p>
        </w:tc>
      </w:tr>
      <w:tr w14:paraId="427B65F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2AEB9C4B">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LB5</w:t>
            </w:r>
          </w:p>
        </w:tc>
        <w:tc>
          <w:tcPr>
            <w:tcW w:w="1334" w:type="dxa"/>
            <w:vAlign w:val="center"/>
          </w:tcPr>
          <w:p w14:paraId="2BD7C137">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50</w:t>
            </w:r>
            <w:r>
              <w:rPr>
                <w:rFonts w:hint="default" w:ascii="Times New Roman" w:hAnsi="Times New Roman" w:eastAsia="宋体" w:cs="Times New Roman"/>
                <w:sz w:val="18"/>
                <w:szCs w:val="18"/>
              </w:rPr>
              <w:t>℃</w:t>
            </w:r>
          </w:p>
        </w:tc>
        <w:tc>
          <w:tcPr>
            <w:tcW w:w="1287" w:type="dxa"/>
            <w:vAlign w:val="center"/>
          </w:tcPr>
          <w:p w14:paraId="0F1C17E7">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bacteria</w:t>
            </w:r>
          </w:p>
        </w:tc>
        <w:tc>
          <w:tcPr>
            <w:tcW w:w="4929" w:type="dxa"/>
            <w:vAlign w:val="center"/>
          </w:tcPr>
          <w:p w14:paraId="43CD9FE1">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colony size is 1 ~ 4 mm, the color is beige, the edge is rough, the colony shape is nearly round, the colony is dull and opaque.</w:t>
            </w:r>
          </w:p>
        </w:tc>
      </w:tr>
      <w:tr w14:paraId="28EA94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13036570">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J-1-1</w:t>
            </w:r>
          </w:p>
        </w:tc>
        <w:tc>
          <w:tcPr>
            <w:tcW w:w="1334" w:type="dxa"/>
            <w:vAlign w:val="center"/>
          </w:tcPr>
          <w:p w14:paraId="04572FB7">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40</w:t>
            </w:r>
            <w:r>
              <w:rPr>
                <w:rFonts w:hint="default" w:ascii="Times New Roman" w:hAnsi="Times New Roman" w:eastAsia="宋体" w:cs="Times New Roman"/>
                <w:sz w:val="18"/>
                <w:szCs w:val="18"/>
              </w:rPr>
              <w:t>℃</w:t>
            </w:r>
          </w:p>
        </w:tc>
        <w:tc>
          <w:tcPr>
            <w:tcW w:w="1287" w:type="dxa"/>
            <w:vAlign w:val="center"/>
          </w:tcPr>
          <w:p w14:paraId="1FCE3189">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bacteria</w:t>
            </w:r>
          </w:p>
        </w:tc>
        <w:tc>
          <w:tcPr>
            <w:tcW w:w="4929" w:type="dxa"/>
            <w:vAlign w:val="center"/>
          </w:tcPr>
          <w:p w14:paraId="444F1522">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colony size is 1.5 ~ 2 mm, the color is light yellow, the edge is smooth, the colony shape is round, the colony is dull and translucent.</w:t>
            </w:r>
          </w:p>
        </w:tc>
      </w:tr>
      <w:tr w14:paraId="3CEA20F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4A48AE88">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J-1-2</w:t>
            </w:r>
          </w:p>
        </w:tc>
        <w:tc>
          <w:tcPr>
            <w:tcW w:w="1334" w:type="dxa"/>
            <w:vAlign w:val="center"/>
          </w:tcPr>
          <w:p w14:paraId="615C7FB4">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40</w:t>
            </w:r>
            <w:r>
              <w:rPr>
                <w:rFonts w:hint="default" w:ascii="Times New Roman" w:hAnsi="Times New Roman" w:eastAsia="宋体" w:cs="Times New Roman"/>
                <w:sz w:val="18"/>
                <w:szCs w:val="18"/>
              </w:rPr>
              <w:t>℃</w:t>
            </w:r>
          </w:p>
        </w:tc>
        <w:tc>
          <w:tcPr>
            <w:tcW w:w="1287" w:type="dxa"/>
            <w:vAlign w:val="center"/>
          </w:tcPr>
          <w:p w14:paraId="349C169A">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bacteria</w:t>
            </w:r>
          </w:p>
        </w:tc>
        <w:tc>
          <w:tcPr>
            <w:tcW w:w="4929" w:type="dxa"/>
            <w:vAlign w:val="center"/>
          </w:tcPr>
          <w:p w14:paraId="631BCF3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size of the colony is 1 ~ 3 mm, the color is light yellow, the edge is irregular, the shape of the colony is nearly round, the colony is dull and opaque.</w:t>
            </w:r>
          </w:p>
        </w:tc>
      </w:tr>
      <w:tr w14:paraId="74F4ADC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7CFF7A58">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J-2-1</w:t>
            </w:r>
          </w:p>
        </w:tc>
        <w:tc>
          <w:tcPr>
            <w:tcW w:w="1334" w:type="dxa"/>
            <w:vAlign w:val="center"/>
          </w:tcPr>
          <w:p w14:paraId="70058145">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40</w:t>
            </w:r>
            <w:r>
              <w:rPr>
                <w:rFonts w:hint="default" w:ascii="Times New Roman" w:hAnsi="Times New Roman" w:eastAsia="宋体" w:cs="Times New Roman"/>
                <w:sz w:val="18"/>
                <w:szCs w:val="18"/>
              </w:rPr>
              <w:t>℃</w:t>
            </w:r>
          </w:p>
        </w:tc>
        <w:tc>
          <w:tcPr>
            <w:tcW w:w="1287" w:type="dxa"/>
            <w:vAlign w:val="center"/>
          </w:tcPr>
          <w:p w14:paraId="1E3D2549">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bacteria</w:t>
            </w:r>
          </w:p>
        </w:tc>
        <w:tc>
          <w:tcPr>
            <w:tcW w:w="4929" w:type="dxa"/>
            <w:vAlign w:val="center"/>
          </w:tcPr>
          <w:p w14:paraId="2ACC26AE">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colony size is 1.5 ~ 2 mm, the color is light yellow, the edge is smooth, the colony shape is round, the colony is dull and translucent.</w:t>
            </w:r>
          </w:p>
        </w:tc>
      </w:tr>
      <w:tr w14:paraId="41B8B9C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69BBEA48">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J-2-4</w:t>
            </w:r>
          </w:p>
        </w:tc>
        <w:tc>
          <w:tcPr>
            <w:tcW w:w="1334" w:type="dxa"/>
            <w:vAlign w:val="center"/>
          </w:tcPr>
          <w:p w14:paraId="6917CC82">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50</w:t>
            </w:r>
            <w:r>
              <w:rPr>
                <w:rFonts w:hint="default" w:ascii="Times New Roman" w:hAnsi="Times New Roman" w:eastAsia="宋体" w:cs="Times New Roman"/>
                <w:sz w:val="18"/>
                <w:szCs w:val="18"/>
              </w:rPr>
              <w:t>℃</w:t>
            </w:r>
          </w:p>
        </w:tc>
        <w:tc>
          <w:tcPr>
            <w:tcW w:w="1287" w:type="dxa"/>
            <w:vAlign w:val="center"/>
          </w:tcPr>
          <w:p w14:paraId="510D76D6">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bacteria</w:t>
            </w:r>
          </w:p>
        </w:tc>
        <w:tc>
          <w:tcPr>
            <w:tcW w:w="4929" w:type="dxa"/>
            <w:vAlign w:val="center"/>
          </w:tcPr>
          <w:p w14:paraId="0C94C0E5">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size of the colony is 1 ~ 2 mm, the color is light yellow, the edge is rough, the shape is nearly round, the colony is dull and opaque.</w:t>
            </w:r>
          </w:p>
        </w:tc>
      </w:tr>
      <w:tr w14:paraId="7B2895B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66BCD88B">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MR1</w:t>
            </w:r>
          </w:p>
        </w:tc>
        <w:tc>
          <w:tcPr>
            <w:tcW w:w="1334" w:type="dxa"/>
            <w:vAlign w:val="center"/>
          </w:tcPr>
          <w:p w14:paraId="75CC3BFD">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50</w:t>
            </w:r>
            <w:r>
              <w:rPr>
                <w:rFonts w:hint="default" w:ascii="Times New Roman" w:hAnsi="Times New Roman" w:eastAsia="宋体" w:cs="Times New Roman"/>
                <w:sz w:val="18"/>
                <w:szCs w:val="18"/>
              </w:rPr>
              <w:t>℃</w:t>
            </w:r>
          </w:p>
        </w:tc>
        <w:tc>
          <w:tcPr>
            <w:tcW w:w="1287" w:type="dxa"/>
            <w:vAlign w:val="center"/>
          </w:tcPr>
          <w:p w14:paraId="37263D8A">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fungus</w:t>
            </w:r>
          </w:p>
        </w:tc>
        <w:tc>
          <w:tcPr>
            <w:tcW w:w="4929" w:type="dxa"/>
            <w:vAlign w:val="center"/>
          </w:tcPr>
          <w:p w14:paraId="5113AEE0">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size of the colony is 1.5 ~ 6 mm, the color is light yellow, the edge is rough, the shape of the colony is nearly round, no mycelia, the colony is dull and opaque.</w:t>
            </w:r>
          </w:p>
        </w:tc>
      </w:tr>
      <w:tr w14:paraId="00EDEC8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vAlign w:val="center"/>
          </w:tcPr>
          <w:p w14:paraId="5F05C070">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F1</w:t>
            </w:r>
          </w:p>
        </w:tc>
        <w:tc>
          <w:tcPr>
            <w:tcW w:w="1334" w:type="dxa"/>
            <w:vAlign w:val="center"/>
          </w:tcPr>
          <w:p w14:paraId="7AB472D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40</w:t>
            </w:r>
            <w:r>
              <w:rPr>
                <w:rFonts w:hint="default" w:ascii="Times New Roman" w:hAnsi="Times New Roman" w:eastAsia="宋体" w:cs="Times New Roman"/>
                <w:sz w:val="18"/>
                <w:szCs w:val="18"/>
              </w:rPr>
              <w:t>℃</w:t>
            </w:r>
          </w:p>
        </w:tc>
        <w:tc>
          <w:tcPr>
            <w:tcW w:w="1287" w:type="dxa"/>
            <w:vAlign w:val="center"/>
          </w:tcPr>
          <w:p w14:paraId="77A74A85">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actinomycetes</w:t>
            </w:r>
          </w:p>
        </w:tc>
        <w:tc>
          <w:tcPr>
            <w:tcW w:w="4929" w:type="dxa"/>
            <w:vAlign w:val="center"/>
          </w:tcPr>
          <w:p w14:paraId="67E2C008">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colony size is 0.5 ~ 2 mm, the color is light white, the edge is smooth, the colony shape is round, the colony is dull and translucent.</w:t>
            </w:r>
          </w:p>
        </w:tc>
      </w:tr>
      <w:tr w14:paraId="5624DF6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24" w:type="dxa"/>
            <w:tcBorders>
              <w:bottom w:val="single" w:color="000000" w:sz="12" w:space="0"/>
            </w:tcBorders>
            <w:vAlign w:val="center"/>
          </w:tcPr>
          <w:p w14:paraId="42975639">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F2</w:t>
            </w:r>
          </w:p>
        </w:tc>
        <w:tc>
          <w:tcPr>
            <w:tcW w:w="1334" w:type="dxa"/>
            <w:tcBorders>
              <w:bottom w:val="single" w:color="000000" w:sz="12" w:space="0"/>
            </w:tcBorders>
            <w:vAlign w:val="center"/>
          </w:tcPr>
          <w:p w14:paraId="42D3B37B">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50</w:t>
            </w:r>
            <w:r>
              <w:rPr>
                <w:rFonts w:hint="default" w:ascii="Times New Roman" w:hAnsi="Times New Roman" w:eastAsia="宋体" w:cs="Times New Roman"/>
                <w:sz w:val="18"/>
                <w:szCs w:val="18"/>
              </w:rPr>
              <w:t>℃</w:t>
            </w:r>
          </w:p>
        </w:tc>
        <w:tc>
          <w:tcPr>
            <w:tcW w:w="1287" w:type="dxa"/>
            <w:tcBorders>
              <w:bottom w:val="single" w:color="000000" w:sz="12" w:space="0"/>
            </w:tcBorders>
            <w:vAlign w:val="center"/>
          </w:tcPr>
          <w:p w14:paraId="4E9954C4">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actinomycetes</w:t>
            </w:r>
          </w:p>
        </w:tc>
        <w:tc>
          <w:tcPr>
            <w:tcW w:w="4929" w:type="dxa"/>
            <w:tcBorders>
              <w:bottom w:val="single" w:color="000000" w:sz="12" w:space="0"/>
            </w:tcBorders>
            <w:vAlign w:val="center"/>
          </w:tcPr>
          <w:p w14:paraId="6B55D04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The colony size is 3 ~ 4 mm, the color is light white, the edge is smooth, the colony shape is round, the hydrolysis ring is obvious, dull, translucent.</w:t>
            </w:r>
          </w:p>
        </w:tc>
      </w:tr>
    </w:tbl>
    <w:p w14:paraId="1CB7682A">
      <w:pPr>
        <w:keepNext w:val="0"/>
        <w:keepLines w:val="0"/>
        <w:pageBreakBefore w:val="0"/>
        <w:widowControl w:val="0"/>
        <w:kinsoku/>
        <w:wordWrap/>
        <w:overflowPunct/>
        <w:topLinePunct w:val="0"/>
        <w:autoSpaceDE/>
        <w:autoSpaceDN/>
        <w:bidi w:val="0"/>
        <w:adjustRightInd/>
        <w:snapToGrid/>
        <w:spacing w:line="228" w:lineRule="auto"/>
        <w:ind w:firstLine="425"/>
        <w:textAlignment w:val="auto"/>
        <w:rPr>
          <w:rFonts w:hint="default" w:ascii="Times New Roman" w:hAnsi="Times New Roman" w:eastAsia="等线" w:cs="Times New Roman"/>
          <w:snapToGrid w:val="0"/>
          <w:color w:val="000000"/>
          <w:kern w:val="0"/>
          <w:sz w:val="18"/>
          <w:szCs w:val="18"/>
          <w:lang w:val="en-US" w:eastAsia="zh-CN" w:bidi="en-US"/>
          <w14:ligatures w14:val="none"/>
        </w:rPr>
      </w:pPr>
    </w:p>
    <w:p w14:paraId="2833DAAB">
      <w:pPr>
        <w:keepNext w:val="0"/>
        <w:keepLines w:val="0"/>
        <w:pageBreakBefore w:val="0"/>
        <w:widowControl w:val="0"/>
        <w:kinsoku/>
        <w:wordWrap/>
        <w:overflowPunct/>
        <w:topLinePunct w:val="0"/>
        <w:autoSpaceDE/>
        <w:autoSpaceDN/>
        <w:bidi w:val="0"/>
        <w:adjustRightInd/>
        <w:snapToGrid/>
        <w:spacing w:line="360" w:lineRule="auto"/>
        <w:ind w:firstLine="425"/>
        <w:textAlignment w:val="auto"/>
        <w:rPr>
          <w:rFonts w:hint="default" w:ascii="Times New Roman" w:hAnsi="Times New Roman" w:eastAsia="等线" w:cs="Times New Roman"/>
          <w:snapToGrid w:val="0"/>
          <w:color w:val="000000"/>
          <w:kern w:val="0"/>
          <w:sz w:val="18"/>
          <w:szCs w:val="18"/>
          <w:lang w:val="en-US" w:eastAsia="zh-CN" w:bidi="en-US"/>
          <w14:ligatures w14:val="none"/>
        </w:rPr>
      </w:pPr>
      <w:r>
        <w:rPr>
          <w:rFonts w:hint="default" w:ascii="Times New Roman" w:hAnsi="Times New Roman" w:eastAsia="等线" w:cs="Times New Roman"/>
          <w:snapToGrid w:val="0"/>
          <w:color w:val="000000"/>
          <w:kern w:val="0"/>
          <w:sz w:val="20"/>
          <w:szCs w:val="20"/>
          <w:lang w:val="en-US" w:eastAsia="zh-CN" w:bidi="en-US"/>
          <w14:ligatures w14:val="none"/>
        </w:rPr>
        <w:t xml:space="preserve">The sequence similarity of Cd-immobilizing microorganisms in chicken manure was analyzed through 16S rDNA sequencing. Sequence comparisons were conducted using BLAST, followed by phylogenetic tree construction with MEGA 7.0 software (Table S2) for taxonomic classification. Results revealed that the isolated microorganisms predominantly belonged to five genera, exhibiting &gt;98% sequence similarity. The distribution was as follows: </w:t>
      </w:r>
      <w:r>
        <w:rPr>
          <w:rFonts w:hint="default" w:ascii="Times New Roman" w:hAnsi="Times New Roman" w:eastAsia="等线" w:cs="Times New Roman"/>
          <w:i/>
          <w:iCs/>
          <w:snapToGrid w:val="0"/>
          <w:color w:val="000000"/>
          <w:kern w:val="0"/>
          <w:sz w:val="20"/>
          <w:szCs w:val="20"/>
          <w:lang w:val="en-US" w:eastAsia="zh-CN" w:bidi="en-US"/>
          <w14:ligatures w14:val="none"/>
        </w:rPr>
        <w:t>Escherichia</w:t>
      </w:r>
      <w:r>
        <w:rPr>
          <w:rFonts w:hint="default" w:ascii="Times New Roman" w:hAnsi="Times New Roman" w:eastAsia="等线" w:cs="Times New Roman"/>
          <w:snapToGrid w:val="0"/>
          <w:color w:val="000000"/>
          <w:kern w:val="0"/>
          <w:sz w:val="20"/>
          <w:szCs w:val="20"/>
          <w:lang w:val="en-US" w:eastAsia="zh-CN" w:bidi="en-US"/>
          <w14:ligatures w14:val="none"/>
        </w:rPr>
        <w:t xml:space="preserve"> (LB1, LB2, F2); </w:t>
      </w:r>
      <w:r>
        <w:rPr>
          <w:rFonts w:hint="default" w:ascii="Times New Roman" w:hAnsi="Times New Roman" w:eastAsia="等线" w:cs="Times New Roman"/>
          <w:i/>
          <w:iCs/>
          <w:snapToGrid w:val="0"/>
          <w:color w:val="000000"/>
          <w:kern w:val="0"/>
          <w:sz w:val="20"/>
          <w:szCs w:val="20"/>
          <w:lang w:val="en-US" w:eastAsia="zh-CN" w:bidi="en-US"/>
          <w14:ligatures w14:val="none"/>
        </w:rPr>
        <w:t>Bacillus</w:t>
      </w:r>
      <w:r>
        <w:rPr>
          <w:rFonts w:hint="default" w:ascii="Times New Roman" w:hAnsi="Times New Roman" w:eastAsia="等线" w:cs="Times New Roman"/>
          <w:snapToGrid w:val="0"/>
          <w:color w:val="000000"/>
          <w:kern w:val="0"/>
          <w:sz w:val="20"/>
          <w:szCs w:val="20"/>
          <w:lang w:val="en-US" w:eastAsia="zh-CN" w:bidi="en-US"/>
          <w14:ligatures w14:val="none"/>
        </w:rPr>
        <w:t xml:space="preserve"> (J-1-1, J-1-2, J-2-1, J-2-4, F1); </w:t>
      </w:r>
      <w:r>
        <w:rPr>
          <w:rFonts w:hint="default" w:ascii="Times New Roman" w:hAnsi="Times New Roman" w:eastAsia="等线" w:cs="Times New Roman"/>
          <w:i/>
          <w:iCs/>
          <w:snapToGrid w:val="0"/>
          <w:color w:val="000000"/>
          <w:kern w:val="0"/>
          <w:sz w:val="20"/>
          <w:szCs w:val="20"/>
          <w:lang w:val="en-US" w:eastAsia="zh-CN" w:bidi="en-US"/>
          <w14:ligatures w14:val="none"/>
        </w:rPr>
        <w:t>Enterobacter</w:t>
      </w:r>
      <w:r>
        <w:rPr>
          <w:rFonts w:hint="default" w:ascii="Times New Roman" w:hAnsi="Times New Roman" w:eastAsia="等线" w:cs="Times New Roman"/>
          <w:snapToGrid w:val="0"/>
          <w:color w:val="000000"/>
          <w:kern w:val="0"/>
          <w:sz w:val="20"/>
          <w:szCs w:val="20"/>
          <w:lang w:val="en-US" w:eastAsia="zh-CN" w:bidi="en-US"/>
          <w14:ligatures w14:val="none"/>
        </w:rPr>
        <w:t xml:space="preserve"> (LB3, LB4); </w:t>
      </w:r>
      <w:r>
        <w:rPr>
          <w:rFonts w:hint="default" w:ascii="Times New Roman" w:hAnsi="Times New Roman" w:eastAsia="等线" w:cs="Times New Roman"/>
          <w:i/>
          <w:iCs/>
          <w:snapToGrid w:val="0"/>
          <w:color w:val="000000"/>
          <w:kern w:val="0"/>
          <w:sz w:val="20"/>
          <w:szCs w:val="20"/>
          <w:lang w:val="en-US" w:eastAsia="zh-CN" w:bidi="en-US"/>
          <w14:ligatures w14:val="none"/>
        </w:rPr>
        <w:t>Micrococcus</w:t>
      </w:r>
      <w:r>
        <w:rPr>
          <w:rFonts w:hint="default" w:ascii="Times New Roman" w:hAnsi="Times New Roman" w:eastAsia="等线" w:cs="Times New Roman"/>
          <w:snapToGrid w:val="0"/>
          <w:color w:val="000000"/>
          <w:kern w:val="0"/>
          <w:sz w:val="20"/>
          <w:szCs w:val="20"/>
          <w:lang w:val="en-US" w:eastAsia="zh-CN" w:bidi="en-US"/>
          <w14:ligatures w14:val="none"/>
        </w:rPr>
        <w:t xml:space="preserve"> (LB5); and </w:t>
      </w:r>
      <w:r>
        <w:rPr>
          <w:rFonts w:hint="default" w:ascii="Times New Roman" w:hAnsi="Times New Roman" w:eastAsia="等线" w:cs="Times New Roman"/>
          <w:i/>
          <w:iCs/>
          <w:snapToGrid w:val="0"/>
          <w:color w:val="000000"/>
          <w:kern w:val="0"/>
          <w:sz w:val="20"/>
          <w:szCs w:val="20"/>
          <w:lang w:val="en-US" w:eastAsia="zh-CN" w:bidi="en-US"/>
          <w14:ligatures w14:val="none"/>
        </w:rPr>
        <w:t>Saccharomyces</w:t>
      </w:r>
      <w:r>
        <w:rPr>
          <w:rFonts w:hint="default" w:ascii="Times New Roman" w:hAnsi="Times New Roman" w:eastAsia="等线" w:cs="Times New Roman"/>
          <w:snapToGrid w:val="0"/>
          <w:color w:val="000000"/>
          <w:kern w:val="0"/>
          <w:sz w:val="20"/>
          <w:szCs w:val="20"/>
          <w:lang w:val="en-US" w:eastAsia="zh-CN" w:bidi="en-US"/>
          <w14:ligatures w14:val="none"/>
        </w:rPr>
        <w:t xml:space="preserve"> (MR1). Detailed identification results are presented below.</w:t>
      </w:r>
    </w:p>
    <w:p w14:paraId="1C5481BE">
      <w:pPr>
        <w:keepNext w:val="0"/>
        <w:keepLines w:val="0"/>
        <w:pageBreakBefore w:val="0"/>
        <w:widowControl w:val="0"/>
        <w:kinsoku/>
        <w:wordWrap/>
        <w:overflowPunct/>
        <w:topLinePunct w:val="0"/>
        <w:autoSpaceDE/>
        <w:autoSpaceDN/>
        <w:bidi w:val="0"/>
        <w:adjustRightInd/>
        <w:snapToGrid/>
        <w:spacing w:line="228" w:lineRule="auto"/>
        <w:ind w:firstLine="425"/>
        <w:textAlignment w:val="auto"/>
        <w:rPr>
          <w:rFonts w:hint="default" w:ascii="Times New Roman" w:hAnsi="Times New Roman" w:eastAsia="等线" w:cs="Times New Roman"/>
          <w:snapToGrid w:val="0"/>
          <w:color w:val="000000"/>
          <w:kern w:val="0"/>
          <w:sz w:val="18"/>
          <w:szCs w:val="18"/>
          <w:lang w:val="en-US" w:eastAsia="zh-CN" w:bidi="en-US"/>
          <w14:ligatures w14:val="none"/>
        </w:rPr>
      </w:pPr>
    </w:p>
    <w:p w14:paraId="0970922F">
      <w:pPr>
        <w:keepNext w:val="0"/>
        <w:keepLines w:val="0"/>
        <w:pageBreakBefore w:val="0"/>
        <w:widowControl w:val="0"/>
        <w:kinsoku/>
        <w:wordWrap/>
        <w:overflowPunct/>
        <w:topLinePunct w:val="0"/>
        <w:autoSpaceDE/>
        <w:autoSpaceDN/>
        <w:bidi w:val="0"/>
        <w:adjustRightInd/>
        <w:snapToGrid/>
        <w:spacing w:line="360" w:lineRule="auto"/>
        <w:ind w:firstLine="425"/>
        <w:textAlignment w:val="auto"/>
        <w:rPr>
          <w:rFonts w:hint="default" w:ascii="Times New Roman" w:hAnsi="Times New Roman" w:eastAsia="等线" w:cs="Times New Roman"/>
          <w:snapToGrid w:val="0"/>
          <w:color w:val="000000"/>
          <w:kern w:val="0"/>
          <w:sz w:val="18"/>
          <w:szCs w:val="18"/>
          <w:lang w:val="en-US" w:eastAsia="zh-CN" w:bidi="en-US"/>
          <w14:ligatures w14:val="none"/>
        </w:rPr>
      </w:pPr>
      <w:r>
        <w:rPr>
          <w:rFonts w:hint="default" w:ascii="Times New Roman" w:hAnsi="Times New Roman" w:eastAsia="等线" w:cs="Times New Roman"/>
          <w:snapToGrid w:val="0"/>
          <w:color w:val="000000"/>
          <w:kern w:val="0"/>
          <w:sz w:val="20"/>
          <w:szCs w:val="20"/>
          <w:lang w:val="en-US" w:eastAsia="zh-CN" w:bidi="en-US"/>
          <w14:ligatures w14:val="none"/>
        </w:rPr>
        <w:t xml:space="preserve">LB1 was identified as </w:t>
      </w:r>
      <w:r>
        <w:rPr>
          <w:rFonts w:hint="default" w:ascii="Times New Roman" w:hAnsi="Times New Roman" w:eastAsia="等线" w:cs="Times New Roman"/>
          <w:i/>
          <w:iCs/>
          <w:snapToGrid w:val="0"/>
          <w:color w:val="000000"/>
          <w:kern w:val="0"/>
          <w:sz w:val="20"/>
          <w:szCs w:val="20"/>
          <w:lang w:val="en-US" w:eastAsia="zh-CN" w:bidi="en-US"/>
          <w14:ligatures w14:val="none"/>
        </w:rPr>
        <w:t>Escherichia coli</w:t>
      </w:r>
      <w:r>
        <w:rPr>
          <w:rFonts w:hint="default" w:ascii="Times New Roman" w:hAnsi="Times New Roman" w:eastAsia="等线" w:cs="Times New Roman"/>
          <w:snapToGrid w:val="0"/>
          <w:color w:val="000000"/>
          <w:kern w:val="0"/>
          <w:sz w:val="20"/>
          <w:szCs w:val="20"/>
          <w:lang w:val="en-US" w:eastAsia="zh-CN" w:bidi="en-US"/>
          <w14:ligatures w14:val="none"/>
        </w:rPr>
        <w:t xml:space="preserve">, a conditionally pathogenic bacterium capable of causing intestinal infections or urinary tract diseases in humans and animals under favorable conditions. LB2 was identified as </w:t>
      </w:r>
      <w:r>
        <w:rPr>
          <w:rFonts w:hint="default" w:ascii="Times New Roman" w:hAnsi="Times New Roman" w:eastAsia="等线" w:cs="Times New Roman"/>
          <w:i/>
          <w:iCs/>
          <w:snapToGrid w:val="0"/>
          <w:color w:val="000000"/>
          <w:kern w:val="0"/>
          <w:sz w:val="20"/>
          <w:szCs w:val="20"/>
          <w:lang w:val="en-US" w:eastAsia="zh-CN" w:bidi="en-US"/>
          <w14:ligatures w14:val="none"/>
        </w:rPr>
        <w:t>Escherichia fergusonii</w:t>
      </w:r>
      <w:r>
        <w:rPr>
          <w:rFonts w:hint="default" w:ascii="Times New Roman" w:hAnsi="Times New Roman" w:eastAsia="等线" w:cs="Times New Roman"/>
          <w:snapToGrid w:val="0"/>
          <w:color w:val="000000"/>
          <w:kern w:val="0"/>
          <w:sz w:val="20"/>
          <w:szCs w:val="20"/>
          <w:lang w:val="en-US" w:eastAsia="zh-CN" w:bidi="en-US"/>
          <w14:ligatures w14:val="none"/>
        </w:rPr>
        <w:t xml:space="preserve">, a pathogenic bacterium capable of infecting both humans and animals and disrupting hepatic metabolism. LB3 was identified as </w:t>
      </w:r>
      <w:r>
        <w:rPr>
          <w:rFonts w:hint="default" w:ascii="Times New Roman" w:hAnsi="Times New Roman" w:eastAsia="等线" w:cs="Times New Roman"/>
          <w:i/>
          <w:iCs/>
          <w:snapToGrid w:val="0"/>
          <w:color w:val="000000"/>
          <w:kern w:val="0"/>
          <w:sz w:val="20"/>
          <w:szCs w:val="20"/>
          <w:lang w:val="en-US" w:eastAsia="zh-CN" w:bidi="en-US"/>
          <w14:ligatures w14:val="none"/>
        </w:rPr>
        <w:t>Enterobacter hormaechei</w:t>
      </w:r>
      <w:r>
        <w:rPr>
          <w:rFonts w:hint="default" w:ascii="Times New Roman" w:hAnsi="Times New Roman" w:eastAsia="等线" w:cs="Times New Roman"/>
          <w:snapToGrid w:val="0"/>
          <w:color w:val="000000"/>
          <w:kern w:val="0"/>
          <w:sz w:val="20"/>
          <w:szCs w:val="20"/>
          <w:lang w:val="en-US" w:eastAsia="zh-CN" w:bidi="en-US"/>
          <w14:ligatures w14:val="none"/>
        </w:rPr>
        <w:t xml:space="preserve">, a commensal bacterium in the intestinal tract of humans and animals. Certain strains possess the ability to degrade carotenoids, metabolize carbohydrates, and produce penicillinase. LB4 was identified as </w:t>
      </w:r>
      <w:r>
        <w:rPr>
          <w:rFonts w:hint="default" w:ascii="Times New Roman" w:hAnsi="Times New Roman" w:eastAsia="等线" w:cs="Times New Roman"/>
          <w:i/>
          <w:iCs/>
          <w:snapToGrid w:val="0"/>
          <w:color w:val="000000"/>
          <w:kern w:val="0"/>
          <w:sz w:val="20"/>
          <w:szCs w:val="20"/>
          <w:lang w:val="en-US" w:eastAsia="zh-CN" w:bidi="en-US"/>
          <w14:ligatures w14:val="none"/>
        </w:rPr>
        <w:t>Enterobacter cloacae</w:t>
      </w:r>
      <w:r>
        <w:rPr>
          <w:rFonts w:hint="default" w:ascii="Times New Roman" w:hAnsi="Times New Roman" w:eastAsia="等线" w:cs="Times New Roman"/>
          <w:snapToGrid w:val="0"/>
          <w:color w:val="000000"/>
          <w:kern w:val="0"/>
          <w:sz w:val="20"/>
          <w:szCs w:val="20"/>
          <w:lang w:val="en-US" w:eastAsia="zh-CN" w:bidi="en-US"/>
          <w14:ligatures w14:val="none"/>
        </w:rPr>
        <w:t xml:space="preserve">, a ubiquitous bacterium that colonizes diverse environments and serves as commensal flora in human and animal intestinal tracts. LB5 was identified as </w:t>
      </w:r>
      <w:r>
        <w:rPr>
          <w:rFonts w:hint="default" w:ascii="Times New Roman" w:hAnsi="Times New Roman" w:eastAsia="等线" w:cs="Times New Roman"/>
          <w:i/>
          <w:iCs/>
          <w:snapToGrid w:val="0"/>
          <w:color w:val="000000"/>
          <w:kern w:val="0"/>
          <w:sz w:val="20"/>
          <w:szCs w:val="20"/>
          <w:lang w:val="en-US" w:eastAsia="zh-CN" w:bidi="en-US"/>
          <w14:ligatures w14:val="none"/>
        </w:rPr>
        <w:t>Micrococcus yunnanensis</w:t>
      </w:r>
      <w:r>
        <w:rPr>
          <w:rFonts w:hint="default" w:ascii="Times New Roman" w:hAnsi="Times New Roman" w:eastAsia="等线" w:cs="Times New Roman"/>
          <w:snapToGrid w:val="0"/>
          <w:color w:val="000000"/>
          <w:kern w:val="0"/>
          <w:sz w:val="20"/>
          <w:szCs w:val="20"/>
          <w:lang w:val="en-US" w:eastAsia="zh-CN" w:bidi="en-US"/>
          <w14:ligatures w14:val="none"/>
        </w:rPr>
        <w:t xml:space="preserve">, a Gram-positive bacterium belonging to the six recognized species of the genus Micrococcus. This species can be isolated from the rhizosphere of Polyporus plants. J-1-1 and J-1-2 were identified as </w:t>
      </w:r>
      <w:r>
        <w:rPr>
          <w:rFonts w:hint="default" w:ascii="Times New Roman" w:hAnsi="Times New Roman" w:eastAsia="等线" w:cs="Times New Roman"/>
          <w:i/>
          <w:iCs/>
          <w:snapToGrid w:val="0"/>
          <w:color w:val="000000"/>
          <w:kern w:val="0"/>
          <w:sz w:val="20"/>
          <w:szCs w:val="20"/>
          <w:lang w:val="en-US" w:eastAsia="zh-CN" w:bidi="en-US"/>
          <w14:ligatures w14:val="none"/>
        </w:rPr>
        <w:t>Bacillus velezensis</w:t>
      </w:r>
      <w:r>
        <w:rPr>
          <w:rFonts w:hint="default" w:ascii="Times New Roman" w:hAnsi="Times New Roman" w:eastAsia="等线" w:cs="Times New Roman"/>
          <w:snapToGrid w:val="0"/>
          <w:color w:val="000000"/>
          <w:kern w:val="0"/>
          <w:sz w:val="20"/>
          <w:szCs w:val="20"/>
          <w:lang w:val="en-US" w:eastAsia="zh-CN" w:bidi="en-US"/>
          <w14:ligatures w14:val="none"/>
        </w:rPr>
        <w:t xml:space="preserve">, a well-characterized, non-pathogenic bacterium widely used in agricultural safety and animal husbandry applications. J-2-1 was identified as </w:t>
      </w:r>
      <w:r>
        <w:rPr>
          <w:rFonts w:hint="default" w:ascii="Times New Roman" w:hAnsi="Times New Roman" w:eastAsia="等线" w:cs="Times New Roman"/>
          <w:i/>
          <w:iCs/>
          <w:snapToGrid w:val="0"/>
          <w:color w:val="000000"/>
          <w:kern w:val="0"/>
          <w:sz w:val="20"/>
          <w:szCs w:val="20"/>
          <w:lang w:val="en-US" w:eastAsia="zh-CN" w:bidi="en-US"/>
          <w14:ligatures w14:val="none"/>
        </w:rPr>
        <w:t>Bacillus amyloliquefaciens</w:t>
      </w:r>
      <w:r>
        <w:rPr>
          <w:rFonts w:hint="default" w:ascii="Times New Roman" w:hAnsi="Times New Roman" w:eastAsia="等线" w:cs="Times New Roman"/>
          <w:snapToGrid w:val="0"/>
          <w:color w:val="000000"/>
          <w:kern w:val="0"/>
          <w:sz w:val="20"/>
          <w:szCs w:val="20"/>
          <w:lang w:val="en-US" w:eastAsia="zh-CN" w:bidi="en-US"/>
          <w14:ligatures w14:val="none"/>
        </w:rPr>
        <w:t xml:space="preserve">, a bacterium with sterilization and freshness-preservation properties. It is environmentally safe, non-polluting, and does not induce resistance. Additionally, it poses no harm to humans. J-2-4 was identified as </w:t>
      </w:r>
      <w:r>
        <w:rPr>
          <w:rFonts w:hint="default" w:ascii="Times New Roman" w:hAnsi="Times New Roman" w:eastAsia="等线" w:cs="Times New Roman"/>
          <w:i/>
          <w:iCs/>
          <w:snapToGrid w:val="0"/>
          <w:color w:val="000000"/>
          <w:kern w:val="0"/>
          <w:sz w:val="20"/>
          <w:szCs w:val="20"/>
          <w:lang w:val="en-US" w:eastAsia="zh-CN" w:bidi="en-US"/>
          <w14:ligatures w14:val="none"/>
        </w:rPr>
        <w:t>Bacillus siamensis</w:t>
      </w:r>
      <w:r>
        <w:rPr>
          <w:rFonts w:hint="default" w:ascii="Times New Roman" w:hAnsi="Times New Roman" w:eastAsia="等线" w:cs="Times New Roman"/>
          <w:snapToGrid w:val="0"/>
          <w:color w:val="000000"/>
          <w:kern w:val="0"/>
          <w:sz w:val="20"/>
          <w:szCs w:val="20"/>
          <w:lang w:val="en-US" w:eastAsia="zh-CN" w:bidi="en-US"/>
          <w14:ligatures w14:val="none"/>
        </w:rPr>
        <w:t xml:space="preserve">, a strain first isolated from cured crabs and initially reported in 2010. This bacterium exhibits broad-spectrum antimicrobial activity, demonstrating significant potential for research and practical applications. MR1 was identified as </w:t>
      </w:r>
      <w:r>
        <w:rPr>
          <w:rFonts w:hint="default" w:ascii="Times New Roman" w:hAnsi="Times New Roman" w:eastAsia="等线" w:cs="Times New Roman"/>
          <w:i/>
          <w:iCs/>
          <w:snapToGrid w:val="0"/>
          <w:color w:val="000000"/>
          <w:kern w:val="0"/>
          <w:sz w:val="20"/>
          <w:szCs w:val="20"/>
          <w:lang w:val="en-US" w:eastAsia="zh-CN" w:bidi="en-US"/>
          <w14:ligatures w14:val="none"/>
        </w:rPr>
        <w:t>Saccharomyces</w:t>
      </w:r>
      <w:r>
        <w:rPr>
          <w:rFonts w:hint="default" w:ascii="Times New Roman" w:hAnsi="Times New Roman" w:eastAsia="等线" w:cs="Times New Roman"/>
          <w:snapToGrid w:val="0"/>
          <w:color w:val="000000"/>
          <w:kern w:val="0"/>
          <w:sz w:val="20"/>
          <w:szCs w:val="20"/>
          <w:lang w:val="en-US" w:eastAsia="zh-CN" w:bidi="en-US"/>
          <w14:ligatures w14:val="none"/>
        </w:rPr>
        <w:t xml:space="preserve"> cerevisiae, a probiotic yeast that improves intestinal homeostasis. With an optimal growth temperature of 37°C, it produces significant amounts of acetic acid, which inhibits various enteric pathogens. Clinically, it is widely used in pediatric acute diarrhea treatment. F1 was identified as </w:t>
      </w:r>
      <w:r>
        <w:rPr>
          <w:rFonts w:hint="default" w:ascii="Times New Roman" w:hAnsi="Times New Roman" w:eastAsia="等线" w:cs="Times New Roman"/>
          <w:i/>
          <w:iCs/>
          <w:snapToGrid w:val="0"/>
          <w:color w:val="000000"/>
          <w:kern w:val="0"/>
          <w:sz w:val="20"/>
          <w:szCs w:val="20"/>
          <w:lang w:val="en-US" w:eastAsia="zh-CN" w:bidi="en-US"/>
          <w14:ligatures w14:val="none"/>
        </w:rPr>
        <w:t>Bacillus subtilis</w:t>
      </w:r>
      <w:r>
        <w:rPr>
          <w:rFonts w:hint="default" w:ascii="Times New Roman" w:hAnsi="Times New Roman" w:eastAsia="等线" w:cs="Times New Roman"/>
          <w:snapToGrid w:val="0"/>
          <w:color w:val="000000"/>
          <w:kern w:val="0"/>
          <w:sz w:val="20"/>
          <w:szCs w:val="20"/>
          <w:lang w:val="en-US" w:eastAsia="zh-CN" w:bidi="en-US"/>
          <w14:ligatures w14:val="none"/>
        </w:rPr>
        <w:t xml:space="preserve">, a non-pathogenic, environmentally adaptable microorganism with rapid growth kinetics. This strain utilizes proteins and sugars as carbon sources for tryptophan degradation, demonstrating both metabolic versatility and biosafety. F2 was identified as </w:t>
      </w:r>
      <w:r>
        <w:rPr>
          <w:rFonts w:hint="default" w:ascii="Times New Roman" w:hAnsi="Times New Roman" w:eastAsia="等线" w:cs="Times New Roman"/>
          <w:i/>
          <w:iCs/>
          <w:snapToGrid w:val="0"/>
          <w:color w:val="000000"/>
          <w:kern w:val="0"/>
          <w:sz w:val="20"/>
          <w:szCs w:val="20"/>
          <w:lang w:val="en-US" w:eastAsia="zh-CN" w:bidi="en-US"/>
          <w14:ligatures w14:val="none"/>
        </w:rPr>
        <w:t>Escherichia fergusonii</w:t>
      </w:r>
      <w:r>
        <w:rPr>
          <w:rFonts w:hint="default" w:ascii="Times New Roman" w:hAnsi="Times New Roman" w:eastAsia="等线" w:cs="Times New Roman"/>
          <w:snapToGrid w:val="0"/>
          <w:color w:val="000000"/>
          <w:kern w:val="0"/>
          <w:sz w:val="20"/>
          <w:szCs w:val="20"/>
          <w:lang w:val="en-US" w:eastAsia="zh-CN" w:bidi="en-US"/>
          <w14:ligatures w14:val="none"/>
        </w:rPr>
        <w:t>, a pathogenic bacterium capable of infecting both humans and animals and impairing hepatic metabolic functions.</w:t>
      </w:r>
    </w:p>
    <w:p w14:paraId="25A8CC4E">
      <w:pPr>
        <w:keepNext w:val="0"/>
        <w:keepLines w:val="0"/>
        <w:pageBreakBefore w:val="0"/>
        <w:widowControl w:val="0"/>
        <w:kinsoku/>
        <w:wordWrap/>
        <w:overflowPunct/>
        <w:topLinePunct w:val="0"/>
        <w:autoSpaceDE/>
        <w:autoSpaceDN/>
        <w:bidi w:val="0"/>
        <w:adjustRightInd/>
        <w:snapToGrid/>
        <w:spacing w:line="228" w:lineRule="auto"/>
        <w:ind w:firstLine="425"/>
        <w:jc w:val="center"/>
        <w:textAlignment w:val="auto"/>
        <w:rPr>
          <w:rFonts w:hint="default" w:ascii="Times New Roman" w:hAnsi="Times New Roman" w:eastAsia="宋体" w:cs="Times New Roman"/>
          <w:b/>
          <w:bCs/>
          <w:sz w:val="18"/>
          <w:szCs w:val="18"/>
        </w:rPr>
      </w:pPr>
    </w:p>
    <w:p w14:paraId="5B621C28">
      <w:pPr>
        <w:keepNext w:val="0"/>
        <w:keepLines w:val="0"/>
        <w:pageBreakBefore w:val="0"/>
        <w:widowControl w:val="0"/>
        <w:kinsoku/>
        <w:wordWrap/>
        <w:overflowPunct/>
        <w:topLinePunct w:val="0"/>
        <w:autoSpaceDE/>
        <w:autoSpaceDN/>
        <w:bidi w:val="0"/>
        <w:adjustRightInd/>
        <w:snapToGrid/>
        <w:spacing w:line="228" w:lineRule="auto"/>
        <w:ind w:firstLine="425"/>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 xml:space="preserve">Table </w:t>
      </w:r>
      <w:r>
        <w:rPr>
          <w:rFonts w:hint="default" w:ascii="Times New Roman" w:hAnsi="Times New Roman" w:eastAsia="宋体" w:cs="Times New Roman"/>
          <w:b/>
          <w:bCs/>
          <w:sz w:val="18"/>
          <w:szCs w:val="18"/>
          <w:lang w:val="en-US" w:eastAsia="zh-CN"/>
        </w:rPr>
        <w:t xml:space="preserve">S2. </w:t>
      </w:r>
      <w:r>
        <w:rPr>
          <w:rFonts w:hint="default" w:ascii="Times New Roman" w:hAnsi="Times New Roman" w:eastAsia="宋体" w:cs="Times New Roman"/>
          <w:b w:val="0"/>
          <w:bCs w:val="0"/>
          <w:sz w:val="18"/>
          <w:szCs w:val="18"/>
        </w:rPr>
        <w:t>Identification results of 12 microbial species at the species level</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04"/>
        <w:gridCol w:w="986"/>
        <w:gridCol w:w="3991"/>
        <w:gridCol w:w="1922"/>
      </w:tblGrid>
      <w:tr w14:paraId="71F4C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tcBorders>
              <w:top w:val="single" w:color="000000" w:sz="12" w:space="0"/>
              <w:bottom w:val="single" w:color="000000" w:sz="6" w:space="0"/>
            </w:tcBorders>
            <w:vAlign w:val="center"/>
          </w:tcPr>
          <w:p w14:paraId="5DDF0DF6">
            <w:pPr>
              <w:adjustRightInd w:val="0"/>
              <w:spacing w:before="120" w:after="240" w:line="296" w:lineRule="auto"/>
              <w:contextualSpacing/>
              <w:jc w:val="center"/>
              <w:rPr>
                <w:rFonts w:hint="default" w:ascii="Times New Roman" w:hAnsi="Times New Roman" w:cs="Times New Roman"/>
                <w:b/>
                <w:bCs/>
                <w:sz w:val="18"/>
                <w:szCs w:val="18"/>
              </w:rPr>
            </w:pPr>
            <w:r>
              <w:rPr>
                <w:rFonts w:hint="default" w:ascii="Times New Roman" w:hAnsi="Times New Roman" w:cs="Times New Roman"/>
                <w:b/>
                <w:bCs/>
                <w:sz w:val="18"/>
                <w:szCs w:val="18"/>
              </w:rPr>
              <w:t>Strain number</w:t>
            </w:r>
          </w:p>
        </w:tc>
        <w:tc>
          <w:tcPr>
            <w:tcW w:w="964" w:type="dxa"/>
            <w:tcBorders>
              <w:top w:val="single" w:color="000000" w:sz="12" w:space="0"/>
              <w:bottom w:val="single" w:color="000000" w:sz="6" w:space="0"/>
            </w:tcBorders>
            <w:vAlign w:val="center"/>
          </w:tcPr>
          <w:p w14:paraId="512771A1">
            <w:pPr>
              <w:adjustRightInd w:val="0"/>
              <w:spacing w:before="120" w:after="240" w:line="296" w:lineRule="auto"/>
              <w:contextualSpacing/>
              <w:jc w:val="center"/>
              <w:rPr>
                <w:rFonts w:hint="default" w:ascii="Times New Roman" w:hAnsi="Times New Roman" w:cs="Times New Roman"/>
                <w:b/>
                <w:bCs/>
                <w:sz w:val="18"/>
                <w:szCs w:val="18"/>
              </w:rPr>
            </w:pPr>
            <w:r>
              <w:rPr>
                <w:rFonts w:hint="default" w:ascii="Times New Roman" w:hAnsi="Times New Roman" w:cs="Times New Roman"/>
                <w:b/>
                <w:bCs/>
                <w:sz w:val="18"/>
                <w:szCs w:val="18"/>
              </w:rPr>
              <w:t>Similarity</w:t>
            </w:r>
          </w:p>
        </w:tc>
        <w:tc>
          <w:tcPr>
            <w:tcW w:w="3991" w:type="dxa"/>
            <w:tcBorders>
              <w:top w:val="single" w:color="000000" w:sz="12" w:space="0"/>
              <w:bottom w:val="single" w:color="000000" w:sz="6" w:space="0"/>
            </w:tcBorders>
            <w:vAlign w:val="center"/>
          </w:tcPr>
          <w:p w14:paraId="713F1077">
            <w:pPr>
              <w:adjustRightInd w:val="0"/>
              <w:spacing w:before="120" w:after="240" w:line="296" w:lineRule="auto"/>
              <w:contextualSpacing/>
              <w:jc w:val="center"/>
              <w:rPr>
                <w:rFonts w:hint="default" w:ascii="Times New Roman" w:hAnsi="Times New Roman" w:cs="Times New Roman"/>
                <w:b/>
                <w:bCs/>
                <w:sz w:val="18"/>
                <w:szCs w:val="18"/>
              </w:rPr>
            </w:pPr>
            <w:r>
              <w:rPr>
                <w:rFonts w:hint="default" w:ascii="Times New Roman" w:hAnsi="Times New Roman" w:cs="Times New Roman"/>
                <w:b/>
                <w:bCs/>
                <w:sz w:val="18"/>
                <w:szCs w:val="18"/>
              </w:rPr>
              <w:t>The most homologous model bacterium</w:t>
            </w:r>
          </w:p>
        </w:tc>
        <w:tc>
          <w:tcPr>
            <w:tcW w:w="1922" w:type="dxa"/>
            <w:tcBorders>
              <w:top w:val="single" w:color="000000" w:sz="12" w:space="0"/>
              <w:bottom w:val="single" w:color="000000" w:sz="6" w:space="0"/>
            </w:tcBorders>
            <w:vAlign w:val="center"/>
          </w:tcPr>
          <w:p w14:paraId="1B67A36A">
            <w:pPr>
              <w:adjustRightInd w:val="0"/>
              <w:spacing w:before="120" w:after="240" w:line="296" w:lineRule="auto"/>
              <w:contextualSpacing/>
              <w:jc w:val="center"/>
              <w:rPr>
                <w:rFonts w:hint="default" w:ascii="Times New Roman" w:hAnsi="Times New Roman" w:cs="Times New Roman"/>
                <w:b/>
                <w:bCs/>
                <w:sz w:val="18"/>
                <w:szCs w:val="18"/>
              </w:rPr>
            </w:pPr>
            <w:r>
              <w:rPr>
                <w:rFonts w:hint="default" w:ascii="Times New Roman" w:hAnsi="Times New Roman" w:cs="Times New Roman"/>
                <w:b/>
                <w:bCs/>
                <w:sz w:val="18"/>
                <w:szCs w:val="18"/>
              </w:rPr>
              <w:t>Strain level identification results</w:t>
            </w:r>
          </w:p>
        </w:tc>
      </w:tr>
      <w:tr w14:paraId="016FB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tcBorders>
              <w:top w:val="single" w:color="000000" w:sz="6" w:space="0"/>
            </w:tcBorders>
            <w:vAlign w:val="center"/>
          </w:tcPr>
          <w:p w14:paraId="56BC38FA">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LB1</w:t>
            </w:r>
          </w:p>
        </w:tc>
        <w:tc>
          <w:tcPr>
            <w:tcW w:w="964" w:type="dxa"/>
            <w:tcBorders>
              <w:top w:val="single" w:color="000000" w:sz="6" w:space="0"/>
            </w:tcBorders>
            <w:vAlign w:val="center"/>
          </w:tcPr>
          <w:p w14:paraId="0DE2B972">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99%</w:t>
            </w:r>
          </w:p>
        </w:tc>
        <w:tc>
          <w:tcPr>
            <w:tcW w:w="3991" w:type="dxa"/>
            <w:tcBorders>
              <w:top w:val="single" w:color="000000" w:sz="6" w:space="0"/>
            </w:tcBorders>
            <w:vAlign w:val="center"/>
          </w:tcPr>
          <w:p w14:paraId="4DF11019">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Escherichia coil strain SW</w:t>
            </w:r>
          </w:p>
        </w:tc>
        <w:tc>
          <w:tcPr>
            <w:tcW w:w="1922" w:type="dxa"/>
            <w:tcBorders>
              <w:top w:val="single" w:color="000000" w:sz="6" w:space="0"/>
            </w:tcBorders>
            <w:vAlign w:val="center"/>
          </w:tcPr>
          <w:p w14:paraId="34036613">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Escherichia coil</w:t>
            </w:r>
          </w:p>
        </w:tc>
      </w:tr>
      <w:tr w14:paraId="3B04C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vAlign w:val="center"/>
          </w:tcPr>
          <w:p w14:paraId="36987254">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LB2</w:t>
            </w:r>
          </w:p>
        </w:tc>
        <w:tc>
          <w:tcPr>
            <w:tcW w:w="964" w:type="dxa"/>
            <w:vAlign w:val="center"/>
          </w:tcPr>
          <w:p w14:paraId="1166C082">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99%</w:t>
            </w:r>
          </w:p>
        </w:tc>
        <w:tc>
          <w:tcPr>
            <w:tcW w:w="3991" w:type="dxa"/>
            <w:vAlign w:val="center"/>
          </w:tcPr>
          <w:p w14:paraId="2DF3FED0">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Escherichia fergusonii strain CICC-24137</w:t>
            </w:r>
          </w:p>
        </w:tc>
        <w:tc>
          <w:tcPr>
            <w:tcW w:w="1922" w:type="dxa"/>
            <w:vAlign w:val="center"/>
          </w:tcPr>
          <w:p w14:paraId="04834543">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Escherichia fergusonii</w:t>
            </w:r>
          </w:p>
        </w:tc>
      </w:tr>
      <w:tr w14:paraId="1DC96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vAlign w:val="center"/>
          </w:tcPr>
          <w:p w14:paraId="41E0E0B6">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LB3</w:t>
            </w:r>
          </w:p>
        </w:tc>
        <w:tc>
          <w:tcPr>
            <w:tcW w:w="964" w:type="dxa"/>
            <w:vAlign w:val="center"/>
          </w:tcPr>
          <w:p w14:paraId="6B197BF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99%</w:t>
            </w:r>
          </w:p>
        </w:tc>
        <w:tc>
          <w:tcPr>
            <w:tcW w:w="3991" w:type="dxa"/>
            <w:vAlign w:val="center"/>
          </w:tcPr>
          <w:p w14:paraId="4BB65288">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Enterobacter hormaechei subsp</w:t>
            </w:r>
          </w:p>
        </w:tc>
        <w:tc>
          <w:tcPr>
            <w:tcW w:w="1922" w:type="dxa"/>
            <w:vAlign w:val="center"/>
          </w:tcPr>
          <w:p w14:paraId="2C88F91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Enterobacter hormaechei</w:t>
            </w:r>
          </w:p>
        </w:tc>
      </w:tr>
      <w:tr w14:paraId="64140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vAlign w:val="center"/>
          </w:tcPr>
          <w:p w14:paraId="52BB2C0D">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LB4</w:t>
            </w:r>
          </w:p>
        </w:tc>
        <w:tc>
          <w:tcPr>
            <w:tcW w:w="964" w:type="dxa"/>
            <w:vAlign w:val="center"/>
          </w:tcPr>
          <w:p w14:paraId="7195CCFB">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98%</w:t>
            </w:r>
          </w:p>
        </w:tc>
        <w:tc>
          <w:tcPr>
            <w:tcW w:w="3991" w:type="dxa"/>
            <w:vAlign w:val="center"/>
          </w:tcPr>
          <w:p w14:paraId="1AE5A65B">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Enterobacter cloacae strain T137</w:t>
            </w:r>
          </w:p>
        </w:tc>
        <w:tc>
          <w:tcPr>
            <w:tcW w:w="1922" w:type="dxa"/>
            <w:vAlign w:val="center"/>
          </w:tcPr>
          <w:p w14:paraId="772BBD8F">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Enterobacter cloacae</w:t>
            </w:r>
          </w:p>
        </w:tc>
      </w:tr>
      <w:tr w14:paraId="5D91F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jc w:val="center"/>
        </w:trPr>
        <w:tc>
          <w:tcPr>
            <w:tcW w:w="1304" w:type="dxa"/>
            <w:vAlign w:val="center"/>
          </w:tcPr>
          <w:p w14:paraId="6EA708EB">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LB5</w:t>
            </w:r>
          </w:p>
        </w:tc>
        <w:tc>
          <w:tcPr>
            <w:tcW w:w="964" w:type="dxa"/>
            <w:vAlign w:val="center"/>
          </w:tcPr>
          <w:p w14:paraId="190E1E01">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99%</w:t>
            </w:r>
          </w:p>
        </w:tc>
        <w:tc>
          <w:tcPr>
            <w:tcW w:w="3991" w:type="dxa"/>
            <w:vAlign w:val="center"/>
          </w:tcPr>
          <w:p w14:paraId="4DA1BEF0">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Micrococcus yunnanensis strain KNUC422</w:t>
            </w:r>
          </w:p>
        </w:tc>
        <w:tc>
          <w:tcPr>
            <w:tcW w:w="1922" w:type="dxa"/>
            <w:vAlign w:val="center"/>
          </w:tcPr>
          <w:p w14:paraId="5126EE54">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Micrococcus yunnanensis</w:t>
            </w:r>
          </w:p>
        </w:tc>
      </w:tr>
      <w:tr w14:paraId="782C2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vAlign w:val="center"/>
          </w:tcPr>
          <w:p w14:paraId="42D7305E">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J-1-1</w:t>
            </w:r>
          </w:p>
        </w:tc>
        <w:tc>
          <w:tcPr>
            <w:tcW w:w="964" w:type="dxa"/>
            <w:vAlign w:val="center"/>
          </w:tcPr>
          <w:p w14:paraId="546755C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99%</w:t>
            </w:r>
          </w:p>
        </w:tc>
        <w:tc>
          <w:tcPr>
            <w:tcW w:w="3991" w:type="dxa"/>
            <w:vAlign w:val="center"/>
          </w:tcPr>
          <w:p w14:paraId="1B53502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Bacillus velezensis strain FDJ2</w:t>
            </w:r>
          </w:p>
        </w:tc>
        <w:tc>
          <w:tcPr>
            <w:tcW w:w="1922" w:type="dxa"/>
            <w:vAlign w:val="center"/>
          </w:tcPr>
          <w:p w14:paraId="66377263">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Bacillus velezensis</w:t>
            </w:r>
          </w:p>
        </w:tc>
      </w:tr>
      <w:tr w14:paraId="4FF89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vAlign w:val="center"/>
          </w:tcPr>
          <w:p w14:paraId="51060D11">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J-1-2</w:t>
            </w:r>
          </w:p>
        </w:tc>
        <w:tc>
          <w:tcPr>
            <w:tcW w:w="964" w:type="dxa"/>
            <w:vAlign w:val="center"/>
          </w:tcPr>
          <w:p w14:paraId="70301306">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99%</w:t>
            </w:r>
          </w:p>
        </w:tc>
        <w:tc>
          <w:tcPr>
            <w:tcW w:w="3991" w:type="dxa"/>
            <w:vAlign w:val="center"/>
          </w:tcPr>
          <w:p w14:paraId="7F56C2D0">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Bacillus velezensis strain LHSB1</w:t>
            </w:r>
          </w:p>
        </w:tc>
        <w:tc>
          <w:tcPr>
            <w:tcW w:w="1922" w:type="dxa"/>
            <w:vAlign w:val="center"/>
          </w:tcPr>
          <w:p w14:paraId="3E7CACA9">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Bacillus velezensis</w:t>
            </w:r>
          </w:p>
        </w:tc>
      </w:tr>
      <w:tr w14:paraId="5F5DC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vAlign w:val="center"/>
          </w:tcPr>
          <w:p w14:paraId="0EA15594">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J-2-1</w:t>
            </w:r>
          </w:p>
        </w:tc>
        <w:tc>
          <w:tcPr>
            <w:tcW w:w="964" w:type="dxa"/>
            <w:vAlign w:val="center"/>
          </w:tcPr>
          <w:p w14:paraId="5E5CD4F9">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99%</w:t>
            </w:r>
          </w:p>
        </w:tc>
        <w:tc>
          <w:tcPr>
            <w:tcW w:w="3991" w:type="dxa"/>
            <w:vAlign w:val="center"/>
          </w:tcPr>
          <w:p w14:paraId="2A6335DE">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Bacillus amyloliquefaciens strain W9</w:t>
            </w:r>
          </w:p>
        </w:tc>
        <w:tc>
          <w:tcPr>
            <w:tcW w:w="1922" w:type="dxa"/>
            <w:vAlign w:val="center"/>
          </w:tcPr>
          <w:p w14:paraId="3B163E38">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Bacillus amyloliquefaciens</w:t>
            </w:r>
          </w:p>
        </w:tc>
      </w:tr>
      <w:tr w14:paraId="5E8BA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vAlign w:val="center"/>
          </w:tcPr>
          <w:p w14:paraId="2C082791">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J-2-4</w:t>
            </w:r>
          </w:p>
        </w:tc>
        <w:tc>
          <w:tcPr>
            <w:tcW w:w="964" w:type="dxa"/>
            <w:vAlign w:val="center"/>
          </w:tcPr>
          <w:p w14:paraId="4FE2A703">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99%</w:t>
            </w:r>
          </w:p>
        </w:tc>
        <w:tc>
          <w:tcPr>
            <w:tcW w:w="3991" w:type="dxa"/>
            <w:vAlign w:val="center"/>
          </w:tcPr>
          <w:p w14:paraId="452E06EA">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Bacillus siamensis strain Ye39</w:t>
            </w:r>
          </w:p>
        </w:tc>
        <w:tc>
          <w:tcPr>
            <w:tcW w:w="1922" w:type="dxa"/>
            <w:vAlign w:val="center"/>
          </w:tcPr>
          <w:p w14:paraId="11CC1D45">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Bacillus siamensis</w:t>
            </w:r>
          </w:p>
        </w:tc>
      </w:tr>
      <w:tr w14:paraId="6F770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vAlign w:val="center"/>
          </w:tcPr>
          <w:p w14:paraId="2E8DABCE">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F1</w:t>
            </w:r>
          </w:p>
        </w:tc>
        <w:tc>
          <w:tcPr>
            <w:tcW w:w="964" w:type="dxa"/>
            <w:vAlign w:val="center"/>
          </w:tcPr>
          <w:p w14:paraId="0C04BBCE">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99%</w:t>
            </w:r>
          </w:p>
        </w:tc>
        <w:tc>
          <w:tcPr>
            <w:tcW w:w="3991" w:type="dxa"/>
            <w:vAlign w:val="center"/>
          </w:tcPr>
          <w:p w14:paraId="2CA589A1">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Bacillus subtilis strain Y17B</w:t>
            </w:r>
          </w:p>
        </w:tc>
        <w:tc>
          <w:tcPr>
            <w:tcW w:w="1922" w:type="dxa"/>
            <w:vAlign w:val="center"/>
          </w:tcPr>
          <w:p w14:paraId="659DBD61">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Bacillus subtilis</w:t>
            </w:r>
          </w:p>
        </w:tc>
      </w:tr>
      <w:tr w14:paraId="1D83C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vAlign w:val="center"/>
          </w:tcPr>
          <w:p w14:paraId="457608AB">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F2</w:t>
            </w:r>
          </w:p>
        </w:tc>
        <w:tc>
          <w:tcPr>
            <w:tcW w:w="964" w:type="dxa"/>
            <w:vAlign w:val="center"/>
          </w:tcPr>
          <w:p w14:paraId="5C37730B">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98%</w:t>
            </w:r>
          </w:p>
        </w:tc>
        <w:tc>
          <w:tcPr>
            <w:tcW w:w="3991" w:type="dxa"/>
            <w:vAlign w:val="center"/>
          </w:tcPr>
          <w:p w14:paraId="56454E8D">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Escherichia fergusonii strain Sum4</w:t>
            </w:r>
          </w:p>
        </w:tc>
        <w:tc>
          <w:tcPr>
            <w:tcW w:w="1922" w:type="dxa"/>
            <w:vAlign w:val="center"/>
          </w:tcPr>
          <w:p w14:paraId="3BE36418">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Escherichia fergusonii</w:t>
            </w:r>
          </w:p>
        </w:tc>
      </w:tr>
      <w:tr w14:paraId="32CC7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04" w:type="dxa"/>
            <w:tcBorders>
              <w:bottom w:val="single" w:color="000000" w:sz="12" w:space="0"/>
            </w:tcBorders>
            <w:vAlign w:val="center"/>
          </w:tcPr>
          <w:p w14:paraId="62F512AA">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MR1</w:t>
            </w:r>
          </w:p>
        </w:tc>
        <w:tc>
          <w:tcPr>
            <w:tcW w:w="964" w:type="dxa"/>
            <w:tcBorders>
              <w:bottom w:val="single" w:color="000000" w:sz="12" w:space="0"/>
            </w:tcBorders>
            <w:vAlign w:val="center"/>
          </w:tcPr>
          <w:p w14:paraId="6ED9E46A">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99%</w:t>
            </w:r>
          </w:p>
        </w:tc>
        <w:tc>
          <w:tcPr>
            <w:tcW w:w="3991" w:type="dxa"/>
            <w:tcBorders>
              <w:bottom w:val="single" w:color="000000" w:sz="12" w:space="0"/>
            </w:tcBorders>
            <w:vAlign w:val="center"/>
          </w:tcPr>
          <w:p w14:paraId="381C9C7C">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Saccharomyces sp</w:t>
            </w:r>
          </w:p>
        </w:tc>
        <w:tc>
          <w:tcPr>
            <w:tcW w:w="1922" w:type="dxa"/>
            <w:tcBorders>
              <w:bottom w:val="single" w:color="000000" w:sz="12" w:space="0"/>
            </w:tcBorders>
            <w:vAlign w:val="center"/>
          </w:tcPr>
          <w:p w14:paraId="3CAC2321">
            <w:pPr>
              <w:adjustRightInd w:val="0"/>
              <w:spacing w:before="120" w:after="240" w:line="296" w:lineRule="auto"/>
              <w:contextualSpacing/>
              <w:jc w:val="center"/>
              <w:rPr>
                <w:rFonts w:hint="default" w:ascii="Times New Roman" w:hAnsi="Times New Roman" w:cs="Times New Roman"/>
                <w:sz w:val="18"/>
                <w:szCs w:val="18"/>
              </w:rPr>
            </w:pPr>
            <w:r>
              <w:rPr>
                <w:rFonts w:hint="default" w:ascii="Times New Roman" w:hAnsi="Times New Roman" w:cs="Times New Roman"/>
                <w:sz w:val="18"/>
                <w:szCs w:val="18"/>
              </w:rPr>
              <w:t>Saccharomyces</w:t>
            </w:r>
          </w:p>
        </w:tc>
      </w:tr>
    </w:tbl>
    <w:p w14:paraId="3A4E3B92">
      <w:pPr>
        <w:keepNext w:val="0"/>
        <w:keepLines w:val="0"/>
        <w:pageBreakBefore w:val="0"/>
        <w:widowControl w:val="0"/>
        <w:kinsoku/>
        <w:wordWrap/>
        <w:overflowPunct/>
        <w:topLinePunct w:val="0"/>
        <w:autoSpaceDE/>
        <w:autoSpaceDN/>
        <w:bidi w:val="0"/>
        <w:adjustRightInd/>
        <w:snapToGrid/>
        <w:spacing w:line="228" w:lineRule="auto"/>
        <w:textAlignment w:val="auto"/>
        <w:rPr>
          <w:rFonts w:hint="default" w:ascii="Times New Roman" w:hAnsi="Times New Roman" w:eastAsia="等线" w:cs="Times New Roman"/>
          <w:snapToGrid w:val="0"/>
          <w:color w:val="000000"/>
          <w:kern w:val="0"/>
          <w:sz w:val="18"/>
          <w:szCs w:val="18"/>
          <w:lang w:val="en-US" w:eastAsia="zh-CN" w:bidi="en-US"/>
          <w14:ligatures w14:val="none"/>
        </w:rPr>
      </w:pPr>
    </w:p>
    <w:p w14:paraId="134449DF">
      <w:pPr>
        <w:keepNext w:val="0"/>
        <w:keepLines w:val="0"/>
        <w:pageBreakBefore w:val="0"/>
        <w:widowControl w:val="0"/>
        <w:kinsoku/>
        <w:wordWrap/>
        <w:overflowPunct/>
        <w:topLinePunct w:val="0"/>
        <w:autoSpaceDE/>
        <w:autoSpaceDN/>
        <w:bidi w:val="0"/>
        <w:adjustRightInd/>
        <w:snapToGrid/>
        <w:spacing w:line="228" w:lineRule="auto"/>
        <w:textAlignment w:val="auto"/>
        <w:rPr>
          <w:rFonts w:hint="default" w:ascii="Times New Roman" w:hAnsi="Times New Roman" w:eastAsia="等线" w:cs="Times New Roman"/>
          <w:snapToGrid w:val="0"/>
          <w:color w:val="000000"/>
          <w:kern w:val="0"/>
          <w:sz w:val="18"/>
          <w:szCs w:val="18"/>
          <w:lang w:val="en-US" w:eastAsia="zh-CN" w:bidi="en-US"/>
          <w14:ligatures w14:val="none"/>
        </w:rPr>
      </w:pPr>
    </w:p>
    <w:p w14:paraId="778B467A">
      <w:pPr>
        <w:keepNext w:val="0"/>
        <w:keepLines w:val="0"/>
        <w:pageBreakBefore w:val="0"/>
        <w:widowControl w:val="0"/>
        <w:kinsoku/>
        <w:wordWrap/>
        <w:overflowPunct/>
        <w:topLinePunct w:val="0"/>
        <w:autoSpaceDE/>
        <w:autoSpaceDN/>
        <w:bidi w:val="0"/>
        <w:adjustRightInd/>
        <w:snapToGrid/>
        <w:spacing w:line="360" w:lineRule="auto"/>
        <w:ind w:firstLine="425"/>
        <w:textAlignment w:val="auto"/>
        <w:rPr>
          <w:rFonts w:hint="default" w:ascii="Times New Roman" w:hAnsi="Times New Roman" w:eastAsia="等线" w:cs="Times New Roman"/>
          <w:snapToGrid w:val="0"/>
          <w:color w:val="000000"/>
          <w:kern w:val="0"/>
          <w:sz w:val="18"/>
          <w:szCs w:val="18"/>
          <w:lang w:val="en-US" w:eastAsia="zh-CN" w:bidi="en-US"/>
          <w14:ligatures w14:val="none"/>
        </w:rPr>
      </w:pPr>
      <w:r>
        <w:rPr>
          <w:rFonts w:hint="default" w:ascii="Times New Roman" w:hAnsi="Times New Roman" w:eastAsia="等线" w:cs="Times New Roman"/>
          <w:snapToGrid w:val="0"/>
          <w:color w:val="000000"/>
          <w:kern w:val="0"/>
          <w:sz w:val="20"/>
          <w:szCs w:val="20"/>
          <w:lang w:val="en-US" w:eastAsia="zh-CN" w:bidi="en-US"/>
          <w14:ligatures w14:val="none"/>
        </w:rPr>
        <w:t xml:space="preserve">The </w:t>
      </w:r>
      <w:bookmarkStart w:id="0" w:name="_GoBack"/>
      <w:bookmarkEnd w:id="0"/>
      <w:r>
        <w:rPr>
          <w:rFonts w:hint="default" w:ascii="Times New Roman" w:hAnsi="Times New Roman" w:eastAsia="等线" w:cs="Times New Roman"/>
          <w:snapToGrid w:val="0"/>
          <w:color w:val="000000"/>
          <w:kern w:val="0"/>
          <w:sz w:val="20"/>
          <w:szCs w:val="20"/>
          <w:lang w:val="en-US" w:eastAsia="zh-CN" w:bidi="en-US"/>
          <w14:ligatures w14:val="none"/>
        </w:rPr>
        <w:t>electrophoresis results of PCR-amplified sequences from compost samples (Fig</w:t>
      </w:r>
      <w:r>
        <w:rPr>
          <w:rFonts w:hint="eastAsia" w:ascii="Times New Roman" w:hAnsi="Times New Roman" w:eastAsia="等线" w:cs="Times New Roman"/>
          <w:snapToGrid w:val="0"/>
          <w:color w:val="000000"/>
          <w:kern w:val="0"/>
          <w:sz w:val="20"/>
          <w:szCs w:val="20"/>
          <w:lang w:val="en-US" w:eastAsia="zh-CN" w:bidi="en-US"/>
          <w14:ligatures w14:val="none"/>
        </w:rPr>
        <w:t xml:space="preserve">. </w:t>
      </w:r>
      <w:r>
        <w:rPr>
          <w:rFonts w:hint="default" w:ascii="Times New Roman" w:hAnsi="Times New Roman" w:eastAsia="等线" w:cs="Times New Roman"/>
          <w:snapToGrid w:val="0"/>
          <w:color w:val="000000"/>
          <w:kern w:val="0"/>
          <w:sz w:val="20"/>
          <w:szCs w:val="20"/>
          <w:lang w:val="en-US" w:eastAsia="zh-CN" w:bidi="en-US"/>
          <w14:ligatures w14:val="none"/>
        </w:rPr>
        <w:t>S1) demonstrated clear bands for all treatments, meeting high-throughput sequencing quality standards.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C15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12BD348E">
            <w:pPr>
              <w:jc w:val="center"/>
              <w:rPr>
                <w:rFonts w:hint="default" w:ascii="Times New Roman" w:hAnsi="Times New Roman" w:cs="Times New Roman"/>
                <w:sz w:val="18"/>
                <w:szCs w:val="18"/>
                <w:vertAlign w:val="baseline"/>
              </w:rPr>
            </w:pPr>
            <w:r>
              <w:rPr>
                <w:rFonts w:hint="default" w:ascii="Times New Roman" w:hAnsi="Times New Roman" w:cs="Times New Roman"/>
                <w:sz w:val="18"/>
                <w:szCs w:val="18"/>
              </w:rPr>
              <w:drawing>
                <wp:inline distT="0" distB="0" distL="114300" distR="114300">
                  <wp:extent cx="3959860" cy="1440180"/>
                  <wp:effectExtent l="0" t="0" r="2540" b="762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4" cstate="print">
                            <a:extLst>
                              <a:ext uri="{28A0092B-C50C-407E-A947-70E740481C1C}">
                                <a14:useLocalDpi xmlns:a14="http://schemas.microsoft.com/office/drawing/2010/main" val="0"/>
                              </a:ext>
                            </a:extLst>
                          </a:blip>
                          <a:srcRect l="46151" t="43956" r="10400" b="33772"/>
                          <a:stretch>
                            <a:fillRect/>
                          </a:stretch>
                        </pic:blipFill>
                        <pic:spPr>
                          <a:xfrm>
                            <a:off x="0" y="0"/>
                            <a:ext cx="3959860" cy="1440180"/>
                          </a:xfrm>
                          <a:prstGeom prst="rect">
                            <a:avLst/>
                          </a:prstGeom>
                          <a:ln>
                            <a:noFill/>
                          </a:ln>
                        </pic:spPr>
                      </pic:pic>
                    </a:graphicData>
                  </a:graphic>
                </wp:inline>
              </w:drawing>
            </w:r>
          </w:p>
        </w:tc>
      </w:tr>
      <w:tr w14:paraId="1085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765A1AB2">
            <w:pPr>
              <w:jc w:val="center"/>
              <w:rPr>
                <w:rFonts w:hint="default" w:ascii="Times New Roman" w:hAnsi="Times New Roman" w:cs="Times New Roman"/>
                <w:sz w:val="18"/>
                <w:szCs w:val="18"/>
                <w:vertAlign w:val="baseline"/>
              </w:rPr>
            </w:pPr>
            <w:r>
              <w:rPr>
                <w:rFonts w:hint="default" w:ascii="Times New Roman" w:hAnsi="Times New Roman" w:cs="Times New Roman"/>
                <w:b/>
                <w:bCs/>
                <w:sz w:val="18"/>
                <w:szCs w:val="18"/>
                <w:vertAlign w:val="baseline"/>
              </w:rPr>
              <w:t>(a) Initial treatment of electrophoresis</w:t>
            </w:r>
          </w:p>
        </w:tc>
      </w:tr>
      <w:tr w14:paraId="00CD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2E8883F1">
            <w:pPr>
              <w:jc w:val="center"/>
              <w:rPr>
                <w:rFonts w:hint="default" w:ascii="Times New Roman" w:hAnsi="Times New Roman" w:cs="Times New Roman"/>
                <w:sz w:val="18"/>
                <w:szCs w:val="18"/>
                <w:vertAlign w:val="baseline"/>
              </w:rPr>
            </w:pPr>
            <w:r>
              <w:rPr>
                <w:rFonts w:hint="default" w:ascii="Times New Roman" w:hAnsi="Times New Roman" w:cs="Times New Roman"/>
                <w:sz w:val="18"/>
                <w:szCs w:val="18"/>
              </w:rPr>
              <w:drawing>
                <wp:inline distT="0" distB="0" distL="0" distR="0">
                  <wp:extent cx="3959860" cy="1439545"/>
                  <wp:effectExtent l="0" t="0" r="2540" b="825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5" cstate="print"/>
                          <a:srcRect l="16443" t="20548" r="54525" b="44462"/>
                          <a:stretch>
                            <a:fillRect/>
                          </a:stretch>
                        </pic:blipFill>
                        <pic:spPr>
                          <a:xfrm>
                            <a:off x="0" y="0"/>
                            <a:ext cx="3960000" cy="1440000"/>
                          </a:xfrm>
                          <a:prstGeom prst="rect">
                            <a:avLst/>
                          </a:prstGeom>
                          <a:ln>
                            <a:noFill/>
                          </a:ln>
                        </pic:spPr>
                      </pic:pic>
                    </a:graphicData>
                  </a:graphic>
                </wp:inline>
              </w:drawing>
            </w:r>
          </w:p>
        </w:tc>
      </w:tr>
      <w:tr w14:paraId="395C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0A617A26">
            <w:pPr>
              <w:jc w:val="center"/>
              <w:rPr>
                <w:rFonts w:hint="default" w:ascii="Times New Roman" w:hAnsi="Times New Roman" w:cs="Times New Roman"/>
                <w:sz w:val="18"/>
                <w:szCs w:val="18"/>
                <w:vertAlign w:val="baseline"/>
              </w:rPr>
            </w:pPr>
            <w:r>
              <w:rPr>
                <w:rFonts w:hint="default" w:ascii="Times New Roman" w:hAnsi="Times New Roman" w:cs="Times New Roman"/>
                <w:b/>
                <w:bCs/>
                <w:sz w:val="18"/>
                <w:szCs w:val="18"/>
                <w:vertAlign w:val="baseline"/>
              </w:rPr>
              <w:t>(b) Extrameditinal electrophoresis</w:t>
            </w:r>
          </w:p>
        </w:tc>
      </w:tr>
      <w:tr w14:paraId="52BD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7837245E">
            <w:pPr>
              <w:jc w:val="center"/>
              <w:rPr>
                <w:rFonts w:hint="default" w:ascii="Times New Roman" w:hAnsi="Times New Roman" w:cs="Times New Roman"/>
                <w:sz w:val="18"/>
                <w:szCs w:val="18"/>
                <w:vertAlign w:val="baseline"/>
              </w:rPr>
            </w:pPr>
            <w:r>
              <w:rPr>
                <w:rFonts w:hint="default" w:ascii="Times New Roman" w:hAnsi="Times New Roman" w:cs="Times New Roman"/>
                <w:sz w:val="18"/>
                <w:szCs w:val="18"/>
              </w:rPr>
              <w:drawing>
                <wp:inline distT="0" distB="0" distL="114300" distR="114300">
                  <wp:extent cx="3959860" cy="1439545"/>
                  <wp:effectExtent l="0" t="0" r="2540" b="8255"/>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6" cstate="print"/>
                          <a:srcRect l="16515" t="34002" r="51415" b="32584"/>
                          <a:stretch>
                            <a:fillRect/>
                          </a:stretch>
                        </pic:blipFill>
                        <pic:spPr>
                          <a:xfrm>
                            <a:off x="0" y="0"/>
                            <a:ext cx="3959860" cy="1439545"/>
                          </a:xfrm>
                          <a:prstGeom prst="rect">
                            <a:avLst/>
                          </a:prstGeom>
                          <a:ln>
                            <a:noFill/>
                          </a:ln>
                        </pic:spPr>
                      </pic:pic>
                    </a:graphicData>
                  </a:graphic>
                </wp:inline>
              </w:drawing>
            </w:r>
          </w:p>
        </w:tc>
      </w:tr>
      <w:tr w14:paraId="2293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715CA936">
            <w:pPr>
              <w:jc w:val="center"/>
              <w:rPr>
                <w:rFonts w:hint="default" w:ascii="Times New Roman" w:hAnsi="Times New Roman" w:cs="Times New Roman"/>
                <w:sz w:val="18"/>
                <w:szCs w:val="18"/>
                <w:vertAlign w:val="baseline"/>
              </w:rPr>
            </w:pPr>
            <w:r>
              <w:rPr>
                <w:rFonts w:hint="default" w:ascii="Times New Roman" w:hAnsi="Times New Roman" w:cs="Times New Roman"/>
                <w:b/>
                <w:bCs/>
                <w:sz w:val="18"/>
                <w:szCs w:val="18"/>
                <w:vertAlign w:val="baseline"/>
              </w:rPr>
              <w:t>(c) Electrophoretic electrophoresis in high temperature periods</w:t>
            </w:r>
          </w:p>
        </w:tc>
      </w:tr>
      <w:tr w14:paraId="28BF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6E81EF5C">
            <w:pPr>
              <w:jc w:val="center"/>
              <w:rPr>
                <w:rFonts w:hint="default" w:ascii="Times New Roman" w:hAnsi="Times New Roman" w:cs="Times New Roman"/>
                <w:sz w:val="18"/>
                <w:szCs w:val="18"/>
                <w:vertAlign w:val="baseline"/>
              </w:rPr>
            </w:pPr>
            <w:r>
              <w:rPr>
                <w:rFonts w:hint="default" w:ascii="Times New Roman" w:hAnsi="Times New Roman" w:cs="Times New Roman"/>
                <w:sz w:val="18"/>
                <w:szCs w:val="18"/>
              </w:rPr>
              <w:drawing>
                <wp:inline distT="0" distB="0" distL="114300" distR="114300">
                  <wp:extent cx="3959860" cy="1439545"/>
                  <wp:effectExtent l="0" t="0" r="2540" b="825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7" cstate="print"/>
                          <a:srcRect l="16511" t="20548" r="30648" b="45563"/>
                          <a:stretch>
                            <a:fillRect/>
                          </a:stretch>
                        </pic:blipFill>
                        <pic:spPr>
                          <a:xfrm>
                            <a:off x="0" y="0"/>
                            <a:ext cx="3959860" cy="1439545"/>
                          </a:xfrm>
                          <a:prstGeom prst="rect">
                            <a:avLst/>
                          </a:prstGeom>
                          <a:ln>
                            <a:noFill/>
                          </a:ln>
                        </pic:spPr>
                      </pic:pic>
                    </a:graphicData>
                  </a:graphic>
                </wp:inline>
              </w:drawing>
            </w:r>
          </w:p>
        </w:tc>
      </w:tr>
      <w:tr w14:paraId="0472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7B2E5EF1">
            <w:pPr>
              <w:jc w:val="center"/>
              <w:rPr>
                <w:rFonts w:hint="default" w:ascii="Times New Roman" w:hAnsi="Times New Roman" w:cs="Times New Roman"/>
                <w:sz w:val="18"/>
                <w:szCs w:val="18"/>
                <w:vertAlign w:val="baseline"/>
              </w:rPr>
            </w:pPr>
            <w:r>
              <w:rPr>
                <w:rFonts w:hint="default" w:ascii="Times New Roman" w:hAnsi="Times New Roman" w:cs="Times New Roman"/>
                <w:b/>
                <w:bCs/>
                <w:sz w:val="18"/>
                <w:szCs w:val="18"/>
                <w:vertAlign w:val="baseline"/>
              </w:rPr>
              <w:t>(d) Electropherogram of each treatment at the decomposing stage</w:t>
            </w:r>
          </w:p>
        </w:tc>
      </w:tr>
      <w:tr w14:paraId="48BA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25B8A398">
            <w:pPr>
              <w:adjustRightInd w:val="0"/>
              <w:spacing w:before="240" w:after="120" w:line="296" w:lineRule="auto"/>
              <w:jc w:val="both"/>
              <w:rPr>
                <w:rFonts w:hint="default" w:ascii="Times New Roman" w:hAnsi="Times New Roman" w:cs="Times New Roman"/>
                <w:sz w:val="18"/>
                <w:szCs w:val="18"/>
                <w:vertAlign w:val="baseline"/>
              </w:rPr>
            </w:pPr>
            <w:r>
              <w:rPr>
                <w:rFonts w:hint="default" w:ascii="Times New Roman" w:hAnsi="Times New Roman" w:eastAsia="宋体" w:cs="Times New Roman"/>
                <w:b/>
                <w:bCs/>
                <w:sz w:val="18"/>
                <w:szCs w:val="18"/>
              </w:rPr>
              <w:t>Fig</w:t>
            </w:r>
            <w:r>
              <w:rPr>
                <w:rFonts w:hint="eastAsia" w:ascii="Times New Roman" w:hAnsi="Times New Roman" w:eastAsia="宋体" w:cs="Times New Roman"/>
                <w:b/>
                <w:bCs/>
                <w:sz w:val="18"/>
                <w:szCs w:val="18"/>
                <w:lang w:val="en-US" w:eastAsia="zh-CN"/>
              </w:rPr>
              <w:t xml:space="preserve">. </w:t>
            </w:r>
            <w:r>
              <w:rPr>
                <w:rFonts w:hint="default" w:ascii="Times New Roman" w:hAnsi="Times New Roman" w:eastAsia="宋体" w:cs="Times New Roman"/>
                <w:b/>
                <w:bCs/>
                <w:sz w:val="18"/>
                <w:szCs w:val="18"/>
                <w:lang w:val="en-US" w:eastAsia="zh-CN"/>
              </w:rPr>
              <w:t xml:space="preserve">S1. </w:t>
            </w:r>
            <w:r>
              <w:rPr>
                <w:rFonts w:hint="default" w:ascii="Times New Roman" w:hAnsi="Times New Roman" w:eastAsia="宋体" w:cs="Times New Roman"/>
                <w:b w:val="0"/>
                <w:bCs w:val="0"/>
                <w:sz w:val="18"/>
                <w:szCs w:val="18"/>
              </w:rPr>
              <w:t>PCR electrophoresis of compost samples in different periods （1-9 is 9 stacks of 3 processing）</w:t>
            </w:r>
          </w:p>
        </w:tc>
      </w:tr>
    </w:tbl>
    <w:p w14:paraId="74DA0FD1">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600px;height:356px" o:bullet="t">
        <v:imagedata r:id="rId1" o:title=""/>
      </v:shape>
    </w:pict>
  </w:numPicBullet>
  <w:abstractNum w:abstractNumId="0">
    <w:nsid w:val="7BB51FAC"/>
    <w:multiLevelType w:val="multilevel"/>
    <w:tmpl w:val="7BB51FAC"/>
    <w:lvl w:ilvl="0" w:tentative="0">
      <w:start w:val="1"/>
      <w:numFmt w:val="none"/>
      <w:suff w:val="nothing"/>
      <w:lvlText w:val="%1"/>
      <w:lvlJc w:val="left"/>
      <w:pPr>
        <w:ind w:left="0" w:firstLine="0"/>
      </w:pPr>
      <w:rPr>
        <w:rFonts w:hint="eastAsia"/>
      </w:rPr>
    </w:lvl>
    <w:lvl w:ilvl="1" w:tentative="0">
      <w:start w:val="1"/>
      <w:numFmt w:val="chineseCountingThousand"/>
      <w:lvlRestart w:val="0"/>
      <w:pStyle w:val="12"/>
      <w:suff w:val="space"/>
      <w:lvlText w:val="第%2条"/>
      <w:lvlJc w:val="left"/>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7E415E2D"/>
    <w:multiLevelType w:val="multilevel"/>
    <w:tmpl w:val="7E415E2D"/>
    <w:lvl w:ilvl="0" w:tentative="0">
      <w:start w:val="1"/>
      <w:numFmt w:val="bullet"/>
      <w:pStyle w:val="18"/>
      <w:lvlText w:val=""/>
      <w:lvlPicBulletId w:val="0"/>
      <w:lvlJc w:val="left"/>
      <w:pPr>
        <w:ind w:left="420" w:hanging="420"/>
      </w:pPr>
      <w:rPr>
        <w:rFonts w:hint="default" w:ascii="Symbol" w:hAnsi="Symbol"/>
        <w:color w:val="auto"/>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0B09"/>
    <w:rsid w:val="000F7899"/>
    <w:rsid w:val="00132AC7"/>
    <w:rsid w:val="0015567E"/>
    <w:rsid w:val="001A62F4"/>
    <w:rsid w:val="001B4435"/>
    <w:rsid w:val="001E4514"/>
    <w:rsid w:val="001E60B7"/>
    <w:rsid w:val="00240632"/>
    <w:rsid w:val="002538A9"/>
    <w:rsid w:val="00273000"/>
    <w:rsid w:val="00282E36"/>
    <w:rsid w:val="002A6D5E"/>
    <w:rsid w:val="002D4427"/>
    <w:rsid w:val="00321F14"/>
    <w:rsid w:val="00326FB0"/>
    <w:rsid w:val="00346C1F"/>
    <w:rsid w:val="00370FF0"/>
    <w:rsid w:val="003C5E11"/>
    <w:rsid w:val="003D4AF8"/>
    <w:rsid w:val="004A05B6"/>
    <w:rsid w:val="004B62E7"/>
    <w:rsid w:val="00573D13"/>
    <w:rsid w:val="006B7E98"/>
    <w:rsid w:val="006F287C"/>
    <w:rsid w:val="00732069"/>
    <w:rsid w:val="00781A59"/>
    <w:rsid w:val="00796B92"/>
    <w:rsid w:val="007B0BE1"/>
    <w:rsid w:val="007E2921"/>
    <w:rsid w:val="007F6ACF"/>
    <w:rsid w:val="008224EB"/>
    <w:rsid w:val="0085017A"/>
    <w:rsid w:val="008E4186"/>
    <w:rsid w:val="00915E7A"/>
    <w:rsid w:val="009B4001"/>
    <w:rsid w:val="00A020B6"/>
    <w:rsid w:val="00A9416C"/>
    <w:rsid w:val="00AB6021"/>
    <w:rsid w:val="00AD722D"/>
    <w:rsid w:val="00B66235"/>
    <w:rsid w:val="00B85CF1"/>
    <w:rsid w:val="00C26C2F"/>
    <w:rsid w:val="00C300C4"/>
    <w:rsid w:val="00D46BFE"/>
    <w:rsid w:val="00DA6AED"/>
    <w:rsid w:val="00DD4175"/>
    <w:rsid w:val="00E0303E"/>
    <w:rsid w:val="00E3045A"/>
    <w:rsid w:val="00E40215"/>
    <w:rsid w:val="00E57859"/>
    <w:rsid w:val="00E92752"/>
    <w:rsid w:val="00EF7A98"/>
    <w:rsid w:val="00F1198D"/>
    <w:rsid w:val="00FC0B88"/>
    <w:rsid w:val="057E2A7B"/>
    <w:rsid w:val="06D41F76"/>
    <w:rsid w:val="1BDD599F"/>
    <w:rsid w:val="2A8F792B"/>
    <w:rsid w:val="301F2E8A"/>
    <w:rsid w:val="379D241E"/>
    <w:rsid w:val="423F17DF"/>
    <w:rsid w:val="42C75C35"/>
    <w:rsid w:val="4669507C"/>
    <w:rsid w:val="4B885FA4"/>
    <w:rsid w:val="5879415D"/>
    <w:rsid w:val="64A216CA"/>
    <w:rsid w:val="680511AE"/>
    <w:rsid w:val="6ECF78C3"/>
    <w:rsid w:val="6F2614AD"/>
    <w:rsid w:val="72AB181B"/>
    <w:rsid w:val="7C036DFE"/>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0"/>
    <w:qFormat/>
    <w:uiPriority w:val="9"/>
    <w:pPr>
      <w:keepNext/>
      <w:pBdr>
        <w:bottom w:val="single" w:color="auto" w:sz="18" w:space="1"/>
      </w:pBdr>
      <w:snapToGrid w:val="0"/>
      <w:spacing w:before="50" w:beforeLines="50" w:after="50" w:afterLines="50"/>
      <w:outlineLvl w:val="0"/>
    </w:pPr>
    <w:rPr>
      <w:rFonts w:ascii="Arial" w:hAnsi="Arial" w:eastAsia="微软雅黑"/>
      <w:b/>
      <w:sz w:val="32"/>
    </w:rPr>
  </w:style>
  <w:style w:type="paragraph" w:styleId="3">
    <w:name w:val="heading 2"/>
    <w:basedOn w:val="1"/>
    <w:next w:val="1"/>
    <w:link w:val="11"/>
    <w:unhideWhenUsed/>
    <w:qFormat/>
    <w:uiPriority w:val="9"/>
    <w:pPr>
      <w:keepNext/>
      <w:pBdr>
        <w:left w:val="single" w:color="auto" w:sz="24" w:space="0"/>
      </w:pBdr>
      <w:snapToGrid w:val="0"/>
      <w:spacing w:before="50" w:beforeLines="50" w:after="50" w:afterLines="50"/>
      <w:ind w:left="80" w:leftChars="80"/>
      <w:outlineLvl w:val="1"/>
    </w:pPr>
    <w:rPr>
      <w:rFonts w:ascii="Arial" w:hAnsi="Arial" w:eastAsia="微软雅黑"/>
      <w:b/>
      <w:sz w:val="28"/>
      <w:szCs w:val="30"/>
    </w:rPr>
  </w:style>
  <w:style w:type="paragraph" w:styleId="4">
    <w:name w:val="heading 3"/>
    <w:basedOn w:val="1"/>
    <w:next w:val="1"/>
    <w:link w:val="19"/>
    <w:unhideWhenUsed/>
    <w:qFormat/>
    <w:uiPriority w:val="9"/>
    <w:pPr>
      <w:keepNext/>
      <w:snapToGrid w:val="0"/>
      <w:spacing w:before="50" w:beforeLines="50" w:after="50" w:afterLines="50"/>
      <w:outlineLvl w:val="2"/>
    </w:pPr>
    <w:rPr>
      <w:rFonts w:ascii="Arial" w:hAnsi="Arial" w:eastAsia="微软雅黑"/>
      <w:b/>
      <w:sz w:val="2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20"/>
    <w:unhideWhenUsed/>
    <w:qFormat/>
    <w:uiPriority w:val="99"/>
    <w:pPr>
      <w:tabs>
        <w:tab w:val="center" w:pos="4153"/>
        <w:tab w:val="right" w:pos="8306"/>
      </w:tabs>
      <w:snapToGrid w:val="0"/>
      <w:jc w:val="left"/>
    </w:pPr>
    <w:rPr>
      <w:sz w:val="18"/>
      <w:szCs w:val="18"/>
    </w:rPr>
  </w:style>
  <w:style w:type="paragraph" w:styleId="6">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标题 1 字符"/>
    <w:basedOn w:val="9"/>
    <w:link w:val="2"/>
    <w:qFormat/>
    <w:uiPriority w:val="9"/>
    <w:rPr>
      <w:rFonts w:ascii="Arial" w:hAnsi="Arial" w:eastAsia="微软雅黑"/>
      <w:b/>
      <w:sz w:val="32"/>
    </w:rPr>
  </w:style>
  <w:style w:type="character" w:customStyle="1" w:styleId="11">
    <w:name w:val="标题 2 字符"/>
    <w:basedOn w:val="9"/>
    <w:link w:val="3"/>
    <w:qFormat/>
    <w:uiPriority w:val="9"/>
    <w:rPr>
      <w:rFonts w:ascii="Arial" w:hAnsi="Arial" w:eastAsia="微软雅黑"/>
      <w:b/>
      <w:sz w:val="28"/>
      <w:szCs w:val="30"/>
    </w:rPr>
  </w:style>
  <w:style w:type="paragraph" w:customStyle="1" w:styleId="12">
    <w:name w:val="正文1"/>
    <w:link w:val="13"/>
    <w:qFormat/>
    <w:uiPriority w:val="0"/>
    <w:pPr>
      <w:numPr>
        <w:ilvl w:val="1"/>
        <w:numId w:val="1"/>
      </w:numPr>
      <w:spacing w:after="200" w:line="240" w:lineRule="atLeast"/>
      <w:jc w:val="both"/>
      <w:outlineLvl w:val="2"/>
    </w:pPr>
    <w:rPr>
      <w:rFonts w:asciiTheme="minorEastAsia" w:hAnsiTheme="minorEastAsia" w:eastAsiaTheme="minorEastAsia" w:cstheme="minorBidi"/>
      <w:color w:val="000000"/>
      <w:kern w:val="0"/>
      <w:sz w:val="24"/>
      <w:szCs w:val="22"/>
      <w:lang w:val="en-US" w:eastAsia="zh-CN" w:bidi="ar-SA"/>
      <w14:ligatures w14:val="standardContextual"/>
    </w:rPr>
  </w:style>
  <w:style w:type="character" w:customStyle="1" w:styleId="13">
    <w:name w:val="正文1 Char"/>
    <w:basedOn w:val="9"/>
    <w:link w:val="12"/>
    <w:qFormat/>
    <w:uiPriority w:val="0"/>
    <w:rPr>
      <w:rFonts w:asciiTheme="minorEastAsia" w:hAnsiTheme="minorEastAsia"/>
      <w:color w:val="000000"/>
      <w:kern w:val="0"/>
      <w:sz w:val="24"/>
    </w:rPr>
  </w:style>
  <w:style w:type="paragraph" w:customStyle="1" w:styleId="14">
    <w:name w:val="正文2"/>
    <w:link w:val="15"/>
    <w:qFormat/>
    <w:uiPriority w:val="0"/>
    <w:pPr>
      <w:spacing w:after="120" w:line="240" w:lineRule="atLeast"/>
      <w:ind w:firstLine="200" w:firstLineChars="200"/>
      <w:jc w:val="both"/>
    </w:pPr>
    <w:rPr>
      <w:rFonts w:asciiTheme="minorEastAsia" w:hAnsiTheme="minorEastAsia" w:eastAsiaTheme="minorEastAsia" w:cstheme="minorBidi"/>
      <w:color w:val="000000"/>
      <w:kern w:val="0"/>
      <w:sz w:val="24"/>
      <w:szCs w:val="22"/>
      <w:lang w:val="en-US" w:eastAsia="zh-CN" w:bidi="ar-SA"/>
      <w14:ligatures w14:val="standardContextual"/>
    </w:rPr>
  </w:style>
  <w:style w:type="character" w:customStyle="1" w:styleId="15">
    <w:name w:val="正文2 Char"/>
    <w:basedOn w:val="9"/>
    <w:link w:val="14"/>
    <w:qFormat/>
    <w:uiPriority w:val="0"/>
    <w:rPr>
      <w:rFonts w:asciiTheme="minorEastAsia" w:hAnsiTheme="minorEastAsia"/>
      <w:color w:val="000000"/>
      <w:kern w:val="0"/>
      <w:sz w:val="24"/>
    </w:rPr>
  </w:style>
  <w:style w:type="paragraph" w:customStyle="1" w:styleId="16">
    <w:name w:val="正文3"/>
    <w:link w:val="17"/>
    <w:qFormat/>
    <w:uiPriority w:val="0"/>
    <w:pPr>
      <w:spacing w:after="200" w:line="276" w:lineRule="auto"/>
      <w:ind w:left="420" w:leftChars="200"/>
    </w:pPr>
    <w:rPr>
      <w:rFonts w:asciiTheme="minorHAnsi" w:hAnsiTheme="minorHAnsi" w:eastAsiaTheme="minorEastAsia" w:cstheme="minorBidi"/>
      <w:kern w:val="0"/>
      <w:sz w:val="21"/>
      <w:szCs w:val="22"/>
      <w:lang w:val="en-US" w:eastAsia="zh-CN" w:bidi="ar-SA"/>
      <w14:ligatures w14:val="standardContextual"/>
    </w:rPr>
  </w:style>
  <w:style w:type="character" w:customStyle="1" w:styleId="17">
    <w:name w:val="正文3 Char"/>
    <w:basedOn w:val="9"/>
    <w:link w:val="16"/>
    <w:qFormat/>
    <w:uiPriority w:val="0"/>
    <w:rPr>
      <w:kern w:val="0"/>
    </w:rPr>
  </w:style>
  <w:style w:type="paragraph" w:customStyle="1" w:styleId="18">
    <w:name w:val="项目符号列表"/>
    <w:qFormat/>
    <w:uiPriority w:val="0"/>
    <w:pPr>
      <w:numPr>
        <w:ilvl w:val="0"/>
        <w:numId w:val="2"/>
      </w:numPr>
      <w:spacing w:before="50" w:beforeLines="50" w:after="50" w:afterLines="50"/>
    </w:pPr>
    <w:rPr>
      <w:rFonts w:asciiTheme="minorHAnsi" w:hAnsiTheme="minorHAnsi" w:eastAsiaTheme="minorEastAsia" w:cstheme="minorBidi"/>
      <w:kern w:val="2"/>
      <w:sz w:val="21"/>
      <w:szCs w:val="22"/>
      <w:lang w:val="en-US" w:eastAsia="zh-CN" w:bidi="ar-SA"/>
      <w14:ligatures w14:val="standardContextual"/>
    </w:rPr>
  </w:style>
  <w:style w:type="character" w:customStyle="1" w:styleId="19">
    <w:name w:val="标题 3 字符"/>
    <w:basedOn w:val="9"/>
    <w:link w:val="4"/>
    <w:qFormat/>
    <w:uiPriority w:val="9"/>
    <w:rPr>
      <w:rFonts w:ascii="Arial" w:hAnsi="Arial" w:eastAsia="微软雅黑"/>
      <w:b/>
      <w:sz w:val="24"/>
    </w:rPr>
  </w:style>
  <w:style w:type="character" w:customStyle="1" w:styleId="20">
    <w:name w:val="页脚 字符"/>
    <w:basedOn w:val="9"/>
    <w:link w:val="5"/>
    <w:qFormat/>
    <w:uiPriority w:val="99"/>
    <w:rPr>
      <w:sz w:val="18"/>
      <w:szCs w:val="18"/>
    </w:rPr>
  </w:style>
  <w:style w:type="character" w:customStyle="1" w:styleId="21">
    <w:name w:val="页眉 字符"/>
    <w:basedOn w:val="9"/>
    <w:link w:val="6"/>
    <w:qFormat/>
    <w:uiPriority w:val="99"/>
    <w:rPr>
      <w:sz w:val="18"/>
      <w:szCs w:val="18"/>
    </w:rPr>
  </w:style>
  <w:style w:type="paragraph" w:customStyle="1" w:styleId="22">
    <w:name w:val="标题一"/>
    <w:basedOn w:val="1"/>
    <w:link w:val="23"/>
    <w:qFormat/>
    <w:uiPriority w:val="0"/>
    <w:pPr>
      <w:outlineLvl w:val="0"/>
    </w:pPr>
    <w:rPr>
      <w:rFonts w:eastAsia="宋体"/>
      <w:b/>
      <w:sz w:val="28"/>
    </w:rPr>
  </w:style>
  <w:style w:type="character" w:customStyle="1" w:styleId="23">
    <w:name w:val="标题一 字符"/>
    <w:basedOn w:val="9"/>
    <w:link w:val="22"/>
    <w:qFormat/>
    <w:uiPriority w:val="0"/>
    <w:rPr>
      <w:rFonts w:eastAsia="宋体"/>
      <w:b/>
      <w:sz w:val="28"/>
    </w:rPr>
  </w:style>
  <w:style w:type="paragraph" w:customStyle="1" w:styleId="24">
    <w:name w:val="标题二"/>
    <w:basedOn w:val="22"/>
    <w:link w:val="25"/>
    <w:qFormat/>
    <w:uiPriority w:val="0"/>
    <w:pPr>
      <w:outlineLvl w:val="1"/>
    </w:pPr>
    <w:rPr>
      <w:b w:val="0"/>
      <w:sz w:val="24"/>
    </w:rPr>
  </w:style>
  <w:style w:type="character" w:customStyle="1" w:styleId="25">
    <w:name w:val="标题二 字符"/>
    <w:basedOn w:val="23"/>
    <w:link w:val="24"/>
    <w:qFormat/>
    <w:uiPriority w:val="0"/>
    <w:rPr>
      <w:rFonts w:eastAsia="宋体"/>
      <w:b w:val="0"/>
      <w:sz w:val="24"/>
    </w:rPr>
  </w:style>
  <w:style w:type="paragraph" w:customStyle="1" w:styleId="26">
    <w:name w:val="标题三"/>
    <w:basedOn w:val="22"/>
    <w:link w:val="27"/>
    <w:qFormat/>
    <w:uiPriority w:val="0"/>
    <w:pPr>
      <w:outlineLvl w:val="2"/>
    </w:pPr>
    <w:rPr>
      <w:b w:val="0"/>
      <w:sz w:val="24"/>
    </w:rPr>
  </w:style>
  <w:style w:type="character" w:customStyle="1" w:styleId="27">
    <w:name w:val="标题三 字符"/>
    <w:basedOn w:val="23"/>
    <w:link w:val="26"/>
    <w:qFormat/>
    <w:uiPriority w:val="0"/>
    <w:rPr>
      <w:rFonts w:eastAsia="宋体"/>
      <w:b w:val="0"/>
      <w:sz w:val="24"/>
    </w:rPr>
  </w:style>
  <w:style w:type="paragraph" w:customStyle="1" w:styleId="28">
    <w:name w:val="标正文"/>
    <w:basedOn w:val="1"/>
    <w:link w:val="29"/>
    <w:autoRedefine/>
    <w:qFormat/>
    <w:uiPriority w:val="0"/>
    <w:rPr>
      <w:rFonts w:ascii="宋体" w:hAnsi="宋体" w:eastAsia="宋体"/>
      <w:sz w:val="24"/>
      <w:szCs w:val="21"/>
      <w:lang w:val="zh-TW" w:eastAsia="zh-TW"/>
    </w:rPr>
  </w:style>
  <w:style w:type="character" w:customStyle="1" w:styleId="29">
    <w:name w:val="标正文 字符"/>
    <w:basedOn w:val="23"/>
    <w:link w:val="28"/>
    <w:qFormat/>
    <w:uiPriority w:val="0"/>
    <w:rPr>
      <w:rFonts w:ascii="宋体" w:hAnsi="宋体" w:eastAsia="宋体"/>
      <w:b w:val="0"/>
      <w:sz w:val="24"/>
      <w:szCs w:val="21"/>
      <w:lang w:val="zh-TW" w:eastAsia="zh-TW"/>
    </w:rPr>
  </w:style>
  <w:style w:type="paragraph" w:customStyle="1" w:styleId="30">
    <w:name w:val="标正字"/>
    <w:basedOn w:val="28"/>
    <w:next w:val="26"/>
    <w:link w:val="31"/>
    <w:qFormat/>
    <w:uiPriority w:val="0"/>
    <w:pPr>
      <w:ind w:firstLine="200" w:firstLineChars="200"/>
    </w:pPr>
  </w:style>
  <w:style w:type="character" w:customStyle="1" w:styleId="31">
    <w:name w:val="标正字 字符"/>
    <w:basedOn w:val="29"/>
    <w:link w:val="30"/>
    <w:qFormat/>
    <w:uiPriority w:val="0"/>
    <w:rPr>
      <w:rFonts w:ascii="宋体" w:hAnsi="宋体" w:eastAsia="宋体"/>
      <w:sz w:val="24"/>
      <w:szCs w:val="21"/>
      <w:lang w:val="zh-TW" w:eastAsia="zh-TW"/>
    </w:rPr>
  </w:style>
  <w:style w:type="table" w:customStyle="1" w:styleId="32">
    <w:name w:val="三线表"/>
    <w:basedOn w:val="7"/>
    <w:qFormat/>
    <w:uiPriority w:val="99"/>
    <w:tblPr>
      <w:tblBorders>
        <w:top w:val="single" w:color="auto" w:sz="12" w:space="0"/>
        <w:bottom w:val="single" w:color="auto" w:sz="12"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518</Words>
  <Characters>2426</Characters>
  <Lines>18</Lines>
  <Paragraphs>5</Paragraphs>
  <TotalTime>27</TotalTime>
  <ScaleCrop>false</ScaleCrop>
  <LinksUpToDate>false</LinksUpToDate>
  <CharactersWithSpaces>2889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2024-10-02T11:06:00Z</dcterms:created>
  <dc:creator>永婧 顾</dc:creator>
  <cp:lastModifiedBy>酷不酷</cp:lastModifiedBy>
  <dcterms:modified xsi:type="dcterms:W3CDTF">2025-08-13T04:54:19Z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eyJoZGlkIjoiZGE1NDgyNTIxZTkxMjQ0NGM5MjQzN2RlMTQ1OGExOGYiLCJ1c2VySWQiOiI3MjAxMzk3OTYifQ==</vt:lpwstr>
  </property>
  <property fmtid="{D5CDD505-2E9C-101B-9397-08002B2CF9AE}" pid="3" name="KSOProductBuildVer">
    <vt:lpwstr>2052-12.1.0.21915</vt:lpwstr>
  </property>
  <property fmtid="{D5CDD505-2E9C-101B-9397-08002B2CF9AE}" pid="4" name="ICV">
    <vt:lpwstr>CE06135FE1994CB49145BBF4524B9C12_13</vt:lpwstr>
  </property>
</Properties>
</file>