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CDA88" w14:textId="77777777" w:rsidR="009F7B33" w:rsidRDefault="009F7B33" w:rsidP="009F7B33">
      <w:pPr>
        <w:pStyle w:val="H1"/>
      </w:pPr>
      <w:r>
        <w:t>APPENDIX 1</w:t>
      </w:r>
    </w:p>
    <w:p w14:paraId="49A86C32" w14:textId="77777777" w:rsidR="009F7B33" w:rsidRPr="00DB2818" w:rsidRDefault="009F7B33" w:rsidP="009F7B33">
      <w:pPr>
        <w:pStyle w:val="TableTitle"/>
      </w:pPr>
      <w:r w:rsidRPr="00DB2818">
        <w:t>TABLE 5</w:t>
      </w:r>
    </w:p>
    <w:p w14:paraId="5D4B9D5E" w14:textId="77777777" w:rsidR="009F7B33" w:rsidRDefault="009F7B33" w:rsidP="009F7B33">
      <w:pPr>
        <w:pStyle w:val="PARA"/>
        <w:jc w:val="center"/>
        <w:rPr>
          <w:rFonts w:cs="Times New Roman"/>
          <w:smallCaps/>
          <w:spacing w:val="0"/>
          <w:sz w:val="16"/>
          <w:szCs w:val="16"/>
        </w:rPr>
      </w:pPr>
      <w:r w:rsidRPr="00DB2818">
        <w:rPr>
          <w:rFonts w:cs="Times New Roman"/>
          <w:smallCaps/>
          <w:spacing w:val="0"/>
          <w:sz w:val="16"/>
          <w:szCs w:val="16"/>
        </w:rPr>
        <w:t>features</w:t>
      </w:r>
    </w:p>
    <w:tbl>
      <w:tblPr>
        <w:tblStyle w:val="TableGrid"/>
        <w:tblW w:w="926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7"/>
        <w:gridCol w:w="2625"/>
        <w:gridCol w:w="4633"/>
      </w:tblGrid>
      <w:tr w:rsidR="009F7B33" w14:paraId="08BDB3A4" w14:textId="77777777" w:rsidTr="00117B88">
        <w:trPr>
          <w:trHeight w:val="705"/>
        </w:trPr>
        <w:tc>
          <w:tcPr>
            <w:tcW w:w="2007" w:type="dxa"/>
            <w:tcBorders>
              <w:top w:val="double" w:sz="4" w:space="0" w:color="auto"/>
              <w:bottom w:val="single" w:sz="4" w:space="0" w:color="auto"/>
            </w:tcBorders>
            <w:shd w:val="clear" w:color="auto" w:fill="D7D7D7"/>
            <w:vAlign w:val="center"/>
          </w:tcPr>
          <w:p w14:paraId="38E10BDF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Ordinal number</w:t>
            </w:r>
          </w:p>
        </w:tc>
        <w:tc>
          <w:tcPr>
            <w:tcW w:w="2625" w:type="dxa"/>
            <w:tcBorders>
              <w:top w:val="double" w:sz="4" w:space="0" w:color="auto"/>
              <w:bottom w:val="single" w:sz="4" w:space="0" w:color="auto"/>
            </w:tcBorders>
            <w:shd w:val="clear" w:color="auto" w:fill="D7D7D7"/>
            <w:vAlign w:val="center"/>
          </w:tcPr>
          <w:p w14:paraId="2C9132FE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Symbol</w:t>
            </w:r>
          </w:p>
        </w:tc>
        <w:tc>
          <w:tcPr>
            <w:tcW w:w="4633" w:type="dxa"/>
            <w:tcBorders>
              <w:top w:val="double" w:sz="4" w:space="0" w:color="auto"/>
              <w:bottom w:val="single" w:sz="4" w:space="0" w:color="auto"/>
            </w:tcBorders>
            <w:shd w:val="clear" w:color="auto" w:fill="D7D7D7"/>
            <w:vAlign w:val="center"/>
          </w:tcPr>
          <w:p w14:paraId="595E10F7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Feature name</w:t>
            </w:r>
          </w:p>
        </w:tc>
      </w:tr>
      <w:tr w:rsidR="009F7B33" w14:paraId="7A1C1FA6" w14:textId="77777777" w:rsidTr="00117B88">
        <w:trPr>
          <w:trHeight w:val="705"/>
        </w:trPr>
        <w:tc>
          <w:tcPr>
            <w:tcW w:w="9265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D7D7D7"/>
            <w:vAlign w:val="center"/>
          </w:tcPr>
          <w:p w14:paraId="70A1613C" w14:textId="77777777" w:rsidR="009F7B33" w:rsidRDefault="009F7B33" w:rsidP="00117B88">
            <w:pPr>
              <w:pStyle w:val="PARA"/>
              <w:jc w:val="left"/>
              <w:rPr>
                <w:rFonts w:eastAsia="SimSun" w:cs="Times New Roman"/>
                <w:smallCaps/>
                <w:spacing w:val="0"/>
                <w:sz w:val="16"/>
                <w:szCs w:val="16"/>
                <w:highlight w:val="yellow"/>
              </w:rPr>
            </w:pPr>
            <w:r w:rsidRPr="00DB2818">
              <w:rPr>
                <w:rFonts w:cs="Times New Roman"/>
                <w:b/>
                <w:bCs/>
                <w:smallCaps/>
                <w:spacing w:val="0"/>
                <w:sz w:val="16"/>
                <w:szCs w:val="16"/>
              </w:rPr>
              <w:t>New features combo based LASSO regression</w:t>
            </w:r>
          </w:p>
        </w:tc>
      </w:tr>
      <w:tr w:rsidR="009F7B33" w14:paraId="0EA97250" w14:textId="77777777" w:rsidTr="00117B88">
        <w:trPr>
          <w:trHeight w:val="90"/>
        </w:trPr>
        <w:tc>
          <w:tcPr>
            <w:tcW w:w="200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3F71007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1</w:t>
            </w:r>
          </w:p>
        </w:tc>
        <w:tc>
          <w:tcPr>
            <w:tcW w:w="262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582EA599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CAGR3_Rev</w:t>
            </w:r>
          </w:p>
        </w:tc>
        <w:tc>
          <w:tcPr>
            <w:tcW w:w="4633" w:type="dxa"/>
            <w:tcBorders>
              <w:top w:val="single" w:sz="4" w:space="0" w:color="auto"/>
            </w:tcBorders>
            <w:vAlign w:val="center"/>
          </w:tcPr>
          <w:p w14:paraId="1093BC3F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Compounded Annual Growth rate of Revenue 3 years</w:t>
            </w:r>
          </w:p>
        </w:tc>
      </w:tr>
      <w:tr w:rsidR="009F7B33" w14:paraId="63545537" w14:textId="77777777" w:rsidTr="00117B88">
        <w:trPr>
          <w:trHeight w:val="468"/>
        </w:trPr>
        <w:tc>
          <w:tcPr>
            <w:tcW w:w="2007" w:type="dxa"/>
            <w:shd w:val="clear" w:color="auto" w:fill="FFFFFF"/>
            <w:vAlign w:val="center"/>
          </w:tcPr>
          <w:p w14:paraId="15932E19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2</w:t>
            </w:r>
          </w:p>
        </w:tc>
        <w:tc>
          <w:tcPr>
            <w:tcW w:w="2625" w:type="dxa"/>
            <w:shd w:val="clear" w:color="auto" w:fill="FFFFFF"/>
            <w:vAlign w:val="center"/>
          </w:tcPr>
          <w:p w14:paraId="4A5C300D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CAGR5_GP</w:t>
            </w:r>
          </w:p>
        </w:tc>
        <w:tc>
          <w:tcPr>
            <w:tcW w:w="4633" w:type="dxa"/>
            <w:vAlign w:val="center"/>
          </w:tcPr>
          <w:p w14:paraId="4DAC3AB0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Compounded Annual Growth rate of Gross profit 5 years</w:t>
            </w:r>
          </w:p>
        </w:tc>
      </w:tr>
      <w:tr w:rsidR="009F7B33" w14:paraId="6A2D3DA7" w14:textId="77777777" w:rsidTr="00117B88">
        <w:trPr>
          <w:trHeight w:val="450"/>
        </w:trPr>
        <w:tc>
          <w:tcPr>
            <w:tcW w:w="2007" w:type="dxa"/>
            <w:shd w:val="clear" w:color="auto" w:fill="FFFFFF"/>
            <w:vAlign w:val="center"/>
          </w:tcPr>
          <w:p w14:paraId="355612AC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3</w:t>
            </w:r>
          </w:p>
        </w:tc>
        <w:tc>
          <w:tcPr>
            <w:tcW w:w="2625" w:type="dxa"/>
            <w:shd w:val="clear" w:color="auto" w:fill="FFFFFF"/>
            <w:vAlign w:val="center"/>
          </w:tcPr>
          <w:p w14:paraId="42171558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CAGR3_NP</w:t>
            </w:r>
          </w:p>
        </w:tc>
        <w:tc>
          <w:tcPr>
            <w:tcW w:w="4633" w:type="dxa"/>
            <w:vAlign w:val="center"/>
          </w:tcPr>
          <w:p w14:paraId="0A9AA80A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Compounded Annual Growth rate of Net profit 3 years</w:t>
            </w:r>
          </w:p>
        </w:tc>
      </w:tr>
      <w:tr w:rsidR="009F7B33" w14:paraId="74E66F1A" w14:textId="77777777" w:rsidTr="00117B88">
        <w:trPr>
          <w:trHeight w:val="468"/>
        </w:trPr>
        <w:tc>
          <w:tcPr>
            <w:tcW w:w="2007" w:type="dxa"/>
            <w:shd w:val="clear" w:color="auto" w:fill="FFFFFF"/>
            <w:vAlign w:val="center"/>
          </w:tcPr>
          <w:p w14:paraId="64A32E72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4</w:t>
            </w:r>
          </w:p>
        </w:tc>
        <w:tc>
          <w:tcPr>
            <w:tcW w:w="2625" w:type="dxa"/>
            <w:shd w:val="clear" w:color="auto" w:fill="FFFFFF"/>
            <w:vAlign w:val="center"/>
          </w:tcPr>
          <w:p w14:paraId="6339B224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CAGR5_NP</w:t>
            </w:r>
          </w:p>
        </w:tc>
        <w:tc>
          <w:tcPr>
            <w:tcW w:w="4633" w:type="dxa"/>
            <w:vAlign w:val="center"/>
          </w:tcPr>
          <w:p w14:paraId="3773EA0B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Compounded Annual Growth rate of Net profit 5 years</w:t>
            </w:r>
          </w:p>
        </w:tc>
      </w:tr>
      <w:tr w:rsidR="009F7B33" w14:paraId="0B6F162A" w14:textId="77777777" w:rsidTr="00117B88">
        <w:trPr>
          <w:trHeight w:val="684"/>
        </w:trPr>
        <w:tc>
          <w:tcPr>
            <w:tcW w:w="2007" w:type="dxa"/>
            <w:shd w:val="clear" w:color="auto" w:fill="FFFFFF"/>
            <w:vAlign w:val="center"/>
          </w:tcPr>
          <w:p w14:paraId="474120BF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5</w:t>
            </w:r>
          </w:p>
        </w:tc>
        <w:tc>
          <w:tcPr>
            <w:tcW w:w="2625" w:type="dxa"/>
            <w:shd w:val="clear" w:color="auto" w:fill="FFFFFF"/>
            <w:vAlign w:val="center"/>
          </w:tcPr>
          <w:p w14:paraId="2892133C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CAGR3_EBIT</w:t>
            </w:r>
          </w:p>
        </w:tc>
        <w:tc>
          <w:tcPr>
            <w:tcW w:w="4633" w:type="dxa"/>
            <w:vAlign w:val="center"/>
          </w:tcPr>
          <w:p w14:paraId="06F8A218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Compounded Annual Growth rate of Earnings before interest and taxes 3 years</w:t>
            </w:r>
          </w:p>
        </w:tc>
      </w:tr>
      <w:tr w:rsidR="009F7B33" w14:paraId="333C928E" w14:textId="77777777" w:rsidTr="00117B88">
        <w:trPr>
          <w:trHeight w:val="702"/>
        </w:trPr>
        <w:tc>
          <w:tcPr>
            <w:tcW w:w="2007" w:type="dxa"/>
            <w:shd w:val="clear" w:color="auto" w:fill="FFFFFF"/>
            <w:vAlign w:val="center"/>
          </w:tcPr>
          <w:p w14:paraId="3FB1F983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6</w:t>
            </w:r>
          </w:p>
        </w:tc>
        <w:tc>
          <w:tcPr>
            <w:tcW w:w="2625" w:type="dxa"/>
            <w:shd w:val="clear" w:color="auto" w:fill="FFFFFF"/>
            <w:vAlign w:val="center"/>
          </w:tcPr>
          <w:p w14:paraId="29BDEF88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CAGR5_EBIT</w:t>
            </w:r>
          </w:p>
        </w:tc>
        <w:tc>
          <w:tcPr>
            <w:tcW w:w="4633" w:type="dxa"/>
            <w:vAlign w:val="center"/>
          </w:tcPr>
          <w:p w14:paraId="769AFF2F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Compounded Annual Growth rate of Earnings before interest and taxes 5 years</w:t>
            </w:r>
          </w:p>
        </w:tc>
      </w:tr>
      <w:tr w:rsidR="009F7B33" w14:paraId="62323156" w14:textId="77777777" w:rsidTr="00117B88">
        <w:trPr>
          <w:trHeight w:val="468"/>
        </w:trPr>
        <w:tc>
          <w:tcPr>
            <w:tcW w:w="2007" w:type="dxa"/>
            <w:shd w:val="clear" w:color="auto" w:fill="FFFFFF"/>
            <w:vAlign w:val="center"/>
          </w:tcPr>
          <w:p w14:paraId="35CF1B64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7</w:t>
            </w:r>
          </w:p>
        </w:tc>
        <w:tc>
          <w:tcPr>
            <w:tcW w:w="2625" w:type="dxa"/>
            <w:shd w:val="clear" w:color="auto" w:fill="FFFFFF"/>
            <w:vAlign w:val="center"/>
          </w:tcPr>
          <w:p w14:paraId="655AA1F1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CAGR3_Asset</w:t>
            </w:r>
          </w:p>
        </w:tc>
        <w:tc>
          <w:tcPr>
            <w:tcW w:w="4633" w:type="dxa"/>
            <w:vAlign w:val="center"/>
          </w:tcPr>
          <w:p w14:paraId="610399DA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Compounded Annual Growth rate of Total Assets 3 years</w:t>
            </w:r>
          </w:p>
        </w:tc>
      </w:tr>
      <w:tr w:rsidR="009F7B33" w14:paraId="1EBAD2E1" w14:textId="77777777" w:rsidTr="00117B88">
        <w:trPr>
          <w:trHeight w:val="450"/>
        </w:trPr>
        <w:tc>
          <w:tcPr>
            <w:tcW w:w="2007" w:type="dxa"/>
            <w:shd w:val="clear" w:color="auto" w:fill="FFFFFF"/>
            <w:vAlign w:val="center"/>
          </w:tcPr>
          <w:p w14:paraId="3A9B94B9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8</w:t>
            </w:r>
          </w:p>
        </w:tc>
        <w:tc>
          <w:tcPr>
            <w:tcW w:w="2625" w:type="dxa"/>
            <w:shd w:val="clear" w:color="auto" w:fill="FFFFFF"/>
            <w:vAlign w:val="center"/>
          </w:tcPr>
          <w:p w14:paraId="7DA546EF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CAGR3_Equity</w:t>
            </w:r>
          </w:p>
        </w:tc>
        <w:tc>
          <w:tcPr>
            <w:tcW w:w="4633" w:type="dxa"/>
            <w:vAlign w:val="center"/>
          </w:tcPr>
          <w:p w14:paraId="489F34D6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Compounded Annual Growth rate of Equity 3 years</w:t>
            </w:r>
          </w:p>
        </w:tc>
      </w:tr>
      <w:tr w:rsidR="009F7B33" w14:paraId="3921CCF7" w14:textId="77777777" w:rsidTr="00117B88">
        <w:trPr>
          <w:trHeight w:val="702"/>
        </w:trPr>
        <w:tc>
          <w:tcPr>
            <w:tcW w:w="2007" w:type="dxa"/>
            <w:vAlign w:val="center"/>
          </w:tcPr>
          <w:p w14:paraId="0038D31D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9</w:t>
            </w:r>
          </w:p>
        </w:tc>
        <w:tc>
          <w:tcPr>
            <w:tcW w:w="2625" w:type="dxa"/>
            <w:shd w:val="clear" w:color="auto" w:fill="FFFFFF"/>
            <w:vAlign w:val="center"/>
          </w:tcPr>
          <w:p w14:paraId="1F07BD0E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CAGR3_CAPEX</w:t>
            </w:r>
          </w:p>
        </w:tc>
        <w:tc>
          <w:tcPr>
            <w:tcW w:w="4633" w:type="dxa"/>
            <w:vAlign w:val="center"/>
          </w:tcPr>
          <w:p w14:paraId="06EC7A70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Compounded Annual Growth rate of Capital Expenditure 3 years</w:t>
            </w:r>
          </w:p>
        </w:tc>
      </w:tr>
      <w:tr w:rsidR="009F7B33" w14:paraId="3F130F15" w14:textId="77777777" w:rsidTr="00117B88">
        <w:trPr>
          <w:trHeight w:val="684"/>
        </w:trPr>
        <w:tc>
          <w:tcPr>
            <w:tcW w:w="2007" w:type="dxa"/>
            <w:vAlign w:val="center"/>
          </w:tcPr>
          <w:p w14:paraId="60C0F4FF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10</w:t>
            </w:r>
          </w:p>
        </w:tc>
        <w:tc>
          <w:tcPr>
            <w:tcW w:w="2625" w:type="dxa"/>
            <w:shd w:val="clear" w:color="auto" w:fill="FFFFFF"/>
            <w:vAlign w:val="center"/>
          </w:tcPr>
          <w:p w14:paraId="6583CF99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CAGR5_CAPEX</w:t>
            </w:r>
          </w:p>
        </w:tc>
        <w:tc>
          <w:tcPr>
            <w:tcW w:w="4633" w:type="dxa"/>
            <w:vAlign w:val="center"/>
          </w:tcPr>
          <w:p w14:paraId="0CC00F2E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Compounded Annual Growth rate of Capital Expenditure 5 years</w:t>
            </w:r>
          </w:p>
        </w:tc>
      </w:tr>
      <w:tr w:rsidR="009F7B33" w14:paraId="1F0C8013" w14:textId="77777777" w:rsidTr="00117B88">
        <w:trPr>
          <w:trHeight w:val="234"/>
        </w:trPr>
        <w:tc>
          <w:tcPr>
            <w:tcW w:w="2007" w:type="dxa"/>
            <w:vAlign w:val="center"/>
          </w:tcPr>
          <w:p w14:paraId="59367B62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11</w:t>
            </w:r>
          </w:p>
        </w:tc>
        <w:tc>
          <w:tcPr>
            <w:tcW w:w="2625" w:type="dxa"/>
            <w:shd w:val="clear" w:color="auto" w:fill="FFFFFF"/>
            <w:vAlign w:val="center"/>
          </w:tcPr>
          <w:p w14:paraId="1A2847E1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CASH_RATIO</w:t>
            </w:r>
          </w:p>
        </w:tc>
        <w:tc>
          <w:tcPr>
            <w:tcW w:w="4633" w:type="dxa"/>
            <w:shd w:val="clear" w:color="auto" w:fill="FFFFFF"/>
            <w:vAlign w:val="center"/>
          </w:tcPr>
          <w:p w14:paraId="165A3E16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Cash ratio</w:t>
            </w:r>
          </w:p>
        </w:tc>
      </w:tr>
      <w:tr w:rsidR="009F7B33" w14:paraId="5103FB19" w14:textId="77777777" w:rsidTr="00117B88">
        <w:trPr>
          <w:trHeight w:val="234"/>
        </w:trPr>
        <w:tc>
          <w:tcPr>
            <w:tcW w:w="2007" w:type="dxa"/>
            <w:vAlign w:val="center"/>
          </w:tcPr>
          <w:p w14:paraId="3D9A2794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12</w:t>
            </w:r>
          </w:p>
        </w:tc>
        <w:tc>
          <w:tcPr>
            <w:tcW w:w="2625" w:type="dxa"/>
            <w:shd w:val="clear" w:color="auto" w:fill="FFFFFF"/>
            <w:vAlign w:val="center"/>
          </w:tcPr>
          <w:p w14:paraId="5DED27F7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CharC_G</w:t>
            </w:r>
          </w:p>
        </w:tc>
        <w:tc>
          <w:tcPr>
            <w:tcW w:w="4633" w:type="dxa"/>
            <w:vAlign w:val="center"/>
          </w:tcPr>
          <w:p w14:paraId="6E230858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Charter capital Growth</w:t>
            </w:r>
          </w:p>
        </w:tc>
      </w:tr>
      <w:tr w:rsidR="009F7B33" w14:paraId="1D6BA3A8" w14:textId="77777777" w:rsidTr="00117B88">
        <w:trPr>
          <w:trHeight w:val="234"/>
        </w:trPr>
        <w:tc>
          <w:tcPr>
            <w:tcW w:w="2007" w:type="dxa"/>
            <w:shd w:val="clear" w:color="auto" w:fill="FFFFFF"/>
            <w:vAlign w:val="center"/>
          </w:tcPr>
          <w:p w14:paraId="20C4D3E9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13</w:t>
            </w:r>
          </w:p>
        </w:tc>
        <w:tc>
          <w:tcPr>
            <w:tcW w:w="2625" w:type="dxa"/>
            <w:shd w:val="clear" w:color="auto" w:fill="FFFFFF"/>
            <w:vAlign w:val="center"/>
          </w:tcPr>
          <w:p w14:paraId="3A0265B7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EPS_G</w:t>
            </w:r>
          </w:p>
        </w:tc>
        <w:tc>
          <w:tcPr>
            <w:tcW w:w="4633" w:type="dxa"/>
            <w:vAlign w:val="center"/>
          </w:tcPr>
          <w:p w14:paraId="0904EFAE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Earnings per share growth</w:t>
            </w:r>
          </w:p>
        </w:tc>
      </w:tr>
      <w:tr w:rsidR="009F7B33" w14:paraId="6F927B76" w14:textId="77777777" w:rsidTr="00117B88">
        <w:trPr>
          <w:trHeight w:val="450"/>
        </w:trPr>
        <w:tc>
          <w:tcPr>
            <w:tcW w:w="2007" w:type="dxa"/>
            <w:shd w:val="clear" w:color="auto" w:fill="FFFFFF"/>
            <w:vAlign w:val="center"/>
          </w:tcPr>
          <w:p w14:paraId="45721569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14</w:t>
            </w:r>
          </w:p>
        </w:tc>
        <w:tc>
          <w:tcPr>
            <w:tcW w:w="2625" w:type="dxa"/>
            <w:vAlign w:val="center"/>
          </w:tcPr>
          <w:p w14:paraId="44AC2B85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Planned_EBIT</w:t>
            </w:r>
          </w:p>
        </w:tc>
        <w:tc>
          <w:tcPr>
            <w:tcW w:w="4633" w:type="dxa"/>
            <w:vAlign w:val="center"/>
          </w:tcPr>
          <w:p w14:paraId="1C0E6702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% Planed Earnings Before Interest and Taxes</w:t>
            </w:r>
          </w:p>
        </w:tc>
      </w:tr>
      <w:tr w:rsidR="009F7B33" w14:paraId="0D1CB91F" w14:textId="77777777" w:rsidTr="00117B88">
        <w:trPr>
          <w:trHeight w:val="234"/>
        </w:trPr>
        <w:tc>
          <w:tcPr>
            <w:tcW w:w="2007" w:type="dxa"/>
            <w:vAlign w:val="center"/>
          </w:tcPr>
          <w:p w14:paraId="61973F7F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15</w:t>
            </w:r>
          </w:p>
        </w:tc>
        <w:tc>
          <w:tcPr>
            <w:tcW w:w="2625" w:type="dxa"/>
            <w:vAlign w:val="center"/>
          </w:tcPr>
          <w:p w14:paraId="026BDF0E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Planed_NeP</w:t>
            </w:r>
          </w:p>
        </w:tc>
        <w:tc>
          <w:tcPr>
            <w:tcW w:w="4633" w:type="dxa"/>
            <w:vAlign w:val="center"/>
          </w:tcPr>
          <w:p w14:paraId="7F58CF7C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% Planned Net profit</w:t>
            </w:r>
          </w:p>
        </w:tc>
      </w:tr>
      <w:tr w:rsidR="009F7B33" w14:paraId="4AFFC8A9" w14:textId="77777777" w:rsidTr="00117B88">
        <w:trPr>
          <w:trHeight w:val="234"/>
        </w:trPr>
        <w:tc>
          <w:tcPr>
            <w:tcW w:w="2007" w:type="dxa"/>
            <w:vAlign w:val="center"/>
          </w:tcPr>
          <w:p w14:paraId="21F6820D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16</w:t>
            </w:r>
          </w:p>
        </w:tc>
        <w:tc>
          <w:tcPr>
            <w:tcW w:w="2625" w:type="dxa"/>
            <w:vAlign w:val="center"/>
          </w:tcPr>
          <w:p w14:paraId="08E7F183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ROCE</w:t>
            </w:r>
          </w:p>
        </w:tc>
        <w:tc>
          <w:tcPr>
            <w:tcW w:w="4633" w:type="dxa"/>
            <w:vAlign w:val="center"/>
          </w:tcPr>
          <w:p w14:paraId="4528D853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Return on capital employed</w:t>
            </w:r>
          </w:p>
        </w:tc>
      </w:tr>
      <w:tr w:rsidR="009F7B33" w14:paraId="1ED9C0E8" w14:textId="77777777" w:rsidTr="00117B88">
        <w:trPr>
          <w:trHeight w:val="468"/>
        </w:trPr>
        <w:tc>
          <w:tcPr>
            <w:tcW w:w="2007" w:type="dxa"/>
            <w:vAlign w:val="center"/>
          </w:tcPr>
          <w:p w14:paraId="51C1D36F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17</w:t>
            </w:r>
          </w:p>
        </w:tc>
        <w:tc>
          <w:tcPr>
            <w:tcW w:w="2625" w:type="dxa"/>
            <w:vAlign w:val="center"/>
          </w:tcPr>
          <w:p w14:paraId="13D93393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ShDt E</w:t>
            </w:r>
          </w:p>
        </w:tc>
        <w:tc>
          <w:tcPr>
            <w:tcW w:w="4633" w:type="dxa"/>
            <w:vAlign w:val="center"/>
          </w:tcPr>
          <w:p w14:paraId="0E9C579C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Short term debt to Equity ratio</w:t>
            </w:r>
          </w:p>
        </w:tc>
      </w:tr>
      <w:tr w:rsidR="009F7B33" w14:paraId="102BF92D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22CA57D4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18</w:t>
            </w:r>
          </w:p>
        </w:tc>
        <w:tc>
          <w:tcPr>
            <w:tcW w:w="2625" w:type="dxa"/>
            <w:vAlign w:val="center"/>
          </w:tcPr>
          <w:p w14:paraId="479827CC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STOCK_EX</w:t>
            </w:r>
          </w:p>
        </w:tc>
        <w:tc>
          <w:tcPr>
            <w:tcW w:w="4633" w:type="dxa"/>
            <w:vAlign w:val="center"/>
          </w:tcPr>
          <w:p w14:paraId="333B9766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Stock exchange (HOSE, HXN, UpCom)</w:t>
            </w:r>
          </w:p>
        </w:tc>
      </w:tr>
      <w:tr w:rsidR="009F7B33" w14:paraId="4657E790" w14:textId="77777777" w:rsidTr="00117B88">
        <w:trPr>
          <w:trHeight w:val="450"/>
        </w:trPr>
        <w:tc>
          <w:tcPr>
            <w:tcW w:w="9265" w:type="dxa"/>
            <w:gridSpan w:val="3"/>
            <w:vAlign w:val="center"/>
          </w:tcPr>
          <w:p w14:paraId="0202F404" w14:textId="77777777" w:rsidR="009F7B33" w:rsidRDefault="009F7B33" w:rsidP="00117B88">
            <w:pPr>
              <w:pStyle w:val="PARA"/>
              <w:jc w:val="left"/>
              <w:rPr>
                <w:rFonts w:eastAsia="SimSun" w:cs="Times New Roman"/>
                <w:b/>
                <w:bCs/>
                <w:smallCaps/>
                <w:spacing w:val="0"/>
                <w:sz w:val="16"/>
                <w:szCs w:val="16"/>
                <w:highlight w:val="yellow"/>
              </w:rPr>
            </w:pPr>
            <w:r w:rsidRPr="00DB2818">
              <w:rPr>
                <w:rFonts w:eastAsia="SimSun"/>
                <w:b/>
                <w:bCs/>
                <w:smallCaps/>
                <w:spacing w:val="0"/>
                <w:sz w:val="16"/>
                <w:szCs w:val="16"/>
                <w:lang w:val="en-US"/>
              </w:rPr>
              <w:t>TRADITIONAL INDICATORS</w:t>
            </w:r>
          </w:p>
        </w:tc>
      </w:tr>
      <w:tr w:rsidR="009F7B33" w14:paraId="56B79650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355B5C4D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19</w:t>
            </w:r>
          </w:p>
        </w:tc>
        <w:tc>
          <w:tcPr>
            <w:tcW w:w="2625" w:type="dxa"/>
          </w:tcPr>
          <w:p w14:paraId="0CF0D06A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DR</w:t>
            </w:r>
          </w:p>
        </w:tc>
        <w:tc>
          <w:tcPr>
            <w:tcW w:w="4633" w:type="dxa"/>
          </w:tcPr>
          <w:p w14:paraId="0D782F34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Debt to Asset ratio</w:t>
            </w:r>
          </w:p>
        </w:tc>
      </w:tr>
      <w:tr w:rsidR="009F7B33" w14:paraId="27E654CC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5C0E4C49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20</w:t>
            </w:r>
          </w:p>
        </w:tc>
        <w:tc>
          <w:tcPr>
            <w:tcW w:w="2625" w:type="dxa"/>
          </w:tcPr>
          <w:p w14:paraId="2B916277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D/E</w:t>
            </w:r>
          </w:p>
        </w:tc>
        <w:tc>
          <w:tcPr>
            <w:tcW w:w="4633" w:type="dxa"/>
          </w:tcPr>
          <w:p w14:paraId="037B2FD3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Debt to Equity Ratio</w:t>
            </w:r>
          </w:p>
        </w:tc>
      </w:tr>
      <w:tr w:rsidR="009F7B33" w14:paraId="0DC5BF5A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4A4FD0DA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lastRenderedPageBreak/>
              <w:t>21</w:t>
            </w:r>
          </w:p>
        </w:tc>
        <w:tc>
          <w:tcPr>
            <w:tcW w:w="2625" w:type="dxa"/>
            <w:vAlign w:val="center"/>
          </w:tcPr>
          <w:p w14:paraId="730C249E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Ln(TL)</w:t>
            </w:r>
          </w:p>
        </w:tc>
        <w:tc>
          <w:tcPr>
            <w:tcW w:w="4633" w:type="dxa"/>
            <w:vAlign w:val="center"/>
          </w:tcPr>
          <w:p w14:paraId="33E5B10B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Natural logarithm of Total liabilities</w:t>
            </w:r>
          </w:p>
        </w:tc>
      </w:tr>
      <w:tr w:rsidR="009F7B33" w14:paraId="60E614DC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764A96B1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22</w:t>
            </w:r>
          </w:p>
        </w:tc>
        <w:tc>
          <w:tcPr>
            <w:tcW w:w="2625" w:type="dxa"/>
            <w:vAlign w:val="center"/>
          </w:tcPr>
          <w:p w14:paraId="2683EA94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LDtA</w:t>
            </w:r>
          </w:p>
        </w:tc>
        <w:tc>
          <w:tcPr>
            <w:tcW w:w="4633" w:type="dxa"/>
            <w:vAlign w:val="center"/>
          </w:tcPr>
          <w:p w14:paraId="2DCB075C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Long term debt to asset ratio</w:t>
            </w:r>
          </w:p>
        </w:tc>
      </w:tr>
      <w:tr w:rsidR="009F7B33" w14:paraId="43C5960D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75BB1DDA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23</w:t>
            </w:r>
          </w:p>
        </w:tc>
        <w:tc>
          <w:tcPr>
            <w:tcW w:w="2625" w:type="dxa"/>
            <w:vAlign w:val="center"/>
          </w:tcPr>
          <w:p w14:paraId="26751D8C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TLtE</w:t>
            </w:r>
          </w:p>
        </w:tc>
        <w:tc>
          <w:tcPr>
            <w:tcW w:w="4633" w:type="dxa"/>
            <w:vAlign w:val="center"/>
          </w:tcPr>
          <w:p w14:paraId="75FB4651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Total Liabilities to Equity</w:t>
            </w:r>
          </w:p>
        </w:tc>
      </w:tr>
      <w:tr w:rsidR="009F7B33" w14:paraId="1C823D51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0E1A37AF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24</w:t>
            </w:r>
          </w:p>
        </w:tc>
        <w:tc>
          <w:tcPr>
            <w:tcW w:w="2625" w:type="dxa"/>
            <w:vAlign w:val="center"/>
          </w:tcPr>
          <w:p w14:paraId="1ED6E894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TLtA</w:t>
            </w:r>
          </w:p>
        </w:tc>
        <w:tc>
          <w:tcPr>
            <w:tcW w:w="4633" w:type="dxa"/>
            <w:vAlign w:val="center"/>
          </w:tcPr>
          <w:p w14:paraId="35A52B7D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Total Liabilities to Total assets</w:t>
            </w:r>
          </w:p>
        </w:tc>
      </w:tr>
      <w:tr w:rsidR="009F7B33" w14:paraId="13AC8299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4B771D46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25</w:t>
            </w:r>
          </w:p>
        </w:tc>
        <w:tc>
          <w:tcPr>
            <w:tcW w:w="2625" w:type="dxa"/>
            <w:vAlign w:val="center"/>
          </w:tcPr>
          <w:p w14:paraId="33AADFE5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EtA</w:t>
            </w:r>
          </w:p>
        </w:tc>
        <w:tc>
          <w:tcPr>
            <w:tcW w:w="4633" w:type="dxa"/>
            <w:vAlign w:val="center"/>
          </w:tcPr>
          <w:p w14:paraId="3D5C2963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Equity to Total assets</w:t>
            </w:r>
          </w:p>
        </w:tc>
      </w:tr>
      <w:tr w:rsidR="009F7B33" w14:paraId="262C3E37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5C1AF3EF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26</w:t>
            </w:r>
          </w:p>
        </w:tc>
        <w:tc>
          <w:tcPr>
            <w:tcW w:w="2625" w:type="dxa"/>
          </w:tcPr>
          <w:p w14:paraId="110CF530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GMI</w:t>
            </w:r>
          </w:p>
        </w:tc>
        <w:tc>
          <w:tcPr>
            <w:tcW w:w="4633" w:type="dxa"/>
          </w:tcPr>
          <w:p w14:paraId="3926F25A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Gross profit margin</w:t>
            </w:r>
          </w:p>
        </w:tc>
      </w:tr>
      <w:tr w:rsidR="009F7B33" w14:paraId="7892092E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0A5B7D74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27</w:t>
            </w:r>
          </w:p>
        </w:tc>
        <w:tc>
          <w:tcPr>
            <w:tcW w:w="2625" w:type="dxa"/>
            <w:vAlign w:val="center"/>
          </w:tcPr>
          <w:p w14:paraId="72E88AD4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GPtNS</w:t>
            </w:r>
          </w:p>
        </w:tc>
        <w:tc>
          <w:tcPr>
            <w:tcW w:w="4633" w:type="dxa"/>
            <w:vAlign w:val="center"/>
          </w:tcPr>
          <w:p w14:paraId="5E22CFFD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Gross profit to Net sales</w:t>
            </w:r>
          </w:p>
        </w:tc>
      </w:tr>
      <w:tr w:rsidR="009F7B33" w14:paraId="6054F638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1577159C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28</w:t>
            </w:r>
          </w:p>
        </w:tc>
        <w:tc>
          <w:tcPr>
            <w:tcW w:w="2625" w:type="dxa"/>
            <w:vAlign w:val="center"/>
          </w:tcPr>
          <w:p w14:paraId="1484CABB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P/S</w:t>
            </w:r>
          </w:p>
        </w:tc>
        <w:tc>
          <w:tcPr>
            <w:tcW w:w="4633" w:type="dxa"/>
            <w:vAlign w:val="center"/>
          </w:tcPr>
          <w:p w14:paraId="45621F3B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Stock price to sales</w:t>
            </w:r>
          </w:p>
        </w:tc>
      </w:tr>
      <w:tr w:rsidR="009F7B33" w14:paraId="5C0DC571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3676AFBD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29</w:t>
            </w:r>
          </w:p>
        </w:tc>
        <w:tc>
          <w:tcPr>
            <w:tcW w:w="2625" w:type="dxa"/>
          </w:tcPr>
          <w:p w14:paraId="0240C6FF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DSRI</w:t>
            </w:r>
          </w:p>
        </w:tc>
        <w:tc>
          <w:tcPr>
            <w:tcW w:w="4633" w:type="dxa"/>
          </w:tcPr>
          <w:p w14:paraId="0A1ED63E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Days Sales Receivable score</w:t>
            </w:r>
          </w:p>
        </w:tc>
      </w:tr>
      <w:tr w:rsidR="009F7B33" w14:paraId="0C1907B6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175C6460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30</w:t>
            </w:r>
          </w:p>
        </w:tc>
        <w:tc>
          <w:tcPr>
            <w:tcW w:w="2625" w:type="dxa"/>
          </w:tcPr>
          <w:p w14:paraId="4E836362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RECTS</w:t>
            </w:r>
          </w:p>
        </w:tc>
        <w:tc>
          <w:tcPr>
            <w:tcW w:w="4633" w:type="dxa"/>
          </w:tcPr>
          <w:p w14:paraId="21887C66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Sales receivables to Sales</w:t>
            </w:r>
          </w:p>
        </w:tc>
      </w:tr>
      <w:tr w:rsidR="009F7B33" w14:paraId="5F49BCAB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37497C80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31</w:t>
            </w:r>
          </w:p>
        </w:tc>
        <w:tc>
          <w:tcPr>
            <w:tcW w:w="2625" w:type="dxa"/>
            <w:vAlign w:val="center"/>
          </w:tcPr>
          <w:p w14:paraId="193A1ADC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REtA</w:t>
            </w:r>
          </w:p>
        </w:tc>
        <w:tc>
          <w:tcPr>
            <w:tcW w:w="4633" w:type="dxa"/>
            <w:vAlign w:val="center"/>
          </w:tcPr>
          <w:p w14:paraId="65253406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Trade receivables Total assets</w:t>
            </w:r>
          </w:p>
        </w:tc>
      </w:tr>
      <w:tr w:rsidR="009F7B33" w14:paraId="0C46022F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2AD7DAF1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32</w:t>
            </w:r>
          </w:p>
        </w:tc>
        <w:tc>
          <w:tcPr>
            <w:tcW w:w="2625" w:type="dxa"/>
          </w:tcPr>
          <w:p w14:paraId="35F71BD4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INVtA</w:t>
            </w:r>
          </w:p>
        </w:tc>
        <w:tc>
          <w:tcPr>
            <w:tcW w:w="4633" w:type="dxa"/>
          </w:tcPr>
          <w:p w14:paraId="63F36A68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Inventories to Total assets</w:t>
            </w:r>
          </w:p>
        </w:tc>
      </w:tr>
      <w:tr w:rsidR="009F7B33" w14:paraId="6DE536CB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74CE75DA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33</w:t>
            </w:r>
          </w:p>
        </w:tc>
        <w:tc>
          <w:tcPr>
            <w:tcW w:w="2625" w:type="dxa"/>
            <w:vAlign w:val="center"/>
          </w:tcPr>
          <w:p w14:paraId="2F8C0F8D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Ln (Cash)</w:t>
            </w:r>
          </w:p>
        </w:tc>
        <w:tc>
          <w:tcPr>
            <w:tcW w:w="4633" w:type="dxa"/>
            <w:vAlign w:val="center"/>
          </w:tcPr>
          <w:p w14:paraId="2B3D68AB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Natural logarithm of Cash</w:t>
            </w:r>
          </w:p>
        </w:tc>
      </w:tr>
      <w:tr w:rsidR="009F7B33" w14:paraId="72723271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0D73FF50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34</w:t>
            </w:r>
          </w:p>
        </w:tc>
        <w:tc>
          <w:tcPr>
            <w:tcW w:w="2625" w:type="dxa"/>
            <w:vAlign w:val="center"/>
          </w:tcPr>
          <w:p w14:paraId="36165364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CtTA</w:t>
            </w:r>
          </w:p>
        </w:tc>
        <w:tc>
          <w:tcPr>
            <w:tcW w:w="4633" w:type="dxa"/>
            <w:vAlign w:val="center"/>
          </w:tcPr>
          <w:p w14:paraId="1189E711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Cash on Total assets</w:t>
            </w:r>
          </w:p>
        </w:tc>
      </w:tr>
      <w:tr w:rsidR="009F7B33" w14:paraId="5CF6A431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22060CE4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35</w:t>
            </w:r>
          </w:p>
        </w:tc>
        <w:tc>
          <w:tcPr>
            <w:tcW w:w="2625" w:type="dxa"/>
            <w:vAlign w:val="center"/>
          </w:tcPr>
          <w:p w14:paraId="5D2959C6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CAtTA</w:t>
            </w:r>
          </w:p>
        </w:tc>
        <w:tc>
          <w:tcPr>
            <w:tcW w:w="4633" w:type="dxa"/>
            <w:vAlign w:val="center"/>
          </w:tcPr>
          <w:p w14:paraId="1665DDB2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Current asset on Total assets</w:t>
            </w:r>
          </w:p>
        </w:tc>
      </w:tr>
      <w:tr w:rsidR="009F7B33" w14:paraId="24CD3A9B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7D05E448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36</w:t>
            </w:r>
          </w:p>
        </w:tc>
        <w:tc>
          <w:tcPr>
            <w:tcW w:w="2625" w:type="dxa"/>
            <w:vAlign w:val="center"/>
          </w:tcPr>
          <w:p w14:paraId="6613A15B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PPETA</w:t>
            </w:r>
          </w:p>
        </w:tc>
        <w:tc>
          <w:tcPr>
            <w:tcW w:w="4633" w:type="dxa"/>
            <w:vAlign w:val="center"/>
          </w:tcPr>
          <w:p w14:paraId="1A21FC00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Property, Plant, and Equipment to Total assets</w:t>
            </w:r>
          </w:p>
        </w:tc>
      </w:tr>
      <w:tr w:rsidR="009F7B33" w14:paraId="2DD88851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704E2565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37</w:t>
            </w:r>
          </w:p>
        </w:tc>
        <w:tc>
          <w:tcPr>
            <w:tcW w:w="2625" w:type="dxa"/>
            <w:vAlign w:val="center"/>
          </w:tcPr>
          <w:p w14:paraId="00FD92C6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SA</w:t>
            </w:r>
          </w:p>
        </w:tc>
        <w:tc>
          <w:tcPr>
            <w:tcW w:w="4633" w:type="dxa"/>
            <w:vAlign w:val="center"/>
          </w:tcPr>
          <w:p w14:paraId="1AF46BCE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Soft assets</w:t>
            </w:r>
          </w:p>
        </w:tc>
      </w:tr>
      <w:tr w:rsidR="009F7B33" w14:paraId="22C2EE7C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66F25F88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38</w:t>
            </w:r>
          </w:p>
        </w:tc>
        <w:tc>
          <w:tcPr>
            <w:tcW w:w="2625" w:type="dxa"/>
            <w:vAlign w:val="center"/>
          </w:tcPr>
          <w:p w14:paraId="7B47CD44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AQI</w:t>
            </w:r>
          </w:p>
        </w:tc>
        <w:tc>
          <w:tcPr>
            <w:tcW w:w="4633" w:type="dxa"/>
            <w:vAlign w:val="center"/>
          </w:tcPr>
          <w:p w14:paraId="0C9A9E98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Asset quality score</w:t>
            </w:r>
          </w:p>
        </w:tc>
      </w:tr>
      <w:tr w:rsidR="009F7B33" w14:paraId="4CB029EA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2B43C68B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39</w:t>
            </w:r>
          </w:p>
        </w:tc>
        <w:tc>
          <w:tcPr>
            <w:tcW w:w="2625" w:type="dxa"/>
            <w:vAlign w:val="center"/>
          </w:tcPr>
          <w:p w14:paraId="62247E83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OCtTA</w:t>
            </w:r>
          </w:p>
        </w:tc>
        <w:tc>
          <w:tcPr>
            <w:tcW w:w="4633" w:type="dxa"/>
            <w:vAlign w:val="center"/>
          </w:tcPr>
          <w:p w14:paraId="2D165463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Operating capital to Total assets</w:t>
            </w:r>
          </w:p>
        </w:tc>
      </w:tr>
      <w:tr w:rsidR="009F7B33" w14:paraId="66D76F2B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1D44C895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40</w:t>
            </w:r>
          </w:p>
        </w:tc>
        <w:tc>
          <w:tcPr>
            <w:tcW w:w="2625" w:type="dxa"/>
          </w:tcPr>
          <w:p w14:paraId="72CFB60C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ROA</w:t>
            </w:r>
          </w:p>
        </w:tc>
        <w:tc>
          <w:tcPr>
            <w:tcW w:w="4633" w:type="dxa"/>
          </w:tcPr>
          <w:p w14:paraId="2587D3DC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Return On Asset</w:t>
            </w:r>
          </w:p>
        </w:tc>
      </w:tr>
      <w:tr w:rsidR="009F7B33" w14:paraId="394B8B9D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71D0B310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41</w:t>
            </w:r>
          </w:p>
        </w:tc>
        <w:tc>
          <w:tcPr>
            <w:tcW w:w="2625" w:type="dxa"/>
            <w:vAlign w:val="center"/>
          </w:tcPr>
          <w:p w14:paraId="6E7262F9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ROE</w:t>
            </w:r>
          </w:p>
        </w:tc>
        <w:tc>
          <w:tcPr>
            <w:tcW w:w="4633" w:type="dxa"/>
          </w:tcPr>
          <w:p w14:paraId="354BD588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Return On Equity</w:t>
            </w:r>
          </w:p>
        </w:tc>
      </w:tr>
      <w:tr w:rsidR="009F7B33" w14:paraId="22D17337" w14:textId="77777777" w:rsidTr="00117B88">
        <w:trPr>
          <w:trHeight w:val="90"/>
        </w:trPr>
        <w:tc>
          <w:tcPr>
            <w:tcW w:w="2007" w:type="dxa"/>
            <w:vAlign w:val="center"/>
          </w:tcPr>
          <w:p w14:paraId="2237CB45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42</w:t>
            </w:r>
          </w:p>
        </w:tc>
        <w:tc>
          <w:tcPr>
            <w:tcW w:w="2625" w:type="dxa"/>
          </w:tcPr>
          <w:p w14:paraId="517DE99C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EBTtTA</w:t>
            </w:r>
          </w:p>
        </w:tc>
        <w:tc>
          <w:tcPr>
            <w:tcW w:w="4633" w:type="dxa"/>
          </w:tcPr>
          <w:p w14:paraId="6677F3D0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Earning before tax to Total assets</w:t>
            </w:r>
          </w:p>
        </w:tc>
      </w:tr>
      <w:tr w:rsidR="009F7B33" w14:paraId="14C4E8EE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583DDA19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43</w:t>
            </w:r>
          </w:p>
        </w:tc>
        <w:tc>
          <w:tcPr>
            <w:tcW w:w="2625" w:type="dxa"/>
          </w:tcPr>
          <w:p w14:paraId="57E4D81B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ATurnR</w:t>
            </w:r>
          </w:p>
        </w:tc>
        <w:tc>
          <w:tcPr>
            <w:tcW w:w="4633" w:type="dxa"/>
          </w:tcPr>
          <w:p w14:paraId="01437AA6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Total asset turnover</w:t>
            </w:r>
          </w:p>
        </w:tc>
      </w:tr>
      <w:tr w:rsidR="009F7B33" w14:paraId="6024A2C7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6128B5E5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44</w:t>
            </w:r>
          </w:p>
        </w:tc>
        <w:tc>
          <w:tcPr>
            <w:tcW w:w="2625" w:type="dxa"/>
          </w:tcPr>
          <w:p w14:paraId="71D709D0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ZSCORE</w:t>
            </w:r>
          </w:p>
        </w:tc>
        <w:tc>
          <w:tcPr>
            <w:tcW w:w="4633" w:type="dxa"/>
          </w:tcPr>
          <w:p w14:paraId="61A05D35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Z - Score modified</w:t>
            </w:r>
          </w:p>
        </w:tc>
      </w:tr>
      <w:tr w:rsidR="009F7B33" w14:paraId="37EEA27C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7885950A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45</w:t>
            </w:r>
          </w:p>
        </w:tc>
        <w:tc>
          <w:tcPr>
            <w:tcW w:w="2625" w:type="dxa"/>
          </w:tcPr>
          <w:p w14:paraId="37B39E4A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CUR_RATIO</w:t>
            </w:r>
          </w:p>
        </w:tc>
        <w:tc>
          <w:tcPr>
            <w:tcW w:w="4633" w:type="dxa"/>
          </w:tcPr>
          <w:p w14:paraId="00CC47E4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Current ratio</w:t>
            </w:r>
          </w:p>
        </w:tc>
      </w:tr>
      <w:tr w:rsidR="009F7B33" w14:paraId="7DF3A411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58DC52C7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46</w:t>
            </w:r>
          </w:p>
        </w:tc>
        <w:tc>
          <w:tcPr>
            <w:tcW w:w="2625" w:type="dxa"/>
          </w:tcPr>
          <w:p w14:paraId="17607888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QUI_RATIO</w:t>
            </w:r>
          </w:p>
        </w:tc>
        <w:tc>
          <w:tcPr>
            <w:tcW w:w="4633" w:type="dxa"/>
          </w:tcPr>
          <w:p w14:paraId="6AFCC3E2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Quick ratio</w:t>
            </w:r>
          </w:p>
        </w:tc>
      </w:tr>
      <w:tr w:rsidR="009F7B33" w14:paraId="200EF09B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06EA20D5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47</w:t>
            </w:r>
          </w:p>
        </w:tc>
        <w:tc>
          <w:tcPr>
            <w:tcW w:w="2625" w:type="dxa"/>
            <w:shd w:val="clear" w:color="auto" w:fill="FFFFFF"/>
            <w:vAlign w:val="center"/>
          </w:tcPr>
          <w:p w14:paraId="5EFA3A35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TA_G</w:t>
            </w:r>
          </w:p>
        </w:tc>
        <w:tc>
          <w:tcPr>
            <w:tcW w:w="4633" w:type="dxa"/>
            <w:vAlign w:val="center"/>
          </w:tcPr>
          <w:p w14:paraId="4097F140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Total assets Growth</w:t>
            </w:r>
          </w:p>
        </w:tc>
      </w:tr>
      <w:tr w:rsidR="009F7B33" w14:paraId="221871EE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7831214E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48</w:t>
            </w:r>
          </w:p>
        </w:tc>
        <w:tc>
          <w:tcPr>
            <w:tcW w:w="2625" w:type="dxa"/>
            <w:vAlign w:val="center"/>
          </w:tcPr>
          <w:p w14:paraId="0FD7939E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SIZE</w:t>
            </w:r>
          </w:p>
        </w:tc>
        <w:tc>
          <w:tcPr>
            <w:tcW w:w="4633" w:type="dxa"/>
            <w:vAlign w:val="center"/>
          </w:tcPr>
          <w:p w14:paraId="5C46C5A0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Natural logarithm of Total Assets</w:t>
            </w:r>
          </w:p>
        </w:tc>
      </w:tr>
      <w:tr w:rsidR="009F7B33" w14:paraId="03EFA831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1ED77308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t>49</w:t>
            </w:r>
          </w:p>
        </w:tc>
        <w:tc>
          <w:tcPr>
            <w:tcW w:w="2625" w:type="dxa"/>
          </w:tcPr>
          <w:p w14:paraId="4A64BCE4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LAST MISSTATE</w:t>
            </w:r>
          </w:p>
        </w:tc>
        <w:tc>
          <w:tcPr>
            <w:tcW w:w="4633" w:type="dxa"/>
          </w:tcPr>
          <w:p w14:paraId="15AF5F81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/>
              </w:rPr>
              <w:t>Last missstatements</w:t>
            </w:r>
          </w:p>
        </w:tc>
      </w:tr>
      <w:tr w:rsidR="009F7B33" w14:paraId="6E38F6C9" w14:textId="77777777" w:rsidTr="00117B88">
        <w:trPr>
          <w:trHeight w:val="450"/>
        </w:trPr>
        <w:tc>
          <w:tcPr>
            <w:tcW w:w="2007" w:type="dxa"/>
            <w:vAlign w:val="center"/>
          </w:tcPr>
          <w:p w14:paraId="1C14087D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  <w:lang w:val="en-US" w:eastAsia="zh-CN"/>
              </w:rPr>
              <w:lastRenderedPageBreak/>
              <w:t>50</w:t>
            </w:r>
          </w:p>
        </w:tc>
        <w:tc>
          <w:tcPr>
            <w:tcW w:w="2625" w:type="dxa"/>
            <w:vAlign w:val="center"/>
          </w:tcPr>
          <w:p w14:paraId="47966F16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 w:cs="Times New Roman"/>
                <w:smallCaps/>
                <w:spacing w:val="0"/>
                <w:sz w:val="16"/>
                <w:szCs w:val="16"/>
              </w:rPr>
              <w:t>AUDOpi</w:t>
            </w:r>
          </w:p>
        </w:tc>
        <w:tc>
          <w:tcPr>
            <w:tcW w:w="4633" w:type="dxa"/>
            <w:vAlign w:val="center"/>
          </w:tcPr>
          <w:p w14:paraId="71308A5D" w14:textId="77777777" w:rsidR="009F7B33" w:rsidRDefault="009F7B33" w:rsidP="00117B88">
            <w:pPr>
              <w:pStyle w:val="PARA"/>
              <w:jc w:val="center"/>
              <w:rPr>
                <w:rFonts w:eastAsia="SimSun" w:cs="Times New Roman"/>
                <w:smallCaps/>
                <w:spacing w:val="0"/>
                <w:sz w:val="16"/>
                <w:szCs w:val="16"/>
              </w:rPr>
            </w:pPr>
            <w:r>
              <w:rPr>
                <w:rFonts w:eastAsia="SimSun"/>
                <w:smallCaps/>
                <w:spacing w:val="0"/>
                <w:sz w:val="16"/>
                <w:szCs w:val="16"/>
              </w:rPr>
              <w:t>Audit opinion</w:t>
            </w:r>
          </w:p>
        </w:tc>
      </w:tr>
    </w:tbl>
    <w:p w14:paraId="1A607788" w14:textId="77777777" w:rsidR="009F7B33" w:rsidRDefault="009F7B33" w:rsidP="009F7B33">
      <w:pPr>
        <w:spacing w:line="360" w:lineRule="auto"/>
        <w:rPr>
          <w:smallCaps/>
          <w:sz w:val="16"/>
          <w:szCs w:val="16"/>
        </w:rPr>
      </w:pPr>
      <w:r>
        <w:rPr>
          <w:color w:val="0E101A"/>
          <w:sz w:val="16"/>
          <w:szCs w:val="16"/>
        </w:rPr>
        <w:t>Source: Authors’ calculation</w:t>
      </w:r>
    </w:p>
    <w:p w14:paraId="01D64F49" w14:textId="77777777" w:rsidR="009F7B33" w:rsidRDefault="009F7B33" w:rsidP="009F7B33">
      <w:pPr>
        <w:pStyle w:val="References"/>
        <w:ind w:left="810" w:firstLine="0"/>
      </w:pPr>
    </w:p>
    <w:p w14:paraId="15AC63D0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LTStd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mataOTF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33"/>
    <w:rsid w:val="000860CC"/>
    <w:rsid w:val="002978F5"/>
    <w:rsid w:val="003852CF"/>
    <w:rsid w:val="004E780C"/>
    <w:rsid w:val="009F7B3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E629C"/>
  <w15:chartTrackingRefBased/>
  <w15:docId w15:val="{B7470A3B-72FE-49C2-8806-8876045AD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7B33"/>
    <w:pPr>
      <w:spacing w:before="60" w:after="60" w:line="276" w:lineRule="auto"/>
      <w:jc w:val="both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7B3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7B3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7B33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7B33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7B33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7B33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7B33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7B33"/>
    <w:pPr>
      <w:keepNext/>
      <w:keepLines/>
      <w:spacing w:before="0"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7B33"/>
    <w:pPr>
      <w:keepNext/>
      <w:keepLines/>
      <w:spacing w:before="0"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7B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7B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7B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7B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7B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7B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7B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7B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7B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7B33"/>
    <w:pPr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F7B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7B33"/>
    <w:pPr>
      <w:numPr>
        <w:ilvl w:val="1"/>
      </w:numPr>
      <w:spacing w:before="0"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F7B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7B3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F7B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7B33"/>
    <w:pPr>
      <w:spacing w:before="0"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F7B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7B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7B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7B3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qFormat/>
    <w:rsid w:val="009F7B33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GB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">
    <w:name w:val="PARA"/>
    <w:basedOn w:val="Normal"/>
    <w:link w:val="PARAChar"/>
    <w:qFormat/>
    <w:rsid w:val="009F7B33"/>
    <w:pPr>
      <w:suppressAutoHyphens/>
      <w:autoSpaceDE w:val="0"/>
      <w:autoSpaceDN w:val="0"/>
      <w:adjustRightInd w:val="0"/>
      <w:spacing w:line="240" w:lineRule="exact"/>
    </w:pPr>
    <w:rPr>
      <w:rFonts w:cs="TimesLTStd-Roman"/>
      <w:spacing w:val="-2"/>
      <w:sz w:val="20"/>
    </w:rPr>
  </w:style>
  <w:style w:type="paragraph" w:customStyle="1" w:styleId="H1">
    <w:name w:val="H1"/>
    <w:basedOn w:val="Normal"/>
    <w:qFormat/>
    <w:rsid w:val="009F7B33"/>
    <w:pPr>
      <w:autoSpaceDE w:val="0"/>
      <w:autoSpaceDN w:val="0"/>
      <w:adjustRightInd w:val="0"/>
      <w:spacing w:before="240"/>
    </w:pPr>
    <w:rPr>
      <w:rFonts w:ascii="Helvetica" w:hAnsi="Helvetica" w:cs="FormataOTF-Bold"/>
      <w:b/>
      <w:bCs/>
      <w:color w:val="00629B"/>
      <w:sz w:val="18"/>
      <w:szCs w:val="18"/>
    </w:rPr>
  </w:style>
  <w:style w:type="paragraph" w:customStyle="1" w:styleId="TableTitle">
    <w:name w:val="Table Title"/>
    <w:basedOn w:val="Normal"/>
    <w:qFormat/>
    <w:rsid w:val="009F7B33"/>
    <w:pPr>
      <w:jc w:val="center"/>
    </w:pPr>
    <w:rPr>
      <w:smallCaps/>
      <w:sz w:val="16"/>
      <w:szCs w:val="16"/>
    </w:rPr>
  </w:style>
  <w:style w:type="paragraph" w:customStyle="1" w:styleId="References">
    <w:name w:val="References"/>
    <w:basedOn w:val="Normal"/>
    <w:autoRedefine/>
    <w:qFormat/>
    <w:rsid w:val="009F7B33"/>
    <w:pPr>
      <w:spacing w:before="120"/>
      <w:ind w:left="288" w:hanging="288"/>
      <w:contextualSpacing/>
    </w:pPr>
    <w:rPr>
      <w:rFonts w:eastAsia="TimesNewRomanPSMT"/>
      <w:sz w:val="18"/>
    </w:rPr>
  </w:style>
  <w:style w:type="character" w:customStyle="1" w:styleId="PARAChar">
    <w:name w:val="PARA Char"/>
    <w:basedOn w:val="DefaultParagraphFont"/>
    <w:link w:val="PARA"/>
    <w:qFormat/>
    <w:rsid w:val="009F7B33"/>
    <w:rPr>
      <w:rFonts w:ascii="Times New Roman" w:eastAsia="Times New Roman" w:hAnsi="Times New Roman" w:cs="TimesLTStd-Roman"/>
      <w:spacing w:val="-2"/>
      <w:kern w:val="0"/>
      <w:sz w:val="20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344</Words>
  <Characters>1965</Characters>
  <Application>Microsoft Office Word</Application>
  <DocSecurity>0</DocSecurity>
  <Lines>16</Lines>
  <Paragraphs>4</Paragraphs>
  <ScaleCrop>false</ScaleCrop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2025-10-01T16:06:00Z</dcterms:created>
  <dcterms:modified xsi:type="dcterms:W3CDTF">2025-10-01T16:06:00Z</dcterms:modified>
</cp:coreProperties>
</file>