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720" w:hanging="720"/>
        <w:jc w:val="center"/>
        <w:rPr>
          <w:color w:val="000000"/>
          <w:sz w:val="21"/>
          <w:szCs w:val="21"/>
        </w:rPr>
      </w:pP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Table 1</w:t>
      </w:r>
      <w:r>
        <w:rPr>
          <w:color w:val="000000"/>
          <w:sz w:val="21"/>
          <w:szCs w:val="21"/>
        </w:rPr>
        <w:t xml:space="preserve">   Environment parameters of the Nanling botanical garden</w:t>
      </w:r>
    </w:p>
    <w:p/>
    <w:tbl>
      <w:tblPr>
        <w:tblStyle w:val="4"/>
        <w:tblpPr w:leftFromText="180" w:rightFromText="180" w:vertAnchor="text" w:horzAnchor="margin" w:tblpXSpec="center" w:tblpY="163"/>
        <w:tblW w:w="1427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593"/>
        <w:gridCol w:w="794"/>
        <w:gridCol w:w="851"/>
        <w:gridCol w:w="1757"/>
        <w:gridCol w:w="794"/>
        <w:gridCol w:w="850"/>
        <w:gridCol w:w="1617"/>
        <w:gridCol w:w="794"/>
        <w:gridCol w:w="708"/>
        <w:gridCol w:w="1418"/>
        <w:gridCol w:w="819"/>
        <w:gridCol w:w="816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238" w:type="dxa"/>
            <w:gridSpan w:val="3"/>
            <w:tcBorders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Spring</w:t>
            </w:r>
          </w:p>
        </w:tc>
        <w:tc>
          <w:tcPr>
            <w:tcW w:w="3401" w:type="dxa"/>
            <w:gridSpan w:val="3"/>
            <w:tcBorders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Summer</w:t>
            </w:r>
          </w:p>
        </w:tc>
        <w:tc>
          <w:tcPr>
            <w:tcW w:w="3119" w:type="dxa"/>
            <w:gridSpan w:val="3"/>
            <w:tcBorders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Autunmn</w:t>
            </w:r>
          </w:p>
        </w:tc>
        <w:tc>
          <w:tcPr>
            <w:tcW w:w="3053" w:type="dxa"/>
            <w:gridSpan w:val="3"/>
            <w:tcBorders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Winter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Mean</w:t>
            </w:r>
          </w:p>
        </w:tc>
        <w:tc>
          <w:tcPr>
            <w:tcW w:w="794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Max</w:t>
            </w:r>
          </w:p>
        </w:tc>
        <w:tc>
          <w:tcPr>
            <w:tcW w:w="851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Min</w:t>
            </w:r>
          </w:p>
        </w:tc>
        <w:tc>
          <w:tcPr>
            <w:tcW w:w="1757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Mean</w:t>
            </w:r>
          </w:p>
        </w:tc>
        <w:tc>
          <w:tcPr>
            <w:tcW w:w="794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Max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Min</w:t>
            </w:r>
          </w:p>
        </w:tc>
        <w:tc>
          <w:tcPr>
            <w:tcW w:w="1617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Mean</w:t>
            </w:r>
          </w:p>
        </w:tc>
        <w:tc>
          <w:tcPr>
            <w:tcW w:w="794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Max</w:t>
            </w:r>
          </w:p>
        </w:tc>
        <w:tc>
          <w:tcPr>
            <w:tcW w:w="708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Min</w:t>
            </w:r>
          </w:p>
        </w:tc>
        <w:tc>
          <w:tcPr>
            <w:tcW w:w="1418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Mean</w:t>
            </w:r>
          </w:p>
        </w:tc>
        <w:tc>
          <w:tcPr>
            <w:tcW w:w="81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Max</w:t>
            </w:r>
          </w:p>
        </w:tc>
        <w:tc>
          <w:tcPr>
            <w:tcW w:w="816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Min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 (m/s)</w:t>
            </w:r>
          </w:p>
        </w:tc>
        <w:tc>
          <w:tcPr>
            <w:tcW w:w="1593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0.4 ± 0.5</w:t>
            </w:r>
          </w:p>
        </w:tc>
        <w:tc>
          <w:tcPr>
            <w:tcW w:w="794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3.2</w:t>
            </w:r>
          </w:p>
        </w:tc>
        <w:tc>
          <w:tcPr>
            <w:tcW w:w="851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</w:t>
            </w:r>
          </w:p>
        </w:tc>
        <w:tc>
          <w:tcPr>
            <w:tcW w:w="1757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0.4 ± 0.5</w:t>
            </w:r>
          </w:p>
        </w:tc>
        <w:tc>
          <w:tcPr>
            <w:tcW w:w="794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2.3</w:t>
            </w:r>
          </w:p>
        </w:tc>
        <w:tc>
          <w:tcPr>
            <w:tcW w:w="850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</w:t>
            </w:r>
          </w:p>
        </w:tc>
        <w:tc>
          <w:tcPr>
            <w:tcW w:w="1617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0.2 ± 0.4</w:t>
            </w:r>
          </w:p>
        </w:tc>
        <w:tc>
          <w:tcPr>
            <w:tcW w:w="794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2.3</w:t>
            </w:r>
          </w:p>
        </w:tc>
        <w:tc>
          <w:tcPr>
            <w:tcW w:w="708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</w:t>
            </w:r>
          </w:p>
        </w:tc>
        <w:tc>
          <w:tcPr>
            <w:tcW w:w="1418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0.1 ± 0.2</w:t>
            </w:r>
          </w:p>
        </w:tc>
        <w:tc>
          <w:tcPr>
            <w:tcW w:w="819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1.1</w:t>
            </w:r>
          </w:p>
        </w:tc>
        <w:tc>
          <w:tcPr>
            <w:tcW w:w="816" w:type="dxa"/>
            <w:tcBorders>
              <w:top w:val="single" w:color="000000" w:sz="8" w:space="0"/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 (℃)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27.6 ± 3.3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34.0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18.8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32.1 ± 2.6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38.6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27.2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24.6 ± 2.1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28.9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18.9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16.8 ± 4.8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24.0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7.8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 (%)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50 ± 9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80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61 ± 11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82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35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70 ± 10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97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47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51 ± 16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85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UV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(μW/cm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126.38 ± 232.02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948.67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1.27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110.55 ± 151.36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628.80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0.50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45.44 ±75.81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488.67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0.00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17.37 ± 25.50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115.10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NAI (ions/cm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616 ± 317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1263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1278 ± 580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3093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494 ± 222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1863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84 ± 133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638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4.43 ± 1.74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15.05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2.48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5.22 ± 3.43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9.63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1.16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10.33 ± 8.30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45.58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3.79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12.50 ± 8.65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39.03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5.07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18.65 ± 31.01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334.52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10.40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9.66 ± 5.23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35.33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4.82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32.32 ± 18.96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117.74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13.35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38.20 ± 26.22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111.78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14.61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61.6 ± 25.0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173.3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15.2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42.6 ± 31.6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254.1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11.6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69.5 ± 27.3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144.7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23.4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56.7 ± 25.1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165.7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15.0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0" w:type="dxa"/>
            <w:tcBorders>
              <w:tl2br w:val="nil"/>
              <w:tr2bl w:val="nil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TSP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130.7 ± 67.4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340.5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25.1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91.5 ± 69.9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389.0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7.3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128.5 ± 68.2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381.7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37.4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111.5 ± 67.4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338.4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17.5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2"/>
          <w:lang w:val="en-US" w:eastAsia="zh-CN" w:bidi="ar"/>
        </w:rPr>
        <w:t xml:space="preserve">Note: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Number of collected air samples during the study period: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32 samples.</w:t>
      </w:r>
    </w:p>
    <w:p>
      <w:pPr>
        <w:ind w:firstLine="420" w:firstLineChars="200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</w:p>
    <w:p>
      <w:pPr>
        <w:ind w:firstLine="420" w:firstLineChars="200"/>
        <w:rPr>
          <w:rFonts w:hint="default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The weather of Chenzhou city is a 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instrText xml:space="preserve"> HYPERLINK "C:/Users/17974/Desktop/微生物论文/javascript:;" </w:instrTex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eastAsia="等线" w:cs="Times New Roman"/>
          <w:color w:val="auto"/>
          <w:kern w:val="2"/>
          <w:sz w:val="21"/>
          <w:szCs w:val="21"/>
          <w:u w:val="none"/>
          <w:lang w:val="en-US" w:eastAsia="zh-CN" w:bidi="ar"/>
        </w:rPr>
        <w:t>subtropical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 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instrText xml:space="preserve"> HYPERLINK "C:/Users/17974/Desktop/微生物论文/javascript:;" </w:instrTex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eastAsia="等线" w:cs="Times New Roman"/>
          <w:color w:val="auto"/>
          <w:kern w:val="2"/>
          <w:sz w:val="21"/>
          <w:szCs w:val="21"/>
          <w:u w:val="none"/>
          <w:lang w:val="en-US" w:eastAsia="zh-CN" w:bidi="ar"/>
        </w:rPr>
        <w:t>monsoon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 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instrText xml:space="preserve"> HYPERLINK "C:/Users/17974/Desktop/微生物论文/javascript:;" </w:instrTex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eastAsia="等线" w:cs="Times New Roman"/>
          <w:color w:val="auto"/>
          <w:kern w:val="2"/>
          <w:sz w:val="21"/>
          <w:szCs w:val="21"/>
          <w:u w:val="none"/>
          <w:lang w:val="en-US" w:eastAsia="zh-CN" w:bidi="ar"/>
        </w:rPr>
        <w:t>climate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with cold and less rain in winter, and hot and more rain in summer.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During the whole sampling period, the environmental factors (meteorological elements, UV, NAI, </w:t>
      </w:r>
      <w:bookmarkStart w:id="0" w:name="OLE_LINK37"/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airborne particulate matter</w:t>
      </w:r>
      <w:bookmarkEnd w:id="0"/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and airborne bacteria) of air samples from the 6 sampling sites were observed.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The detail data over the four seasons are shown in Table 1.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</w:p>
    <w:p/>
    <w:p/>
    <w:p/>
    <w:p>
      <w:pPr>
        <w:widowControl/>
        <w:jc w:val="left"/>
        <w:rPr>
          <w:rFonts w:ascii="Times New Roman" w:hAnsi="Times New Roman" w:eastAsia="等线" w:cs="Times New Roman"/>
          <w:color w:val="000000"/>
          <w:szCs w:val="21"/>
        </w:rPr>
      </w:pPr>
      <w:r>
        <w:rPr>
          <w:color w:val="000000"/>
          <w:szCs w:val="21"/>
        </w:rPr>
        <w:br w:type="page"/>
      </w:r>
    </w:p>
    <w:p>
      <w:pPr>
        <w:widowControl/>
        <w:jc w:val="left"/>
      </w:pPr>
    </w:p>
    <w:p>
      <w:pPr>
        <w:pStyle w:val="8"/>
        <w:ind w:left="720" w:hanging="720"/>
        <w:jc w:val="center"/>
        <w:rPr>
          <w:color w:val="000000"/>
          <w:sz w:val="21"/>
          <w:szCs w:val="21"/>
        </w:rPr>
      </w:pP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 xml:space="preserve">Table </w:t>
      </w:r>
      <w:r>
        <w:rPr>
          <w:rFonts w:hint="eastAsia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-1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Environment parameters of the </w:t>
      </w:r>
      <w:r>
        <w:rPr>
          <w:rFonts w:hint="eastAsia"/>
          <w:color w:val="000000"/>
          <w:sz w:val="21"/>
          <w:szCs w:val="21"/>
        </w:rPr>
        <w:t xml:space="preserve">different forest communities in </w:t>
      </w:r>
      <w:r>
        <w:rPr>
          <w:color w:val="000000"/>
          <w:sz w:val="21"/>
          <w:szCs w:val="21"/>
        </w:rPr>
        <w:t>Nanling botanical garden</w:t>
      </w:r>
      <w:r>
        <w:rPr>
          <w:rFonts w:hint="eastAsia"/>
          <w:color w:val="000000"/>
          <w:sz w:val="21"/>
          <w:szCs w:val="21"/>
        </w:rPr>
        <w:t xml:space="preserve"> in spring</w:t>
      </w:r>
    </w:p>
    <w:p/>
    <w:tbl>
      <w:tblPr>
        <w:tblStyle w:val="4"/>
        <w:tblW w:w="16489" w:type="dxa"/>
        <w:tblInd w:w="-1097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231"/>
        <w:gridCol w:w="711"/>
        <w:gridCol w:w="621"/>
        <w:gridCol w:w="1276"/>
        <w:gridCol w:w="621"/>
        <w:gridCol w:w="655"/>
        <w:gridCol w:w="1275"/>
        <w:gridCol w:w="711"/>
        <w:gridCol w:w="621"/>
        <w:gridCol w:w="1276"/>
        <w:gridCol w:w="711"/>
        <w:gridCol w:w="621"/>
        <w:gridCol w:w="1309"/>
        <w:gridCol w:w="621"/>
        <w:gridCol w:w="655"/>
        <w:gridCol w:w="1276"/>
        <w:gridCol w:w="711"/>
        <w:gridCol w:w="62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bottom w:val="nil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63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CK</w:t>
            </w:r>
          </w:p>
        </w:tc>
        <w:tc>
          <w:tcPr>
            <w:tcW w:w="2552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2607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</w:t>
            </w:r>
          </w:p>
        </w:tc>
        <w:tc>
          <w:tcPr>
            <w:tcW w:w="2585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SA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top w:val="nil"/>
              <w:bottom w:val="single" w:color="000000" w:sz="8" w:space="0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309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  <w:tcBorders>
              <w:top w:val="single" w:color="000000" w:sz="8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 (m/s)</w:t>
            </w:r>
          </w:p>
        </w:tc>
        <w:tc>
          <w:tcPr>
            <w:tcW w:w="1231" w:type="dxa"/>
            <w:tcBorders>
              <w:top w:val="single" w:color="000000" w:sz="8" w:space="0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 ± 0.7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3.2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0.3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0.8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0.4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 ± 0.4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309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0.3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0.3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0.2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0.3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 (℃)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29.4 ± 3.5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28.4 ± 3.1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32.5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22.2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27.8 ± 3.1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27.6 ± 3.0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22.3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27.7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30.8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22.9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24.9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3.1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18.8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 (%)</w:t>
            </w:r>
          </w:p>
        </w:tc>
        <w:tc>
          <w:tcPr>
            <w:tcW w:w="1231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 ± 8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49 ± 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51 ± 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52 ± 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52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48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UV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(μW/cm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488 ± 373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949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 ± 47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219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45 ± 27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19 ± 13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58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107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101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160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NAI (ions/cm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482 ± 202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818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796 ± 217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1195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550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781 ± 201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1145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415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796 ± 195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1263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453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756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131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945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84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365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4.53 ± 1.54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8.17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3.17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4.26 ± 1.14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7.37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3.13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4.35 ± 1.26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7.06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3.13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4.24 ± 1.07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6.54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2.88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4.09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0.97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5.84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2.87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5.11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3.33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15.05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2.48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35.18 ± 74.81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334.52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13.38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14.95 ± 2.71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20.87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12.09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14.97 ± 3.51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22.86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11.49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15.28 ± 3.24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22.02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11.31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14.75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2.89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20.83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11.46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16.77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8.27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39.94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10.40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80.0 ± 17.0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105.2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52.6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61.6 ± 18.3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92.3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29.8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61.4 ± 17.1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102.7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40.0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68.4 ± 32.3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173.3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19.1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61.9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27.0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114.9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22.4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36.5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13.4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62.7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TSP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173.9 ± 71.1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340.5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58.2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141.2 ± 82.4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314.0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52.3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142.2 ± 50.5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250.9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65.4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121.9 ± 52.5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261.4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57.8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131.3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65.9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276.5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46.6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73.8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36.6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158.8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25.1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2"/>
          <w:lang w:val="en-US" w:eastAsia="zh-CN" w:bidi="ar"/>
        </w:rPr>
        <w:t xml:space="preserve">Note: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Number of collected air samples during the study period: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108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samples.</w:t>
      </w:r>
    </w:p>
    <w:p/>
    <w:p>
      <w:pPr>
        <w:ind w:firstLine="420" w:firstLineChars="200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During the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spring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sampling period, the environmental factors (meteorological elements, UV, NAI, airborne particulate matter and airborne bacteria) of air samples from the 6 sampling sites were observed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(Table 2-1). The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air quality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of the sampling sites in urban forest were better than CK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begin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instrText xml:space="preserve"> HYPERLINK "D:/WX/Youdao/Dict/8.9.8.0/resultui/html/index.html" \l "/javascript:;" </w:instrTex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separate"/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especially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end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SK and SA.</w:t>
      </w:r>
    </w:p>
    <w:p>
      <w:pPr>
        <w:ind w:firstLine="420" w:firstLineChars="200"/>
        <w:rPr>
          <w:rFonts w:hint="default"/>
          <w:lang w:val="en-US"/>
        </w:rPr>
      </w:pPr>
    </w:p>
    <w:p>
      <w:pPr>
        <w:widowControl/>
        <w:jc w:val="left"/>
      </w:pPr>
      <w:r>
        <w:br w:type="page"/>
      </w:r>
    </w:p>
    <w:p>
      <w:pPr>
        <w:pStyle w:val="8"/>
        <w:ind w:left="720" w:hanging="720"/>
        <w:jc w:val="center"/>
        <w:rPr>
          <w:color w:val="000000"/>
          <w:sz w:val="21"/>
          <w:szCs w:val="21"/>
        </w:rPr>
      </w:pP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 xml:space="preserve">Table </w:t>
      </w:r>
      <w:r>
        <w:rPr>
          <w:rFonts w:hint="eastAsia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-</w:t>
      </w:r>
      <w:r>
        <w:rPr>
          <w:rFonts w:hint="eastAsia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2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 Environment parameters of the </w:t>
      </w:r>
      <w:r>
        <w:rPr>
          <w:rFonts w:hint="eastAsia"/>
          <w:color w:val="000000"/>
          <w:sz w:val="21"/>
          <w:szCs w:val="21"/>
        </w:rPr>
        <w:t xml:space="preserve">different forest communities in </w:t>
      </w:r>
      <w:r>
        <w:rPr>
          <w:color w:val="000000"/>
          <w:sz w:val="21"/>
          <w:szCs w:val="21"/>
        </w:rPr>
        <w:t>Nanling botanical garden</w:t>
      </w:r>
      <w:r>
        <w:rPr>
          <w:rFonts w:hint="eastAsia"/>
          <w:color w:val="000000"/>
          <w:sz w:val="21"/>
          <w:szCs w:val="21"/>
        </w:rPr>
        <w:t xml:space="preserve"> in summer</w:t>
      </w:r>
    </w:p>
    <w:tbl>
      <w:tblPr>
        <w:tblStyle w:val="4"/>
        <w:tblpPr w:leftFromText="180" w:rightFromText="180" w:vertAnchor="page" w:horzAnchor="page" w:tblpX="374" w:tblpY="2278"/>
        <w:tblW w:w="16410" w:type="dxa"/>
        <w:tblInd w:w="0" w:type="dxa"/>
        <w:tblBorders>
          <w:top w:val="single" w:color="auto" w:sz="4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127"/>
        <w:gridCol w:w="709"/>
        <w:gridCol w:w="708"/>
        <w:gridCol w:w="1134"/>
        <w:gridCol w:w="664"/>
        <w:gridCol w:w="754"/>
        <w:gridCol w:w="1134"/>
        <w:gridCol w:w="718"/>
        <w:gridCol w:w="841"/>
        <w:gridCol w:w="1134"/>
        <w:gridCol w:w="631"/>
        <w:gridCol w:w="787"/>
        <w:gridCol w:w="1134"/>
        <w:gridCol w:w="684"/>
        <w:gridCol w:w="591"/>
        <w:gridCol w:w="1134"/>
        <w:gridCol w:w="851"/>
        <w:gridCol w:w="709"/>
      </w:tblGrid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66" w:type="dxa"/>
            <w:tcBorders>
              <w:top w:val="single" w:color="000000" w:sz="8" w:space="0"/>
              <w:bottom w:val="nil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CK</w:t>
            </w:r>
          </w:p>
        </w:tc>
        <w:tc>
          <w:tcPr>
            <w:tcW w:w="2552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2693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</w:t>
            </w:r>
          </w:p>
        </w:tc>
        <w:tc>
          <w:tcPr>
            <w:tcW w:w="2552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</w:t>
            </w:r>
          </w:p>
        </w:tc>
        <w:tc>
          <w:tcPr>
            <w:tcW w:w="2409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</w:t>
            </w:r>
          </w:p>
        </w:tc>
        <w:tc>
          <w:tcPr>
            <w:tcW w:w="2694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66" w:type="dxa"/>
            <w:tcBorders>
              <w:top w:val="nil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09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708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6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75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8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84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3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787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8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59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85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709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  <w:tcBorders>
              <w:top w:val="single" w:color="000000" w:sz="8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 (m/s)</w:t>
            </w:r>
          </w:p>
        </w:tc>
        <w:tc>
          <w:tcPr>
            <w:tcW w:w="1127" w:type="dxa"/>
            <w:tcBorders>
              <w:top w:val="single" w:color="000000" w:sz="8" w:space="0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 ± 0.5</w:t>
            </w:r>
          </w:p>
        </w:tc>
        <w:tc>
          <w:tcPr>
            <w:tcW w:w="709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2.3</w:t>
            </w:r>
          </w:p>
        </w:tc>
        <w:tc>
          <w:tcPr>
            <w:tcW w:w="708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0.2 ± 0.2</w:t>
            </w:r>
          </w:p>
        </w:tc>
        <w:tc>
          <w:tcPr>
            <w:tcW w:w="66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75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13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 ± 0.3</w:t>
            </w:r>
          </w:p>
        </w:tc>
        <w:tc>
          <w:tcPr>
            <w:tcW w:w="718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84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13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0.3</w:t>
            </w:r>
          </w:p>
        </w:tc>
        <w:tc>
          <w:tcPr>
            <w:tcW w:w="63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787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13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 ± 0.5</w:t>
            </w:r>
          </w:p>
        </w:tc>
        <w:tc>
          <w:tcPr>
            <w:tcW w:w="68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59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134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0.3</w:t>
            </w:r>
          </w:p>
        </w:tc>
        <w:tc>
          <w:tcPr>
            <w:tcW w:w="85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709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 (℃)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34.9 ± 2.1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38.6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32.2 ± 2.4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35.9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27.2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31.3 ± 2.3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33.8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31.0 ± 2.2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33.8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27.8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32.2 ± 1.8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34.9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wordWrap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31.4 ± 2.6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34.4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 (%)</w:t>
            </w:r>
          </w:p>
        </w:tc>
        <w:tc>
          <w:tcPr>
            <w:tcW w:w="1127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 ± 12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 ± 9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67 ± 6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77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67 ± 7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 ± 6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69 ± 8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82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UV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(μW/cm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289 ± 191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629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 ± 72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303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12 ± 9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87 ± 77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281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NAI (ions/cm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432 ± 196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738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1321 ± 417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2133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775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1739 ± 427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3093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1208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1613 ± 448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2288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1055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993 ± 375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1788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1572 ± 317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2090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7.46 ± 2.39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12.68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4.74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8.00 ± 3.36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15.78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5.11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2.14 ± 0.37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2.64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2.07 ± 0.38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2.71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1.48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7.99 ± 1.99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11.65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5.25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3.81 ± 3.05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9.67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9.18 ± 1.87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12.81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6.90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8.53 ± 1.40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10.88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6.16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8.10 ± 1.38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10.37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5.74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12.85 ± 9.59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35.33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51.1 ± 17.7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86.4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50.8 ± 55.3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254.1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11.6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39.5 ± 14.5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67.8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13.8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34.9 ± 14.3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60.1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14.7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40.8 ± 20.5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86.3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14.2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38.2 ± 42.2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204.7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TSP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2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129.8 ± 83.4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360.8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25.8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88.4 ± 98.1</w:t>
            </w:r>
          </w:p>
        </w:tc>
        <w:tc>
          <w:tcPr>
            <w:tcW w:w="66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389.0</w:t>
            </w:r>
          </w:p>
        </w:tc>
        <w:tc>
          <w:tcPr>
            <w:tcW w:w="75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85.2 ± 53.7</w:t>
            </w:r>
          </w:p>
        </w:tc>
        <w:tc>
          <w:tcPr>
            <w:tcW w:w="7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177.2</w:t>
            </w:r>
          </w:p>
        </w:tc>
        <w:tc>
          <w:tcPr>
            <w:tcW w:w="8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82.3 ± 36.3</w:t>
            </w:r>
          </w:p>
        </w:tc>
        <w:tc>
          <w:tcPr>
            <w:tcW w:w="6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141.9</w:t>
            </w:r>
          </w:p>
        </w:tc>
        <w:tc>
          <w:tcPr>
            <w:tcW w:w="78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16.3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86.0 ± 73.5</w:t>
            </w:r>
          </w:p>
        </w:tc>
        <w:tc>
          <w:tcPr>
            <w:tcW w:w="68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261.2</w:t>
            </w:r>
          </w:p>
        </w:tc>
        <w:tc>
          <w:tcPr>
            <w:tcW w:w="59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16.9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76.7 ± 51.2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172.8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7.6</w:t>
            </w:r>
          </w:p>
        </w:tc>
      </w:tr>
    </w:tbl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2"/>
          <w:lang w:val="en-US" w:eastAsia="zh-CN" w:bidi="ar"/>
        </w:rPr>
        <w:t xml:space="preserve">Note: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Number of collected air samples during the study period: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108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samples.</w:t>
      </w:r>
    </w:p>
    <w:p/>
    <w:p>
      <w:pPr>
        <w:ind w:firstLine="420" w:firstLineChars="200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During the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summer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sampling period, the environmental factors (meteorological elements, UV, NAI, airborne particulate matter and airborne bacteria) of air samples from the 6 sampling sites were observed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(Table 2-2). The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UV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and PM2.5 of SM and SN were not detected for the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 damage on the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equipment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 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The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air quality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of the sampling sites in urban forest were better than CK,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begin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instrText xml:space="preserve"> HYPERLINK "D:/WX/Youdao/Dict/8.9.8.0/resultui/html/index.html" \l "/javascript:;" </w:instrTex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separate"/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especially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end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SK.</w:t>
      </w:r>
    </w:p>
    <w:p>
      <w:pPr>
        <w:ind w:firstLine="420" w:firstLineChars="200"/>
        <w:rPr>
          <w:rFonts w:hint="default"/>
          <w:lang w:val="en-US"/>
        </w:rPr>
      </w:pPr>
    </w:p>
    <w:p/>
    <w:p/>
    <w:p>
      <w:pPr>
        <w:widowControl/>
        <w:jc w:val="center"/>
        <w:rPr>
          <w:color w:val="000000"/>
          <w:sz w:val="21"/>
          <w:szCs w:val="21"/>
        </w:rPr>
      </w:pP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Table 2-3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 Environment parameters of the </w:t>
      </w:r>
      <w:r>
        <w:rPr>
          <w:rFonts w:hint="eastAsia"/>
          <w:color w:val="000000"/>
          <w:sz w:val="21"/>
          <w:szCs w:val="21"/>
        </w:rPr>
        <w:t xml:space="preserve">different forest communities in </w:t>
      </w:r>
      <w:r>
        <w:rPr>
          <w:color w:val="000000"/>
          <w:sz w:val="21"/>
          <w:szCs w:val="21"/>
        </w:rPr>
        <w:t>Nanling botanical garden</w:t>
      </w:r>
      <w:r>
        <w:rPr>
          <w:rFonts w:hint="eastAsia"/>
          <w:color w:val="000000"/>
          <w:sz w:val="21"/>
          <w:szCs w:val="21"/>
        </w:rPr>
        <w:t xml:space="preserve"> in autumn</w:t>
      </w:r>
    </w:p>
    <w:p/>
    <w:tbl>
      <w:tblPr>
        <w:tblStyle w:val="4"/>
        <w:tblW w:w="16489" w:type="dxa"/>
        <w:tblInd w:w="-1097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231"/>
        <w:gridCol w:w="711"/>
        <w:gridCol w:w="621"/>
        <w:gridCol w:w="1276"/>
        <w:gridCol w:w="621"/>
        <w:gridCol w:w="655"/>
        <w:gridCol w:w="1275"/>
        <w:gridCol w:w="711"/>
        <w:gridCol w:w="621"/>
        <w:gridCol w:w="1276"/>
        <w:gridCol w:w="711"/>
        <w:gridCol w:w="621"/>
        <w:gridCol w:w="1309"/>
        <w:gridCol w:w="621"/>
        <w:gridCol w:w="655"/>
        <w:gridCol w:w="1276"/>
        <w:gridCol w:w="711"/>
        <w:gridCol w:w="62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bottom w:val="nil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63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CK</w:t>
            </w:r>
          </w:p>
        </w:tc>
        <w:tc>
          <w:tcPr>
            <w:tcW w:w="2552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2607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</w:t>
            </w:r>
          </w:p>
        </w:tc>
        <w:tc>
          <w:tcPr>
            <w:tcW w:w="2585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SA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top w:val="nil"/>
              <w:bottom w:val="single" w:color="000000" w:sz="8" w:space="0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309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  <w:tcBorders>
              <w:top w:val="single" w:color="000000" w:sz="8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 (m/s)</w:t>
            </w:r>
          </w:p>
        </w:tc>
        <w:tc>
          <w:tcPr>
            <w:tcW w:w="1231" w:type="dxa"/>
            <w:tcBorders>
              <w:top w:val="single" w:color="000000" w:sz="8" w:space="0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0.3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 ± 0.2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 ± 0.6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2.3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 ± 0.3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309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0.3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0.1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0.2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 (℃)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26.1 ± 2.2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24.5 ± 2.4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28.1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18.9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24.0 ± 1.6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21.0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24.5 ± 1.9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26.9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21.3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23.6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1.4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25.5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21.0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24.9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 (%)</w:t>
            </w:r>
          </w:p>
        </w:tc>
        <w:tc>
          <w:tcPr>
            <w:tcW w:w="1231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 ± 11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73 ± 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87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65 ± 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73 ± 10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68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74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9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UV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(μW/cm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84 ± 65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± 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 ± 24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 ± 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137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124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489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14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NAI (ions/cm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307 ± 160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795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555 ± 128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790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353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608 ± 137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537 ± 119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230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489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808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467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391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1863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11.60 ± 10.40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45.19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9.50 ± 6.32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22.69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3.98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8.88 ± 3.30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16.00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10.06 ± 7.65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26.93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3.86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9.17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3.40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16.24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4.61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12.76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13.86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45.58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3.79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32.19 ± 17.58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68.53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14.59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29.59 ± 16.07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64.16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14.15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31.65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± 10.54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51.57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17.26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31.22 ± 18.98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73.04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13.35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32.15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10.19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51.53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19.40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37.09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32.97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117.74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14.38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71.0 ± 29.9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121.7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33.8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64.6 ± 22.8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98.9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31.1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79.3 ± 24.5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117.0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39.8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64.7 ± 31.7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144.7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23.4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74.6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24.8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110.2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62.8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28.7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124.9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TSP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129.4 ± 81.8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381.7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42.7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118.1 ± 70.3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339.3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50.3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158.7 ± 74.9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319.0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65.0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110.0 ± 59.6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271.1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37.4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141.1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53.8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271.1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55.2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113.4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60.8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235.6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41.3</w:t>
            </w:r>
          </w:p>
        </w:tc>
      </w:tr>
    </w:tbl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2"/>
          <w:lang w:val="en-US" w:eastAsia="zh-CN" w:bidi="ar"/>
        </w:rPr>
        <w:t xml:space="preserve">Note: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Number of collected air samples during the study period: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108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samples.</w:t>
      </w:r>
    </w:p>
    <w:p/>
    <w:p>
      <w:pPr>
        <w:ind w:firstLine="420" w:firstLineChars="200"/>
      </w:pP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During the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autumn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sampling period, the environmental factors (meteorological elements, UV, NAI, airborne particulate matter and airborne bacteria) of air samples from the 6 sampling sites were observed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(Table 2-3). The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air quality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of the sampling sites in urban forest were better than CK.</w:t>
      </w:r>
    </w:p>
    <w:p>
      <w:pPr>
        <w:widowControl/>
        <w:jc w:val="left"/>
      </w:pPr>
      <w:r>
        <w:br w:type="page"/>
      </w:r>
    </w:p>
    <w:p>
      <w:pPr>
        <w:pStyle w:val="8"/>
        <w:ind w:left="720" w:hanging="720"/>
        <w:jc w:val="center"/>
        <w:rPr>
          <w:color w:val="000000"/>
          <w:sz w:val="21"/>
          <w:szCs w:val="21"/>
        </w:rPr>
      </w:pP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 xml:space="preserve">Table </w:t>
      </w:r>
      <w:r>
        <w:rPr>
          <w:rFonts w:hint="eastAsia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-</w:t>
      </w:r>
      <w:r>
        <w:rPr>
          <w:rFonts w:hint="eastAsia" w:eastAsia="等线 Light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4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 Environment parameters of the </w:t>
      </w:r>
      <w:r>
        <w:rPr>
          <w:rFonts w:hint="eastAsia"/>
          <w:color w:val="000000"/>
          <w:sz w:val="21"/>
          <w:szCs w:val="21"/>
        </w:rPr>
        <w:t xml:space="preserve">different forest communities in </w:t>
      </w:r>
      <w:r>
        <w:rPr>
          <w:color w:val="000000"/>
          <w:sz w:val="21"/>
          <w:szCs w:val="21"/>
        </w:rPr>
        <w:t>Nanling botanical garden</w:t>
      </w:r>
      <w:r>
        <w:rPr>
          <w:rFonts w:hint="eastAsia"/>
          <w:color w:val="000000"/>
          <w:sz w:val="21"/>
          <w:szCs w:val="21"/>
        </w:rPr>
        <w:t xml:space="preserve"> in winter</w:t>
      </w:r>
    </w:p>
    <w:p/>
    <w:tbl>
      <w:tblPr>
        <w:tblStyle w:val="4"/>
        <w:tblW w:w="16489" w:type="dxa"/>
        <w:tblInd w:w="-1097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231"/>
        <w:gridCol w:w="711"/>
        <w:gridCol w:w="621"/>
        <w:gridCol w:w="1276"/>
        <w:gridCol w:w="621"/>
        <w:gridCol w:w="655"/>
        <w:gridCol w:w="1275"/>
        <w:gridCol w:w="711"/>
        <w:gridCol w:w="621"/>
        <w:gridCol w:w="1276"/>
        <w:gridCol w:w="711"/>
        <w:gridCol w:w="621"/>
        <w:gridCol w:w="1309"/>
        <w:gridCol w:w="621"/>
        <w:gridCol w:w="655"/>
        <w:gridCol w:w="1276"/>
        <w:gridCol w:w="711"/>
        <w:gridCol w:w="62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bottom w:val="nil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63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CK</w:t>
            </w:r>
          </w:p>
        </w:tc>
        <w:tc>
          <w:tcPr>
            <w:tcW w:w="2552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2607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</w:t>
            </w:r>
          </w:p>
        </w:tc>
        <w:tc>
          <w:tcPr>
            <w:tcW w:w="2585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</w:t>
            </w:r>
          </w:p>
        </w:tc>
        <w:tc>
          <w:tcPr>
            <w:tcW w:w="2608" w:type="dxa"/>
            <w:gridSpan w:val="3"/>
            <w:tcBorders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SA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66" w:type="dxa"/>
            <w:tcBorders>
              <w:top w:val="nil"/>
              <w:bottom w:val="single" w:color="000000" w:sz="8" w:space="0"/>
            </w:tcBorders>
            <w:noWrap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309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55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1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Max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000000" w:sz="8" w:space="0"/>
            </w:tcBorders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Min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  <w:tcBorders>
              <w:top w:val="single" w:color="000000" w:sz="8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 (m/s)</w:t>
            </w:r>
          </w:p>
        </w:tc>
        <w:tc>
          <w:tcPr>
            <w:tcW w:w="1231" w:type="dxa"/>
            <w:tcBorders>
              <w:top w:val="single" w:color="000000" w:sz="8" w:space="0"/>
              <w:bottom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0.2 ± 0.3 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1.1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0.1 ± 0.2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0.7 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  <w:tc>
          <w:tcPr>
            <w:tcW w:w="127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0.1 ± 0.2 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0.8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0.1 ± 0.1 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0.5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  <w:tc>
          <w:tcPr>
            <w:tcW w:w="1309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0.1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0.7 </w:t>
            </w:r>
          </w:p>
        </w:tc>
        <w:tc>
          <w:tcPr>
            <w:tcW w:w="655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  <w:tc>
          <w:tcPr>
            <w:tcW w:w="1276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0.1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0.6 </w:t>
            </w:r>
          </w:p>
        </w:tc>
        <w:tc>
          <w:tcPr>
            <w:tcW w:w="621" w:type="dxa"/>
            <w:tcBorders>
              <w:top w:val="single" w:color="000000" w:sz="8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0.0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 (℃)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18.7 ± 5.6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24.0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7.8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17.1 ± 5.0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23.8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7.9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16.7 ± 4.8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21.8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7.8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16.9 ± 4.7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22.3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8.2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17.6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23.4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8.9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14.1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3.4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18.6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8.0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 (%)</w:t>
            </w:r>
          </w:p>
        </w:tc>
        <w:tc>
          <w:tcPr>
            <w:tcW w:w="1231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49 ± 16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77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54 ± 16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79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53 ± 16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83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54 ± 16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85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52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81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45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79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UV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(μW/cm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51 ± 40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115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 ± 3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12 ± 10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3 ± 3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24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58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42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NAI (ions/cm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29 ± 51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155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109 ± 155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455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93 ± 112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365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165 ± 201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638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105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340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12.77 ± 6.95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24.56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5.71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13.11 ± 8.89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33.77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5.14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13.11 ± 9.68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35.47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5.58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14.29 ± 11.87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39.03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5.07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12.66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8.44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31.78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6.32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9.04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4.54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19.09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5.23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41.61 ± 20.87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78.27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18.29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39.86 ± 25.62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93.20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18.19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40.81 ± 31.18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108.34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17.61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42.07 ± 33.76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111.78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18.40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37.67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26.55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92.80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17.94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27.15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15.82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63.56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14.61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PM10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79.7 ± 30.2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165.7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49.0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60.2 ± 27.2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125.2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23.2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52.2 ± 20.8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98.1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27.0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54.7 ± 21.5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102.8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20.2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49.6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83.9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15.0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43.5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13.0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68.2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22.2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6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TSP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μg/m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3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168.5 ± 85.2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338.4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49.4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111.6 ± 61.0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236.8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40.9 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100.2 ± 67.4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257.6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17.5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106.9 ± 51.8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204.6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50.1 </w:t>
            </w:r>
          </w:p>
        </w:tc>
        <w:tc>
          <w:tcPr>
            <w:tcW w:w="1309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100.7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58.2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236.6 </w:t>
            </w:r>
          </w:p>
        </w:tc>
        <w:tc>
          <w:tcPr>
            <w:tcW w:w="655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25.5 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 xml:space="preserve">81.0 ± 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</w:rPr>
              <w:t>47.8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195.4 </w:t>
            </w:r>
          </w:p>
        </w:tc>
        <w:tc>
          <w:tcPr>
            <w:tcW w:w="621" w:type="dxa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30.8 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2"/>
          <w:lang w:val="en-US" w:eastAsia="zh-CN" w:bidi="ar"/>
        </w:rPr>
        <w:t xml:space="preserve">Note: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Number of collected air samples during the study period: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108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samples.</w:t>
      </w:r>
    </w:p>
    <w:p/>
    <w:p>
      <w:pPr>
        <w:ind w:firstLine="420" w:firstLineChars="200"/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During the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winter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sampling period, the environmental factors (meteorological elements, UV, NAI, airborne particulate matter and airborne bacteria) of air samples from the 6 sampling sites were observed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(Table 2</w:t>
      </w:r>
      <w:bookmarkStart w:id="1" w:name="_GoBack"/>
      <w:bookmarkEnd w:id="1"/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-4). The 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air quality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of the sampling sites in urban forest were better than CK, </w: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begin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instrText xml:space="preserve"> HYPERLINK "D:/WX/Youdao/Dict/8.9.8.0/resultui/html/index.html" \l "/javascript:;" </w:instrText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separate"/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>especially</w:t>
      </w:r>
      <w:r>
        <w:rPr>
          <w:rFonts w:hint="default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fldChar w:fldCharType="end"/>
      </w:r>
      <w:r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  <w:t xml:space="preserve"> SK and SA.</w:t>
      </w:r>
    </w:p>
    <w:p>
      <w:pPr>
        <w:ind w:firstLine="420" w:firstLineChars="200"/>
        <w:rPr>
          <w:rFonts w:hint="eastAsia" w:ascii="Times New Roman" w:hAnsi="Times New Roman" w:eastAsia="等线 Light" w:cs="Times New Roman"/>
          <w:color w:val="000000"/>
          <w:kern w:val="24"/>
          <w:sz w:val="21"/>
          <w:szCs w:val="21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17"/>
    <w:rsid w:val="000D3F34"/>
    <w:rsid w:val="00166ACB"/>
    <w:rsid w:val="001B6A11"/>
    <w:rsid w:val="001F7FD3"/>
    <w:rsid w:val="002B4C03"/>
    <w:rsid w:val="00415457"/>
    <w:rsid w:val="0042066F"/>
    <w:rsid w:val="005142F0"/>
    <w:rsid w:val="00585EF6"/>
    <w:rsid w:val="00711DED"/>
    <w:rsid w:val="007B23E2"/>
    <w:rsid w:val="008272D8"/>
    <w:rsid w:val="009B3807"/>
    <w:rsid w:val="009D3881"/>
    <w:rsid w:val="00A424CF"/>
    <w:rsid w:val="00A51177"/>
    <w:rsid w:val="00A86233"/>
    <w:rsid w:val="00AA5C95"/>
    <w:rsid w:val="00AC7F51"/>
    <w:rsid w:val="00AF2F17"/>
    <w:rsid w:val="00B11C7E"/>
    <w:rsid w:val="00B92615"/>
    <w:rsid w:val="00D851B4"/>
    <w:rsid w:val="00D96106"/>
    <w:rsid w:val="00E04FCD"/>
    <w:rsid w:val="00E733CB"/>
    <w:rsid w:val="00EB4D9E"/>
    <w:rsid w:val="00F07314"/>
    <w:rsid w:val="00F15D73"/>
    <w:rsid w:val="00F45A00"/>
    <w:rsid w:val="0F4B569D"/>
    <w:rsid w:val="5A2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styleId="7">
    <w:name w:val="annotation reference"/>
    <w:basedOn w:val="5"/>
    <w:semiHidden/>
    <w:unhideWhenUsed/>
    <w:uiPriority w:val="99"/>
    <w:rPr>
      <w:sz w:val="21"/>
      <w:szCs w:val="21"/>
    </w:rPr>
  </w:style>
  <w:style w:type="paragraph" w:customStyle="1" w:styleId="8">
    <w:name w:val="EndNote Bibliography"/>
    <w:basedOn w:val="1"/>
    <w:link w:val="9"/>
    <w:qFormat/>
    <w:uiPriority w:val="0"/>
    <w:rPr>
      <w:rFonts w:ascii="Times New Roman" w:hAnsi="Times New Roman" w:eastAsia="等线" w:cs="Times New Roman"/>
      <w:sz w:val="20"/>
    </w:rPr>
  </w:style>
  <w:style w:type="character" w:customStyle="1" w:styleId="9">
    <w:name w:val="EndNote Bibliography 字符"/>
    <w:basedOn w:val="5"/>
    <w:link w:val="8"/>
    <w:qFormat/>
    <w:uiPriority w:val="0"/>
    <w:rPr>
      <w:rFonts w:ascii="Times New Roman" w:hAnsi="Times New Roman" w:eastAsia="等线" w:cs="Times New Roman"/>
      <w:sz w:val="20"/>
    </w:rPr>
  </w:style>
  <w:style w:type="character" w:customStyle="1" w:styleId="10">
    <w:name w:val="批注文字 字符"/>
    <w:basedOn w:val="5"/>
    <w:link w:val="2"/>
    <w:uiPriority w:val="0"/>
    <w:rPr>
      <w:rFonts w:hint="eastAsia" w:ascii="等线" w:hAnsi="等线" w:eastAsia="等线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1205</Words>
  <Characters>6873</Characters>
  <Lines>57</Lines>
  <Paragraphs>16</Paragraphs>
  <TotalTime>1</TotalTime>
  <ScaleCrop>false</ScaleCrop>
  <LinksUpToDate>false</LinksUpToDate>
  <CharactersWithSpaces>8062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2021-06-17T09:02:00Z</dcterms:created>
  <dc:creator>xb21cn</dc:creator>
  <cp:lastModifiedBy>Jane</cp:lastModifiedBy>
  <dcterms:modified xsi:type="dcterms:W3CDTF">2021-07-17T11:36:35Z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8DD1B6D8CFDC44B6A5B2AA890B825DC9</vt:lpwstr>
  </property>
</Properties>
</file>