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E46" w:rsidRPr="00CF6E46" w:rsidRDefault="00CF6E46" w:rsidP="00CF6E46">
      <w:pPr>
        <w:widowControl/>
        <w:spacing w:line="480" w:lineRule="auto"/>
        <w:jc w:val="both"/>
        <w:textAlignment w:val="bottom"/>
        <w:rPr>
          <w:rFonts w:ascii="新細明體" w:eastAsia="新細明體" w:hAnsi="新細明體" w:cs="新細明體"/>
          <w:kern w:val="0"/>
          <w:szCs w:val="24"/>
        </w:rPr>
      </w:pPr>
      <w:r w:rsidRPr="00CF6E46">
        <w:rPr>
          <w:rFonts w:ascii="Times New Roman" w:eastAsia="新細明體" w:hAnsi="Times New Roman" w:cs="+mn-cs"/>
          <w:color w:val="000000"/>
          <w:sz w:val="28"/>
          <w:szCs w:val="28"/>
        </w:rPr>
        <w:t>Table 5. Clinical chemistry assay were measured at terminal necropsy (D15). Aliquots of the blood samples from all surviving fasted rats were collected in tubes without anticoagulant. The collected blood was centrifuged to obtain the sera for determining of the clinical chemistry. The following parameters were performed on the Automatic Biochemistry Analyzer. (Mean ± SD, N = 5)</w:t>
      </w:r>
    </w:p>
    <w:p w:rsidR="00BF3542" w:rsidRDefault="00320B30">
      <w:r>
        <w:rPr>
          <w:rFonts w:ascii="Times New Roman" w:eastAsia="標楷體" w:hAnsi="Times New Roman" w:cs="Times New Roman" w:hint="eastAsia"/>
          <w:color w:val="000000"/>
          <w:kern w:val="24"/>
          <w:sz w:val="32"/>
          <w:szCs w:val="32"/>
        </w:rPr>
        <w:t>A</w:t>
      </w:r>
      <w:r>
        <w:rPr>
          <w:rFonts w:ascii="Times New Roman" w:eastAsia="標楷體" w:hAnsi="Times New Roman" w:cs="Times New Roman"/>
          <w:color w:val="000000"/>
          <w:kern w:val="24"/>
          <w:sz w:val="32"/>
          <w:szCs w:val="32"/>
        </w:rPr>
        <w:t xml:space="preserve">. </w:t>
      </w:r>
      <w:r>
        <w:rPr>
          <w:rFonts w:ascii="Times New Roman" w:eastAsia="標楷體" w:hAnsi="Times New Roman" w:cs="Times New Roman"/>
          <w:color w:val="000000"/>
          <w:kern w:val="24"/>
          <w:sz w:val="32"/>
          <w:szCs w:val="32"/>
        </w:rPr>
        <w:t>Male</w:t>
      </w:r>
    </w:p>
    <w:tbl>
      <w:tblPr>
        <w:tblW w:w="11900" w:type="dxa"/>
        <w:tblCellMar>
          <w:left w:w="0" w:type="dxa"/>
          <w:right w:w="0" w:type="dxa"/>
        </w:tblCellMar>
        <w:tblLook w:val="01E0" w:firstRow="1" w:lastRow="1" w:firstColumn="1" w:lastColumn="1" w:noHBand="0" w:noVBand="0"/>
      </w:tblPr>
      <w:tblGrid>
        <w:gridCol w:w="3800"/>
        <w:gridCol w:w="2020"/>
        <w:gridCol w:w="2020"/>
        <w:gridCol w:w="2020"/>
        <w:gridCol w:w="2040"/>
      </w:tblGrid>
      <w:tr w:rsidR="00CF6E46" w:rsidRPr="00CF6E46" w:rsidTr="00CF6E46">
        <w:trPr>
          <w:trHeight w:val="286"/>
        </w:trPr>
        <w:tc>
          <w:tcPr>
            <w:tcW w:w="3800" w:type="dxa"/>
            <w:vMerge w:val="restart"/>
            <w:tcBorders>
              <w:top w:val="single" w:sz="12"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Parameters</w:t>
            </w:r>
          </w:p>
        </w:tc>
        <w:tc>
          <w:tcPr>
            <w:tcW w:w="8100" w:type="dxa"/>
            <w:gridSpan w:val="4"/>
            <w:tcBorders>
              <w:top w:val="single" w:sz="12"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Dose (mg/kg/day)</w:t>
            </w:r>
          </w:p>
        </w:tc>
      </w:tr>
      <w:tr w:rsidR="00CF6E46" w:rsidRPr="00CF6E46" w:rsidTr="00CF6E46">
        <w:trPr>
          <w:trHeight w:val="286"/>
        </w:trPr>
        <w:tc>
          <w:tcPr>
            <w:tcW w:w="0" w:type="auto"/>
            <w:vMerge/>
            <w:tcBorders>
              <w:top w:val="single" w:sz="12" w:space="0" w:color="000000"/>
              <w:left w:val="nil"/>
              <w:bottom w:val="single" w:sz="8" w:space="0" w:color="000000"/>
              <w:right w:val="nil"/>
            </w:tcBorders>
            <w:vAlign w:val="center"/>
            <w:hideMark/>
          </w:tcPr>
          <w:p w:rsidR="00CF6E46" w:rsidRPr="00CF6E46" w:rsidRDefault="00CF6E46" w:rsidP="00CF6E46">
            <w:pPr>
              <w:widowControl/>
              <w:rPr>
                <w:rFonts w:ascii="Arial" w:eastAsia="新細明體" w:hAnsi="Arial" w:cs="Arial"/>
                <w:kern w:val="0"/>
                <w:sz w:val="36"/>
                <w:szCs w:val="36"/>
              </w:rPr>
            </w:pP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0</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0.2</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1.0</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5.0</w:t>
            </w:r>
          </w:p>
        </w:tc>
      </w:tr>
      <w:tr w:rsidR="00CF6E46" w:rsidRPr="00CF6E46" w:rsidTr="00CF6E46">
        <w:trPr>
          <w:trHeight w:val="286"/>
        </w:trPr>
        <w:tc>
          <w:tcPr>
            <w:tcW w:w="380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Glucose (mg/dL)</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123.00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132.67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129.33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2.52</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Creatinine (mg/dL)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0.43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0.68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0.10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Bilirubin (mg/dL)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11.67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23.67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3.21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16.00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BUN: Creatinine Ratio</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26.67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2.08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41.67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4.73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40.33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5.86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25.00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Sodium (mmol/L)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151.33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152.33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1.73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144.33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7.23</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Potassium</w:t>
            </w:r>
            <w:r w:rsidRPr="00CF6E46">
              <w:rPr>
                <w:rFonts w:ascii="Times New Roman" w:eastAsia="標楷體" w:hAnsi="Times New Roman" w:cs="Times New Roman"/>
                <w:color w:val="000000"/>
                <w:position w:val="4"/>
                <w:sz w:val="14"/>
                <w:szCs w:val="14"/>
                <w:vertAlign w:val="superscript"/>
              </w:rPr>
              <w:t xml:space="preserve"> </w:t>
            </w:r>
            <w:r w:rsidRPr="00CF6E46">
              <w:rPr>
                <w:rFonts w:ascii="Times New Roman" w:eastAsia="標楷體" w:hAnsi="Times New Roman" w:cs="Times New Roman"/>
                <w:color w:val="000000"/>
                <w:sz w:val="14"/>
                <w:szCs w:val="14"/>
              </w:rPr>
              <w:t>(mmol/L)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4.83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4.97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0.15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5.07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0.25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5.30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0.62</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Na: K Ratio</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31.33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Chloride (mmol/L)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106.00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108.33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3.21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104.67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Total protein (g/dL)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0.23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6.57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0.78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6.23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0.25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5.80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6"/>
                <w:szCs w:val="16"/>
              </w:rPr>
              <w:t>Alanine aminotransferase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72.00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31.32</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96.86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89.33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38.94</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65.33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4.04</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6"/>
                <w:szCs w:val="16"/>
              </w:rPr>
              <w:lastRenderedPageBreak/>
              <w:t>Aspartate aminotransferase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73.3 ± 13.89</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72.9 ± 28.11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73.0 ± 15.14</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67.7 ± 1.53</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Alkaline phosphatase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148.33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54.31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240.00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145.86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51.10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79.67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2.52</w:t>
            </w:r>
          </w:p>
        </w:tc>
      </w:tr>
      <w:tr w:rsidR="00CF6E46" w:rsidRPr="00CF6E46" w:rsidTr="00CF6E46">
        <w:trPr>
          <w:trHeight w:val="286"/>
        </w:trPr>
        <w:tc>
          <w:tcPr>
            <w:tcW w:w="380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Osmolality (mmol/kg)</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2.89</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307.67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4.51</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291.67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14.47</w:t>
            </w:r>
          </w:p>
        </w:tc>
      </w:tr>
    </w:tbl>
    <w:p w:rsidR="00BF3542" w:rsidRDefault="00BF3542"/>
    <w:p w:rsidR="00320B30" w:rsidRDefault="00320B30" w:rsidP="00320B30">
      <w:r>
        <w:rPr>
          <w:rFonts w:ascii="Times New Roman" w:eastAsia="標楷體" w:hAnsi="Times New Roman" w:cs="Times New Roman" w:hint="eastAsia"/>
          <w:color w:val="000000"/>
          <w:kern w:val="24"/>
          <w:sz w:val="32"/>
          <w:szCs w:val="32"/>
        </w:rPr>
        <w:t>B</w:t>
      </w:r>
      <w:r>
        <w:rPr>
          <w:rFonts w:ascii="Times New Roman" w:eastAsia="標楷體" w:hAnsi="Times New Roman" w:cs="Times New Roman"/>
          <w:color w:val="000000"/>
          <w:kern w:val="24"/>
          <w:sz w:val="32"/>
          <w:szCs w:val="32"/>
        </w:rPr>
        <w:t xml:space="preserve">. </w:t>
      </w:r>
      <w:r>
        <w:rPr>
          <w:rFonts w:ascii="Times New Roman" w:eastAsia="標楷體" w:hAnsi="Times New Roman" w:cs="Times New Roman" w:hint="eastAsia"/>
          <w:color w:val="000000"/>
          <w:kern w:val="24"/>
          <w:sz w:val="32"/>
          <w:szCs w:val="32"/>
        </w:rPr>
        <w:t>Fem</w:t>
      </w:r>
      <w:r>
        <w:rPr>
          <w:rFonts w:ascii="Times New Roman" w:eastAsia="標楷體" w:hAnsi="Times New Roman" w:cs="Times New Roman"/>
          <w:color w:val="000000"/>
          <w:kern w:val="24"/>
          <w:sz w:val="32"/>
          <w:szCs w:val="32"/>
        </w:rPr>
        <w:t>ale</w:t>
      </w:r>
    </w:p>
    <w:tbl>
      <w:tblPr>
        <w:tblW w:w="11900" w:type="dxa"/>
        <w:tblCellMar>
          <w:left w:w="0" w:type="dxa"/>
          <w:right w:w="0" w:type="dxa"/>
        </w:tblCellMar>
        <w:tblLook w:val="01E0" w:firstRow="1" w:lastRow="1" w:firstColumn="1" w:lastColumn="1" w:noHBand="0" w:noVBand="0"/>
      </w:tblPr>
      <w:tblGrid>
        <w:gridCol w:w="3800"/>
        <w:gridCol w:w="2020"/>
        <w:gridCol w:w="2020"/>
        <w:gridCol w:w="2020"/>
        <w:gridCol w:w="2040"/>
      </w:tblGrid>
      <w:tr w:rsidR="00CF6E46" w:rsidRPr="00CF6E46" w:rsidTr="00CF6E46">
        <w:trPr>
          <w:trHeight w:val="286"/>
        </w:trPr>
        <w:tc>
          <w:tcPr>
            <w:tcW w:w="3800" w:type="dxa"/>
            <w:vMerge w:val="restart"/>
            <w:tcBorders>
              <w:top w:val="single" w:sz="12"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Parameters</w:t>
            </w:r>
          </w:p>
        </w:tc>
        <w:tc>
          <w:tcPr>
            <w:tcW w:w="8100" w:type="dxa"/>
            <w:gridSpan w:val="4"/>
            <w:tcBorders>
              <w:top w:val="single" w:sz="12"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Dose (mg/kg/day)</w:t>
            </w:r>
          </w:p>
        </w:tc>
      </w:tr>
      <w:tr w:rsidR="00CF6E46" w:rsidRPr="00CF6E46" w:rsidTr="00CF6E46">
        <w:trPr>
          <w:trHeight w:val="286"/>
        </w:trPr>
        <w:tc>
          <w:tcPr>
            <w:tcW w:w="0" w:type="auto"/>
            <w:vMerge/>
            <w:tcBorders>
              <w:top w:val="single" w:sz="12" w:space="0" w:color="000000"/>
              <w:left w:val="nil"/>
              <w:bottom w:val="single" w:sz="8" w:space="0" w:color="000000"/>
              <w:right w:val="nil"/>
            </w:tcBorders>
            <w:vAlign w:val="center"/>
            <w:hideMark/>
          </w:tcPr>
          <w:p w:rsidR="00CF6E46" w:rsidRPr="00CF6E46" w:rsidRDefault="00CF6E46" w:rsidP="00CF6E46">
            <w:pPr>
              <w:widowControl/>
              <w:rPr>
                <w:rFonts w:ascii="Arial" w:eastAsia="新細明體" w:hAnsi="Arial" w:cs="Arial"/>
                <w:kern w:val="0"/>
                <w:sz w:val="36"/>
                <w:szCs w:val="36"/>
              </w:rPr>
            </w:pP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0</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0.2</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1.0</w:t>
            </w:r>
          </w:p>
        </w:tc>
        <w:tc>
          <w:tcPr>
            <w:tcW w:w="2020" w:type="dxa"/>
            <w:tcBorders>
              <w:top w:val="single" w:sz="8" w:space="0" w:color="000000"/>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標楷體" w:hAnsi="Times New Roman" w:cs="Times New Roman"/>
                <w:b/>
                <w:bCs/>
                <w:color w:val="000000"/>
                <w:sz w:val="16"/>
                <w:szCs w:val="16"/>
              </w:rPr>
              <w:t>5.0</w:t>
            </w:r>
          </w:p>
        </w:tc>
      </w:tr>
      <w:tr w:rsidR="00CF6E46" w:rsidRPr="00CF6E46" w:rsidTr="00CF6E46">
        <w:trPr>
          <w:trHeight w:val="286"/>
        </w:trPr>
        <w:tc>
          <w:tcPr>
            <w:tcW w:w="380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Glucose (mg/dL)</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144.33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2.08</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113.67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16.17</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139.67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c>
          <w:tcPr>
            <w:tcW w:w="2020" w:type="dxa"/>
            <w:tcBorders>
              <w:top w:val="single" w:sz="8" w:space="0" w:color="000000"/>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129.33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Creatinine (mg/dL)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0.53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0.60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Bilirubin (mg/dL)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21.00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1.15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BUN: Creatinine Ratio</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39.67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32.00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5.13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2.08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21.33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Sodium (mmol/L)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153.33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154.33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1.15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153.00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154.33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Potassium</w:t>
            </w:r>
            <w:r w:rsidRPr="00CF6E46">
              <w:rPr>
                <w:rFonts w:ascii="Times New Roman" w:eastAsia="標楷體" w:hAnsi="Times New Roman" w:cs="Times New Roman"/>
                <w:color w:val="000000"/>
                <w:position w:val="4"/>
                <w:sz w:val="14"/>
                <w:szCs w:val="14"/>
                <w:vertAlign w:val="superscript"/>
              </w:rPr>
              <w:t xml:space="preserve"> </w:t>
            </w:r>
            <w:r w:rsidRPr="00CF6E46">
              <w:rPr>
                <w:rFonts w:ascii="Times New Roman" w:eastAsia="標楷體" w:hAnsi="Times New Roman" w:cs="Times New Roman"/>
                <w:color w:val="000000"/>
                <w:sz w:val="14"/>
                <w:szCs w:val="14"/>
              </w:rPr>
              <w:t>(mmol/L)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4.03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0.15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0.10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4.37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Na: K Ratio</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37.67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35.67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38.00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35.33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Chloride (mmol/L)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108.33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107.33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1.15</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108.33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2.08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Total protein (g/dL)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6.07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6.20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5.80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5.87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0.06</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6"/>
                <w:szCs w:val="16"/>
              </w:rPr>
              <w:t>Alanine aminotransferase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44.67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3.51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31.00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8.39</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38.3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33.33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2.08</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6"/>
                <w:szCs w:val="16"/>
              </w:rPr>
              <w:t>Aspartate aminotransferase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67.00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7.00</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69.00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2.89</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70.33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0.58</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76.33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r>
      <w:tr w:rsidR="00CF6E46" w:rsidRPr="00CF6E46" w:rsidTr="00CF6E46">
        <w:trPr>
          <w:trHeight w:val="286"/>
        </w:trPr>
        <w:tc>
          <w:tcPr>
            <w:tcW w:w="380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Alkaline phosphatase (U/L)</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85.00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3.61</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105.33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13.32</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89.67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3.06</w:t>
            </w:r>
          </w:p>
        </w:tc>
        <w:tc>
          <w:tcPr>
            <w:tcW w:w="2020" w:type="dxa"/>
            <w:tcBorders>
              <w:top w:val="nil"/>
              <w:left w:val="nil"/>
              <w:bottom w:val="nil"/>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129.00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2.65</w:t>
            </w:r>
          </w:p>
        </w:tc>
      </w:tr>
      <w:tr w:rsidR="00CF6E46" w:rsidRPr="00CF6E46" w:rsidTr="00CF6E46">
        <w:trPr>
          <w:trHeight w:val="286"/>
        </w:trPr>
        <w:tc>
          <w:tcPr>
            <w:tcW w:w="380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textAlignment w:val="baseline"/>
              <w:rPr>
                <w:rFonts w:ascii="Arial" w:eastAsia="新細明體" w:hAnsi="Arial" w:cs="Arial"/>
                <w:kern w:val="0"/>
                <w:sz w:val="36"/>
                <w:szCs w:val="36"/>
              </w:rPr>
            </w:pPr>
            <w:r w:rsidRPr="00CF6E46">
              <w:rPr>
                <w:rFonts w:ascii="Times New Roman" w:eastAsia="標楷體" w:hAnsi="Times New Roman" w:cs="Times New Roman"/>
                <w:color w:val="000000"/>
                <w:sz w:val="14"/>
                <w:szCs w:val="14"/>
              </w:rPr>
              <w:t>Osmolality (mmol/kg)</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308.67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1.15</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308.3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1.15</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307.00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1.73</w:t>
            </w:r>
          </w:p>
        </w:tc>
        <w:tc>
          <w:tcPr>
            <w:tcW w:w="2020" w:type="dxa"/>
            <w:tcBorders>
              <w:top w:val="nil"/>
              <w:left w:val="nil"/>
              <w:bottom w:val="single" w:sz="8" w:space="0" w:color="000000"/>
              <w:right w:val="nil"/>
            </w:tcBorders>
            <w:shd w:val="clear" w:color="auto" w:fill="auto"/>
            <w:tcMar>
              <w:top w:w="15" w:type="dxa"/>
              <w:left w:w="78" w:type="dxa"/>
              <w:bottom w:w="0" w:type="dxa"/>
              <w:right w:w="78" w:type="dxa"/>
            </w:tcMar>
            <w:vAlign w:val="center"/>
            <w:hideMark/>
          </w:tcPr>
          <w:p w:rsidR="00CF6E46" w:rsidRPr="00CF6E46" w:rsidRDefault="00CF6E46" w:rsidP="00CF6E46">
            <w:pPr>
              <w:widowControl/>
              <w:spacing w:line="360" w:lineRule="exact"/>
              <w:jc w:val="center"/>
              <w:textAlignment w:val="baseline"/>
              <w:rPr>
                <w:rFonts w:ascii="Arial" w:eastAsia="新細明體" w:hAnsi="Arial" w:cs="Arial"/>
                <w:kern w:val="0"/>
                <w:sz w:val="36"/>
                <w:szCs w:val="36"/>
              </w:rPr>
            </w:pPr>
            <w:r w:rsidRPr="00CF6E46">
              <w:rPr>
                <w:rFonts w:ascii="Times New Roman" w:eastAsia="細明體" w:hAnsi="Times New Roman" w:cs="Times New Roman"/>
                <w:color w:val="000000"/>
                <w:sz w:val="16"/>
                <w:szCs w:val="16"/>
              </w:rPr>
              <w:t xml:space="preserve">306.33 </w:t>
            </w:r>
            <w:r w:rsidRPr="00CF6E46">
              <w:rPr>
                <w:rFonts w:ascii="Times New Roman" w:eastAsia="細明體" w:hAnsi="細明體" w:cs="Arial" w:hint="eastAsia"/>
                <w:color w:val="000000"/>
                <w:sz w:val="16"/>
                <w:szCs w:val="16"/>
              </w:rPr>
              <w:t>±</w:t>
            </w:r>
            <w:r w:rsidRPr="00CF6E46">
              <w:rPr>
                <w:rFonts w:ascii="Times New Roman" w:eastAsia="細明體" w:hAnsi="細明體" w:cs="Arial" w:hint="eastAsia"/>
                <w:color w:val="000000"/>
                <w:sz w:val="16"/>
                <w:szCs w:val="16"/>
              </w:rPr>
              <w:t xml:space="preserve"> </w:t>
            </w:r>
            <w:r w:rsidRPr="00CF6E46">
              <w:rPr>
                <w:rFonts w:ascii="Times New Roman" w:eastAsia="細明體" w:hAnsi="Times New Roman" w:cs="Times New Roman"/>
                <w:color w:val="000000"/>
                <w:sz w:val="16"/>
                <w:szCs w:val="16"/>
              </w:rPr>
              <w:t>1.53</w:t>
            </w:r>
          </w:p>
        </w:tc>
      </w:tr>
    </w:tbl>
    <w:p w:rsidR="00C357A3" w:rsidRPr="00320B30" w:rsidRDefault="00CF6E46" w:rsidP="00320B30">
      <w:pPr>
        <w:rPr>
          <w:rFonts w:ascii="Times New Roman" w:hAnsi="Times New Roman" w:cs="Times New Roman"/>
        </w:rPr>
      </w:pPr>
      <w:bookmarkStart w:id="0" w:name="_GoBack"/>
      <w:bookmarkEnd w:id="0"/>
    </w:p>
    <w:sectPr w:rsidR="00C357A3" w:rsidRPr="00320B30" w:rsidSect="008648F1">
      <w:pgSz w:w="16838" w:h="11906" w:orient="landscape"/>
      <w:pgMar w:top="1800" w:right="1440" w:bottom="180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mn-cs">
    <w:panose1 w:val="00000000000000000000"/>
    <w:charset w:val="00"/>
    <w:family w:val="roman"/>
    <w:notTrueType/>
    <w:pitch w:val="default"/>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8F1"/>
    <w:rsid w:val="000E43A0"/>
    <w:rsid w:val="00320B30"/>
    <w:rsid w:val="008648F1"/>
    <w:rsid w:val="00BF3542"/>
    <w:rsid w:val="00C32156"/>
    <w:rsid w:val="00CB0258"/>
    <w:rsid w:val="00CF6E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B9E77"/>
  <w15:chartTrackingRefBased/>
  <w15:docId w15:val="{E4A8BF9D-182B-449D-89FB-9328CB54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8648F1"/>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6379">
      <w:bodyDiv w:val="1"/>
      <w:marLeft w:val="0"/>
      <w:marRight w:val="0"/>
      <w:marTop w:val="0"/>
      <w:marBottom w:val="0"/>
      <w:divBdr>
        <w:top w:val="none" w:sz="0" w:space="0" w:color="auto"/>
        <w:left w:val="none" w:sz="0" w:space="0" w:color="auto"/>
        <w:bottom w:val="none" w:sz="0" w:space="0" w:color="auto"/>
        <w:right w:val="none" w:sz="0" w:space="0" w:color="auto"/>
      </w:divBdr>
    </w:div>
    <w:div w:id="457651031">
      <w:bodyDiv w:val="1"/>
      <w:marLeft w:val="0"/>
      <w:marRight w:val="0"/>
      <w:marTop w:val="0"/>
      <w:marBottom w:val="0"/>
      <w:divBdr>
        <w:top w:val="none" w:sz="0" w:space="0" w:color="auto"/>
        <w:left w:val="none" w:sz="0" w:space="0" w:color="auto"/>
        <w:bottom w:val="none" w:sz="0" w:space="0" w:color="auto"/>
        <w:right w:val="none" w:sz="0" w:space="0" w:color="auto"/>
      </w:divBdr>
    </w:div>
    <w:div w:id="529221788">
      <w:bodyDiv w:val="1"/>
      <w:marLeft w:val="0"/>
      <w:marRight w:val="0"/>
      <w:marTop w:val="0"/>
      <w:marBottom w:val="0"/>
      <w:divBdr>
        <w:top w:val="none" w:sz="0" w:space="0" w:color="auto"/>
        <w:left w:val="none" w:sz="0" w:space="0" w:color="auto"/>
        <w:bottom w:val="none" w:sz="0" w:space="0" w:color="auto"/>
        <w:right w:val="none" w:sz="0" w:space="0" w:color="auto"/>
      </w:divBdr>
    </w:div>
    <w:div w:id="551618203">
      <w:bodyDiv w:val="1"/>
      <w:marLeft w:val="0"/>
      <w:marRight w:val="0"/>
      <w:marTop w:val="0"/>
      <w:marBottom w:val="0"/>
      <w:divBdr>
        <w:top w:val="none" w:sz="0" w:space="0" w:color="auto"/>
        <w:left w:val="none" w:sz="0" w:space="0" w:color="auto"/>
        <w:bottom w:val="none" w:sz="0" w:space="0" w:color="auto"/>
        <w:right w:val="none" w:sz="0" w:space="0" w:color="auto"/>
      </w:divBdr>
    </w:div>
    <w:div w:id="691957854">
      <w:bodyDiv w:val="1"/>
      <w:marLeft w:val="0"/>
      <w:marRight w:val="0"/>
      <w:marTop w:val="0"/>
      <w:marBottom w:val="0"/>
      <w:divBdr>
        <w:top w:val="none" w:sz="0" w:space="0" w:color="auto"/>
        <w:left w:val="none" w:sz="0" w:space="0" w:color="auto"/>
        <w:bottom w:val="none" w:sz="0" w:space="0" w:color="auto"/>
        <w:right w:val="none" w:sz="0" w:space="0" w:color="auto"/>
      </w:divBdr>
    </w:div>
    <w:div w:id="767776963">
      <w:bodyDiv w:val="1"/>
      <w:marLeft w:val="0"/>
      <w:marRight w:val="0"/>
      <w:marTop w:val="0"/>
      <w:marBottom w:val="0"/>
      <w:divBdr>
        <w:top w:val="none" w:sz="0" w:space="0" w:color="auto"/>
        <w:left w:val="none" w:sz="0" w:space="0" w:color="auto"/>
        <w:bottom w:val="none" w:sz="0" w:space="0" w:color="auto"/>
        <w:right w:val="none" w:sz="0" w:space="0" w:color="auto"/>
      </w:divBdr>
    </w:div>
    <w:div w:id="767892456">
      <w:bodyDiv w:val="1"/>
      <w:marLeft w:val="0"/>
      <w:marRight w:val="0"/>
      <w:marTop w:val="0"/>
      <w:marBottom w:val="0"/>
      <w:divBdr>
        <w:top w:val="none" w:sz="0" w:space="0" w:color="auto"/>
        <w:left w:val="none" w:sz="0" w:space="0" w:color="auto"/>
        <w:bottom w:val="none" w:sz="0" w:space="0" w:color="auto"/>
        <w:right w:val="none" w:sz="0" w:space="0" w:color="auto"/>
      </w:divBdr>
    </w:div>
    <w:div w:id="812451537">
      <w:bodyDiv w:val="1"/>
      <w:marLeft w:val="0"/>
      <w:marRight w:val="0"/>
      <w:marTop w:val="0"/>
      <w:marBottom w:val="0"/>
      <w:divBdr>
        <w:top w:val="none" w:sz="0" w:space="0" w:color="auto"/>
        <w:left w:val="none" w:sz="0" w:space="0" w:color="auto"/>
        <w:bottom w:val="none" w:sz="0" w:space="0" w:color="auto"/>
        <w:right w:val="none" w:sz="0" w:space="0" w:color="auto"/>
      </w:divBdr>
    </w:div>
    <w:div w:id="1058746166">
      <w:bodyDiv w:val="1"/>
      <w:marLeft w:val="0"/>
      <w:marRight w:val="0"/>
      <w:marTop w:val="0"/>
      <w:marBottom w:val="0"/>
      <w:divBdr>
        <w:top w:val="none" w:sz="0" w:space="0" w:color="auto"/>
        <w:left w:val="none" w:sz="0" w:space="0" w:color="auto"/>
        <w:bottom w:val="none" w:sz="0" w:space="0" w:color="auto"/>
        <w:right w:val="none" w:sz="0" w:space="0" w:color="auto"/>
      </w:divBdr>
    </w:div>
    <w:div w:id="1277372322">
      <w:bodyDiv w:val="1"/>
      <w:marLeft w:val="0"/>
      <w:marRight w:val="0"/>
      <w:marTop w:val="0"/>
      <w:marBottom w:val="0"/>
      <w:divBdr>
        <w:top w:val="none" w:sz="0" w:space="0" w:color="auto"/>
        <w:left w:val="none" w:sz="0" w:space="0" w:color="auto"/>
        <w:bottom w:val="none" w:sz="0" w:space="0" w:color="auto"/>
        <w:right w:val="none" w:sz="0" w:space="0" w:color="auto"/>
      </w:divBdr>
    </w:div>
    <w:div w:id="1405371810">
      <w:bodyDiv w:val="1"/>
      <w:marLeft w:val="0"/>
      <w:marRight w:val="0"/>
      <w:marTop w:val="0"/>
      <w:marBottom w:val="0"/>
      <w:divBdr>
        <w:top w:val="none" w:sz="0" w:space="0" w:color="auto"/>
        <w:left w:val="none" w:sz="0" w:space="0" w:color="auto"/>
        <w:bottom w:val="none" w:sz="0" w:space="0" w:color="auto"/>
        <w:right w:val="none" w:sz="0" w:space="0" w:color="auto"/>
      </w:divBdr>
    </w:div>
    <w:div w:id="1629584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363</Words>
  <Characters>2073</Characters>
  <Application>Microsoft Office Word</Application>
  <DocSecurity>0</DocSecurity>
  <Lines>17</Lines>
  <Paragraphs>4</Paragraphs>
  <ScaleCrop>false</ScaleCrop>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2025-07-19T23:08:00Z</dcterms:created>
  <dcterms:modified xsi:type="dcterms:W3CDTF">2025-07-19T23:08:00Z</dcterms:modified>
</cp:coreProperties>
</file>