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FB8E6" w14:textId="77777777" w:rsidR="006F3734" w:rsidRPr="00907F07" w:rsidRDefault="006F3734" w:rsidP="006F3734">
      <w:pPr>
        <w:spacing w:after="160"/>
        <w:jc w:val="left"/>
        <w:rPr>
          <w:b/>
          <w:sz w:val="24"/>
          <w:szCs w:val="24"/>
        </w:rPr>
      </w:pPr>
      <w:r w:rsidRPr="00907F07">
        <w:rPr>
          <w:b/>
          <w:sz w:val="24"/>
          <w:szCs w:val="24"/>
        </w:rPr>
        <w:t xml:space="preserve">Supplemental Figure SX1. </w:t>
      </w:r>
      <w:r w:rsidRPr="00907F07">
        <w:rPr>
          <w:sz w:val="24"/>
          <w:szCs w:val="24"/>
        </w:rPr>
        <w:t xml:space="preserve">(A) A transposon insertion in </w:t>
      </w:r>
      <w:r w:rsidRPr="00907F07">
        <w:rPr>
          <w:i/>
          <w:sz w:val="24"/>
          <w:szCs w:val="24"/>
        </w:rPr>
        <w:t>R. pomeroyi</w:t>
      </w:r>
      <w:r w:rsidRPr="00907F07">
        <w:rPr>
          <w:sz w:val="24"/>
          <w:szCs w:val="24"/>
        </w:rPr>
        <w:t xml:space="preserve"> DSS-3 gene SPO3191 (aldehyde dehydrogenase) prevents growth on homarine. Insertion in </w:t>
      </w:r>
      <w:r w:rsidRPr="00907F07">
        <w:rPr>
          <w:i/>
          <w:sz w:val="24"/>
          <w:szCs w:val="24"/>
        </w:rPr>
        <w:t xml:space="preserve">mgdA </w:t>
      </w:r>
      <w:r w:rsidRPr="00907F07">
        <w:rPr>
          <w:sz w:val="24"/>
          <w:szCs w:val="24"/>
        </w:rPr>
        <w:t xml:space="preserve">(SPO1585) and </w:t>
      </w:r>
      <w:r w:rsidRPr="00907F07">
        <w:rPr>
          <w:i/>
          <w:sz w:val="24"/>
          <w:szCs w:val="24"/>
        </w:rPr>
        <w:t xml:space="preserve">mgdD </w:t>
      </w:r>
      <w:r w:rsidRPr="00907F07">
        <w:rPr>
          <w:sz w:val="24"/>
          <w:szCs w:val="24"/>
        </w:rPr>
        <w:t xml:space="preserve">(SPO1588) disables growth on </w:t>
      </w:r>
      <w:r w:rsidRPr="00907F07">
        <w:rPr>
          <w:i/>
          <w:sz w:val="24"/>
          <w:szCs w:val="24"/>
        </w:rPr>
        <w:t>N</w:t>
      </w:r>
      <w:r w:rsidRPr="00907F07">
        <w:rPr>
          <w:sz w:val="24"/>
          <w:szCs w:val="24"/>
        </w:rPr>
        <w:t xml:space="preserve">-methylglutamic acid (NMGD). (B) Deletion of </w:t>
      </w:r>
      <w:r w:rsidRPr="00907F07">
        <w:rPr>
          <w:i/>
          <w:sz w:val="24"/>
          <w:szCs w:val="24"/>
        </w:rPr>
        <w:t>homD</w:t>
      </w:r>
      <w:r w:rsidRPr="00907F07">
        <w:rPr>
          <w:sz w:val="24"/>
          <w:szCs w:val="24"/>
        </w:rPr>
        <w:t xml:space="preserve"> (ACFLL8_11515) (Δ</w:t>
      </w:r>
      <w:r w:rsidRPr="00907F07">
        <w:rPr>
          <w:i/>
          <w:sz w:val="24"/>
          <w:szCs w:val="24"/>
        </w:rPr>
        <w:t xml:space="preserve">homD) </w:t>
      </w:r>
      <w:r w:rsidRPr="00907F07">
        <w:rPr>
          <w:sz w:val="24"/>
          <w:szCs w:val="24"/>
        </w:rPr>
        <w:t xml:space="preserve">in </w:t>
      </w:r>
      <w:r w:rsidRPr="00907F07">
        <w:rPr>
          <w:i/>
          <w:sz w:val="24"/>
          <w:szCs w:val="24"/>
        </w:rPr>
        <w:t xml:space="preserve">Cobetia </w:t>
      </w:r>
      <w:r w:rsidRPr="00907F07">
        <w:rPr>
          <w:sz w:val="24"/>
          <w:szCs w:val="24"/>
        </w:rPr>
        <w:t>sp. OBi1 disables growth on homarine. Complementation with the wild-type (WT) allele (p-</w:t>
      </w:r>
      <w:r w:rsidRPr="00907F07">
        <w:rPr>
          <w:i/>
          <w:sz w:val="24"/>
          <w:szCs w:val="24"/>
        </w:rPr>
        <w:t>homD</w:t>
      </w:r>
      <w:r w:rsidRPr="00907F07">
        <w:rPr>
          <w:sz w:val="24"/>
          <w:szCs w:val="24"/>
        </w:rPr>
        <w:t xml:space="preserve">) rescues growth on homarine. Empty complementation vector (p-null) shows no growth on homarine. </w:t>
      </w:r>
    </w:p>
    <w:p w14:paraId="0DF54977" w14:textId="77777777" w:rsidR="006F3734" w:rsidRPr="00907F07" w:rsidRDefault="006F3734" w:rsidP="006F3734">
      <w:pPr>
        <w:spacing w:after="160"/>
        <w:jc w:val="left"/>
        <w:rPr>
          <w:b/>
          <w:sz w:val="24"/>
          <w:szCs w:val="24"/>
        </w:rPr>
      </w:pPr>
      <w:r w:rsidRPr="00907F07">
        <w:rPr>
          <w:b/>
          <w:sz w:val="24"/>
          <w:szCs w:val="24"/>
        </w:rPr>
        <w:t xml:space="preserve">Supplemental Figure SX2. </w:t>
      </w:r>
      <w:r w:rsidRPr="00907F07">
        <w:rPr>
          <w:sz w:val="24"/>
          <w:szCs w:val="24"/>
        </w:rPr>
        <w:t>Deletion of the GBT gene (Δ</w:t>
      </w:r>
      <w:r w:rsidRPr="00907F07">
        <w:rPr>
          <w:i/>
          <w:sz w:val="24"/>
          <w:szCs w:val="24"/>
        </w:rPr>
        <w:t>homT</w:t>
      </w:r>
      <w:r w:rsidRPr="00907F07">
        <w:rPr>
          <w:sz w:val="24"/>
          <w:szCs w:val="24"/>
        </w:rPr>
        <w:t xml:space="preserve">) in the proposed homarine catabolic operon impairs growth of </w:t>
      </w:r>
      <w:r w:rsidRPr="00907F07">
        <w:rPr>
          <w:i/>
          <w:sz w:val="24"/>
          <w:szCs w:val="24"/>
        </w:rPr>
        <w:t xml:space="preserve">Cobetia sp. </w:t>
      </w:r>
      <w:r w:rsidRPr="00907F07">
        <w:rPr>
          <w:sz w:val="24"/>
          <w:szCs w:val="24"/>
        </w:rPr>
        <w:t>OBi1 on homarine. (A) Growth of wild-type and Δ</w:t>
      </w:r>
      <w:r w:rsidRPr="00907F07">
        <w:rPr>
          <w:i/>
          <w:sz w:val="24"/>
          <w:szCs w:val="24"/>
        </w:rPr>
        <w:t>homT</w:t>
      </w:r>
      <w:r w:rsidRPr="00907F07">
        <w:rPr>
          <w:sz w:val="24"/>
          <w:szCs w:val="24"/>
        </w:rPr>
        <w:t xml:space="preserve"> o glucose or homarine. (B) Growth of Δ</w:t>
      </w:r>
      <w:r w:rsidRPr="00907F07">
        <w:rPr>
          <w:i/>
          <w:sz w:val="24"/>
          <w:szCs w:val="24"/>
        </w:rPr>
        <w:t>homT</w:t>
      </w:r>
      <w:r w:rsidRPr="00907F07">
        <w:rPr>
          <w:sz w:val="24"/>
          <w:szCs w:val="24"/>
        </w:rPr>
        <w:t xml:space="preserve"> plasmid complementation strains expressing wild-type HomT or RFP induced with 50 uM IPTG. (C) HomT complementation increases the growth rate of OBi1 Δ</w:t>
      </w:r>
      <w:r w:rsidRPr="00907F07">
        <w:rPr>
          <w:i/>
          <w:sz w:val="24"/>
          <w:szCs w:val="24"/>
        </w:rPr>
        <w:t>homT</w:t>
      </w:r>
      <w:r w:rsidRPr="00907F07">
        <w:rPr>
          <w:sz w:val="24"/>
          <w:szCs w:val="24"/>
        </w:rPr>
        <w:t xml:space="preserve"> on homarine relative to a control strain expressing RFP. Letter labels (b, c, and d) denote significantly different growth rates between sample groups (median test, </w:t>
      </w:r>
      <w:r w:rsidRPr="00907F07">
        <w:rPr>
          <w:i/>
          <w:sz w:val="24"/>
          <w:szCs w:val="24"/>
        </w:rPr>
        <w:t xml:space="preserve">p </w:t>
      </w:r>
      <w:r w:rsidRPr="00907F07">
        <w:rPr>
          <w:sz w:val="24"/>
          <w:szCs w:val="24"/>
        </w:rPr>
        <w:t>&lt; 0.9). The y-axis position of letters labels corresponds to the median growth rate of each group. (D) RFP fluorescence of OBi1 Δ</w:t>
      </w:r>
      <w:r w:rsidRPr="00907F07">
        <w:rPr>
          <w:i/>
          <w:sz w:val="24"/>
          <w:szCs w:val="24"/>
        </w:rPr>
        <w:t>homT</w:t>
      </w:r>
      <w:r w:rsidRPr="00907F07">
        <w:rPr>
          <w:sz w:val="24"/>
          <w:szCs w:val="24"/>
        </w:rPr>
        <w:t xml:space="preserve"> cultures expressing RFP normalized to sample absorbance. The RFP data corresponds to the experiment in (B) and (C).</w:t>
      </w:r>
    </w:p>
    <w:p w14:paraId="16102217" w14:textId="77777777" w:rsidR="006F3734" w:rsidRPr="00907F07" w:rsidRDefault="006F3734" w:rsidP="006F3734">
      <w:pPr>
        <w:spacing w:before="240" w:after="240"/>
        <w:jc w:val="left"/>
        <w:rPr>
          <w:sz w:val="24"/>
          <w:szCs w:val="24"/>
        </w:rPr>
      </w:pPr>
      <w:r w:rsidRPr="00907F07">
        <w:rPr>
          <w:b/>
          <w:sz w:val="24"/>
          <w:szCs w:val="24"/>
        </w:rPr>
        <w:t xml:space="preserve">Supplemental Figure SX3: </w:t>
      </w:r>
      <w:r w:rsidRPr="00907F07">
        <w:rPr>
          <w:sz w:val="24"/>
          <w:szCs w:val="24"/>
        </w:rPr>
        <w:t xml:space="preserve">Summarized results from metabolomics samples in </w:t>
      </w:r>
      <w:r w:rsidRPr="00907F07">
        <w:rPr>
          <w:i/>
          <w:sz w:val="24"/>
          <w:szCs w:val="24"/>
        </w:rPr>
        <w:t xml:space="preserve">Cobetia sp. </w:t>
      </w:r>
      <w:r w:rsidRPr="00907F07">
        <w:rPr>
          <w:sz w:val="24"/>
          <w:szCs w:val="24"/>
        </w:rPr>
        <w:t xml:space="preserve">OBi1.  Each marker is a mass feature, shaped by detection in the particulate or dissolved fraction of the metabolome. Highlighted mass features were significantly enriched in both the homarine vs glucose and glucose+homarine vs homarine comparisons. Highlighted mass features are annotated with identifications when available, or their retention time (RT), m/z, and polarity (- or +) when not identified. Note that only mass features where more than one ion type (i.e. adduct or polarity) was </w:t>
      </w:r>
      <w:r w:rsidRPr="00907F07">
        <w:rPr>
          <w:sz w:val="24"/>
          <w:szCs w:val="24"/>
        </w:rPr>
        <w:lastRenderedPageBreak/>
        <w:t>detected are shown (with the derived [M+H]+ or [M-H]- ion shown). Full results are given in Table SX14 and SX15 for particulate and dissolved results, respectively.</w:t>
      </w:r>
    </w:p>
    <w:p w14:paraId="03F88741" w14:textId="77777777" w:rsidR="006F3734" w:rsidRPr="00907F07" w:rsidRDefault="006F3734" w:rsidP="006F3734">
      <w:pPr>
        <w:spacing w:before="240" w:after="240"/>
        <w:jc w:val="left"/>
        <w:rPr>
          <w:sz w:val="24"/>
          <w:szCs w:val="24"/>
        </w:rPr>
      </w:pPr>
      <w:r w:rsidRPr="00907F07">
        <w:rPr>
          <w:b/>
          <w:sz w:val="24"/>
          <w:szCs w:val="24"/>
        </w:rPr>
        <w:t xml:space="preserve">Supplemental Figure SX4: </w:t>
      </w:r>
      <w:r w:rsidRPr="00907F07">
        <w:rPr>
          <w:sz w:val="24"/>
          <w:szCs w:val="24"/>
        </w:rPr>
        <w:t xml:space="preserve">Support for the identification of </w:t>
      </w:r>
      <w:r w:rsidRPr="00907F07">
        <w:rPr>
          <w:i/>
          <w:sz w:val="24"/>
          <w:szCs w:val="24"/>
        </w:rPr>
        <w:t>N</w:t>
      </w:r>
      <w:r w:rsidRPr="00907F07">
        <w:rPr>
          <w:sz w:val="24"/>
          <w:szCs w:val="24"/>
        </w:rPr>
        <w:t xml:space="preserve">-methylglutamic acid.  Extracted ion chromatograms at 5 ppm tolerance at 162.0759 m/z (predicted m/z for [M+H]+ ion of </w:t>
      </w:r>
      <w:r w:rsidRPr="00907F07">
        <w:rPr>
          <w:i/>
          <w:sz w:val="24"/>
          <w:szCs w:val="24"/>
        </w:rPr>
        <w:t>N</w:t>
      </w:r>
      <w:r w:rsidRPr="00907F07">
        <w:rPr>
          <w:sz w:val="24"/>
          <w:szCs w:val="24"/>
        </w:rPr>
        <w:t xml:space="preserve">-methylglutamic acid) show that retention time matches from sample of </w:t>
      </w:r>
      <w:r w:rsidRPr="00907F07">
        <w:rPr>
          <w:i/>
          <w:sz w:val="24"/>
          <w:szCs w:val="24"/>
        </w:rPr>
        <w:t xml:space="preserve">Cobetia sp. </w:t>
      </w:r>
      <w:r w:rsidRPr="00907F07">
        <w:rPr>
          <w:sz w:val="24"/>
          <w:szCs w:val="24"/>
        </w:rPr>
        <w:t>OBi1 to commercially acquired standard. This sample was re-run to ensure similar chromatography.  MS</w:t>
      </w:r>
      <w:r w:rsidRPr="00907F07">
        <w:rPr>
          <w:sz w:val="24"/>
          <w:szCs w:val="24"/>
          <w:vertAlign w:val="superscript"/>
        </w:rPr>
        <w:t>2</w:t>
      </w:r>
      <w:r w:rsidRPr="00907F07">
        <w:rPr>
          <w:sz w:val="24"/>
          <w:szCs w:val="24"/>
        </w:rPr>
        <w:t xml:space="preserve"> spectra of isolated 162 ion show near-identical fragments in sample of </w:t>
      </w:r>
      <w:r w:rsidRPr="00907F07">
        <w:rPr>
          <w:i/>
          <w:sz w:val="24"/>
          <w:szCs w:val="24"/>
        </w:rPr>
        <w:t>Cobetia sp.</w:t>
      </w:r>
      <w:r w:rsidRPr="00907F07">
        <w:rPr>
          <w:sz w:val="24"/>
          <w:szCs w:val="24"/>
        </w:rPr>
        <w:t xml:space="preserve"> OBi1 and commercially acquired standard.</w:t>
      </w:r>
    </w:p>
    <w:p w14:paraId="7069733F" w14:textId="77777777" w:rsidR="006F3734" w:rsidRPr="00907F07" w:rsidRDefault="006F3734" w:rsidP="006F3734">
      <w:pPr>
        <w:spacing w:before="240" w:after="240"/>
        <w:jc w:val="left"/>
        <w:rPr>
          <w:sz w:val="24"/>
          <w:szCs w:val="24"/>
        </w:rPr>
      </w:pPr>
      <w:r w:rsidRPr="00907F07">
        <w:rPr>
          <w:b/>
          <w:sz w:val="24"/>
          <w:szCs w:val="24"/>
        </w:rPr>
        <w:t xml:space="preserve">Supplemental Figure SX5: </w:t>
      </w:r>
      <w:r w:rsidRPr="00907F07">
        <w:rPr>
          <w:sz w:val="24"/>
          <w:szCs w:val="24"/>
        </w:rPr>
        <w:t xml:space="preserve">Support for the identification of </w:t>
      </w:r>
      <w:r w:rsidRPr="00907F07">
        <w:rPr>
          <w:i/>
          <w:sz w:val="24"/>
          <w:szCs w:val="24"/>
        </w:rPr>
        <w:t>N</w:t>
      </w:r>
      <w:r w:rsidRPr="00907F07">
        <w:rPr>
          <w:sz w:val="24"/>
          <w:szCs w:val="24"/>
        </w:rPr>
        <w:t>-methyl glutamine.  We were not able to obtain a commercial standard for this compound. Shown is MS</w:t>
      </w:r>
      <w:r w:rsidRPr="00907F07">
        <w:rPr>
          <w:sz w:val="24"/>
          <w:szCs w:val="24"/>
          <w:vertAlign w:val="superscript"/>
        </w:rPr>
        <w:t>2</w:t>
      </w:r>
      <w:r w:rsidRPr="00907F07">
        <w:rPr>
          <w:sz w:val="24"/>
          <w:szCs w:val="24"/>
        </w:rPr>
        <w:t xml:space="preserve"> spectra of isolated 161 ion (matching retention time shown in Figure 2) from </w:t>
      </w:r>
      <w:r w:rsidRPr="00907F07">
        <w:rPr>
          <w:i/>
          <w:sz w:val="24"/>
          <w:szCs w:val="24"/>
        </w:rPr>
        <w:t>Cobetia sp.</w:t>
      </w:r>
      <w:r w:rsidRPr="00907F07">
        <w:rPr>
          <w:sz w:val="24"/>
          <w:szCs w:val="24"/>
        </w:rPr>
        <w:t xml:space="preserve"> OBi1 (top).  Inverted spectra is MS</w:t>
      </w:r>
      <w:r w:rsidRPr="00907F07">
        <w:rPr>
          <w:sz w:val="24"/>
          <w:szCs w:val="24"/>
          <w:vertAlign w:val="superscript"/>
        </w:rPr>
        <w:t>2</w:t>
      </w:r>
      <w:r w:rsidRPr="00907F07">
        <w:rPr>
          <w:sz w:val="24"/>
          <w:szCs w:val="24"/>
        </w:rPr>
        <w:t xml:space="preserve"> spectra of isolated 147 ions of a glutamine standard (in black), and those same fragments shown with mass difference corresponding to an additional methyl group.  All the major fragments in the </w:t>
      </w:r>
      <w:r w:rsidRPr="00907F07">
        <w:rPr>
          <w:i/>
          <w:sz w:val="24"/>
          <w:szCs w:val="24"/>
        </w:rPr>
        <w:t>Cobetia sp.</w:t>
      </w:r>
      <w:r w:rsidRPr="00907F07">
        <w:rPr>
          <w:sz w:val="24"/>
          <w:szCs w:val="24"/>
        </w:rPr>
        <w:t xml:space="preserve"> OBi1 spectra are associated with either fragments from glutamine or fragments corresponding to an additional methyl group on fragments, as one would expect for </w:t>
      </w:r>
      <w:r w:rsidRPr="00907F07">
        <w:rPr>
          <w:i/>
          <w:sz w:val="24"/>
          <w:szCs w:val="24"/>
        </w:rPr>
        <w:t>N</w:t>
      </w:r>
      <w:r w:rsidRPr="00907F07">
        <w:rPr>
          <w:sz w:val="24"/>
          <w:szCs w:val="24"/>
        </w:rPr>
        <w:t xml:space="preserve">-methyl glutamine. Combining this spectral interpretation with the matched </w:t>
      </w:r>
      <w:r w:rsidRPr="00907F07">
        <w:rPr>
          <w:i/>
          <w:sz w:val="24"/>
          <w:szCs w:val="24"/>
        </w:rPr>
        <w:t>m/z</w:t>
      </w:r>
      <w:r w:rsidRPr="00907F07">
        <w:rPr>
          <w:sz w:val="24"/>
          <w:szCs w:val="24"/>
        </w:rPr>
        <w:t xml:space="preserve"> to the predicted </w:t>
      </w:r>
      <w:r w:rsidRPr="00907F07">
        <w:rPr>
          <w:i/>
          <w:sz w:val="24"/>
          <w:szCs w:val="24"/>
        </w:rPr>
        <w:t>m/z</w:t>
      </w:r>
      <w:r w:rsidRPr="00907F07">
        <w:rPr>
          <w:sz w:val="24"/>
          <w:szCs w:val="24"/>
        </w:rPr>
        <w:t xml:space="preserve"> for [M+H]+ ion of </w:t>
      </w:r>
      <w:r w:rsidRPr="00907F07">
        <w:rPr>
          <w:i/>
          <w:sz w:val="24"/>
          <w:szCs w:val="24"/>
        </w:rPr>
        <w:t>N</w:t>
      </w:r>
      <w:r w:rsidRPr="00907F07">
        <w:rPr>
          <w:sz w:val="24"/>
          <w:szCs w:val="24"/>
        </w:rPr>
        <w:t xml:space="preserve">-methyl glutamine leads us to grant the identification of the mass feature as a highly likely </w:t>
      </w:r>
      <w:r w:rsidRPr="00907F07">
        <w:rPr>
          <w:i/>
          <w:sz w:val="24"/>
          <w:szCs w:val="24"/>
        </w:rPr>
        <w:t>N</w:t>
      </w:r>
      <w:r w:rsidRPr="00907F07">
        <w:rPr>
          <w:sz w:val="24"/>
          <w:szCs w:val="24"/>
        </w:rPr>
        <w:t xml:space="preserve">-methyl glutamine (level 2b confidence according to </w:t>
      </w:r>
      <w:hyperlink r:id="rId4">
        <w:r w:rsidRPr="00907F07">
          <w:rPr>
            <w:sz w:val="24"/>
            <w:szCs w:val="24"/>
            <w:vertAlign w:val="superscript"/>
          </w:rPr>
          <w:t>102</w:t>
        </w:r>
      </w:hyperlink>
      <w:r w:rsidRPr="00907F07">
        <w:rPr>
          <w:sz w:val="24"/>
          <w:szCs w:val="24"/>
        </w:rPr>
        <w:t xml:space="preserve">. </w:t>
      </w:r>
    </w:p>
    <w:p w14:paraId="18771F4A" w14:textId="77777777" w:rsidR="006F3734" w:rsidRPr="00907F07" w:rsidRDefault="006F3734" w:rsidP="006F3734">
      <w:pPr>
        <w:spacing w:before="240" w:after="240"/>
        <w:jc w:val="left"/>
        <w:rPr>
          <w:sz w:val="24"/>
          <w:szCs w:val="24"/>
        </w:rPr>
      </w:pPr>
      <w:r w:rsidRPr="00907F07">
        <w:rPr>
          <w:b/>
          <w:sz w:val="24"/>
          <w:szCs w:val="24"/>
        </w:rPr>
        <w:t xml:space="preserve">Supplemental Figure SX6: </w:t>
      </w:r>
      <w:r w:rsidRPr="00907F07">
        <w:rPr>
          <w:sz w:val="24"/>
          <w:szCs w:val="24"/>
        </w:rPr>
        <w:t xml:space="preserve">Evolutionary divergence between </w:t>
      </w:r>
      <w:r w:rsidRPr="00907F07">
        <w:rPr>
          <w:i/>
          <w:sz w:val="24"/>
          <w:szCs w:val="24"/>
        </w:rPr>
        <w:t>soxB</w:t>
      </w:r>
      <w:r w:rsidRPr="00907F07">
        <w:rPr>
          <w:sz w:val="24"/>
          <w:szCs w:val="24"/>
        </w:rPr>
        <w:t xml:space="preserve"> and </w:t>
      </w:r>
      <w:r w:rsidRPr="00907F07">
        <w:rPr>
          <w:i/>
          <w:sz w:val="24"/>
          <w:szCs w:val="24"/>
        </w:rPr>
        <w:t>mgdA</w:t>
      </w:r>
      <w:r w:rsidRPr="00907F07">
        <w:rPr>
          <w:sz w:val="24"/>
          <w:szCs w:val="24"/>
        </w:rPr>
        <w:t xml:space="preserve">-like subunits across representative bacterial genomes. The tree was constructed using maximum likelihood based on protein sequence alignments. Colored clades indicate distinct functional or structural homologs: </w:t>
      </w:r>
      <w:r w:rsidRPr="00907F07">
        <w:rPr>
          <w:i/>
          <w:sz w:val="24"/>
          <w:szCs w:val="24"/>
        </w:rPr>
        <w:t>soxB</w:t>
      </w:r>
      <w:r w:rsidRPr="00907F07">
        <w:rPr>
          <w:sz w:val="24"/>
          <w:szCs w:val="24"/>
        </w:rPr>
        <w:t xml:space="preserve"> (blue) and </w:t>
      </w:r>
      <w:r w:rsidRPr="00907F07">
        <w:rPr>
          <w:i/>
          <w:sz w:val="24"/>
          <w:szCs w:val="24"/>
        </w:rPr>
        <w:t>mgdA</w:t>
      </w:r>
      <w:r w:rsidRPr="00907F07">
        <w:rPr>
          <w:sz w:val="24"/>
          <w:szCs w:val="24"/>
        </w:rPr>
        <w:t xml:space="preserve">-like (orange). Node sizes represent bootstrap values. Taxa with bold colored </w:t>
      </w:r>
      <w:r w:rsidRPr="00907F07">
        <w:rPr>
          <w:sz w:val="24"/>
          <w:szCs w:val="24"/>
        </w:rPr>
        <w:lastRenderedPageBreak/>
        <w:t>labels denote functionally characterized genes. Asterisks (*) indicate isolates shown to grow on homarine in this study. Each label includes the isolate ID followed by the gene ID.</w:t>
      </w:r>
    </w:p>
    <w:p w14:paraId="2CF826D6" w14:textId="77777777" w:rsidR="006F3734" w:rsidRPr="00907F07" w:rsidRDefault="006F3734" w:rsidP="006F3734">
      <w:pPr>
        <w:spacing w:before="240" w:after="240"/>
        <w:jc w:val="left"/>
        <w:rPr>
          <w:sz w:val="24"/>
          <w:szCs w:val="24"/>
        </w:rPr>
      </w:pPr>
      <w:r w:rsidRPr="00907F07">
        <w:rPr>
          <w:b/>
          <w:sz w:val="24"/>
          <w:szCs w:val="24"/>
        </w:rPr>
        <w:t xml:space="preserve">Supplemental Figure SX7: </w:t>
      </w:r>
      <w:r w:rsidRPr="00907F07">
        <w:rPr>
          <w:sz w:val="24"/>
          <w:szCs w:val="24"/>
        </w:rPr>
        <w:t xml:space="preserve">Evolutionary divergence between </w:t>
      </w:r>
      <w:r w:rsidRPr="00907F07">
        <w:rPr>
          <w:i/>
          <w:sz w:val="24"/>
          <w:szCs w:val="24"/>
        </w:rPr>
        <w:t>soxD</w:t>
      </w:r>
      <w:r w:rsidRPr="00907F07">
        <w:rPr>
          <w:sz w:val="24"/>
          <w:szCs w:val="24"/>
        </w:rPr>
        <w:t xml:space="preserve"> and </w:t>
      </w:r>
      <w:r w:rsidRPr="00907F07">
        <w:rPr>
          <w:i/>
          <w:sz w:val="24"/>
          <w:szCs w:val="24"/>
        </w:rPr>
        <w:t>mgdB</w:t>
      </w:r>
      <w:r w:rsidRPr="00907F07">
        <w:rPr>
          <w:sz w:val="24"/>
          <w:szCs w:val="24"/>
        </w:rPr>
        <w:t xml:space="preserve">-like subunits across representative bacterial genes. The tree was constructed using maximum likelihood based on protein sequence alignments. Colored clades indicate distinct functional or structural homologs: </w:t>
      </w:r>
      <w:r w:rsidRPr="00907F07">
        <w:rPr>
          <w:i/>
          <w:sz w:val="24"/>
          <w:szCs w:val="24"/>
        </w:rPr>
        <w:t>soxD</w:t>
      </w:r>
      <w:r w:rsidRPr="00907F07">
        <w:rPr>
          <w:sz w:val="24"/>
          <w:szCs w:val="24"/>
        </w:rPr>
        <w:t xml:space="preserve"> (blue) and </w:t>
      </w:r>
      <w:r w:rsidRPr="00907F07">
        <w:rPr>
          <w:i/>
          <w:sz w:val="24"/>
          <w:szCs w:val="24"/>
        </w:rPr>
        <w:t>mgdB</w:t>
      </w:r>
      <w:r w:rsidRPr="00907F07">
        <w:rPr>
          <w:sz w:val="24"/>
          <w:szCs w:val="24"/>
        </w:rPr>
        <w:t>-like (orange). Node sizes represent bootstrap values. Taxa with bold colored labels denote functionally characterized genes. Asterisks (*) indicate isolates shown to grow on homarine in this study. Each label includes the isolate ID followed by the gene ID.</w:t>
      </w:r>
    </w:p>
    <w:p w14:paraId="46F6A81F" w14:textId="77777777" w:rsidR="006F3734" w:rsidRPr="00907F07" w:rsidRDefault="006F3734" w:rsidP="006F3734">
      <w:pPr>
        <w:spacing w:before="240" w:after="240"/>
        <w:jc w:val="left"/>
        <w:rPr>
          <w:sz w:val="24"/>
          <w:szCs w:val="24"/>
        </w:rPr>
      </w:pPr>
      <w:r w:rsidRPr="00907F07">
        <w:rPr>
          <w:b/>
          <w:sz w:val="24"/>
          <w:szCs w:val="24"/>
        </w:rPr>
        <w:t xml:space="preserve">Supplemental Figure SX8: </w:t>
      </w:r>
      <w:r w:rsidRPr="00907F07">
        <w:rPr>
          <w:sz w:val="24"/>
          <w:szCs w:val="24"/>
        </w:rPr>
        <w:t xml:space="preserve">Evolutionary divergence between </w:t>
      </w:r>
      <w:r w:rsidRPr="00907F07">
        <w:rPr>
          <w:i/>
          <w:sz w:val="24"/>
          <w:szCs w:val="24"/>
        </w:rPr>
        <w:t>soxA</w:t>
      </w:r>
      <w:r w:rsidRPr="00907F07">
        <w:rPr>
          <w:sz w:val="24"/>
          <w:szCs w:val="24"/>
        </w:rPr>
        <w:t xml:space="preserve"> and </w:t>
      </w:r>
      <w:r w:rsidRPr="00907F07">
        <w:rPr>
          <w:i/>
          <w:sz w:val="24"/>
          <w:szCs w:val="24"/>
        </w:rPr>
        <w:t>mgdC</w:t>
      </w:r>
      <w:r w:rsidRPr="00907F07">
        <w:rPr>
          <w:sz w:val="24"/>
          <w:szCs w:val="24"/>
        </w:rPr>
        <w:t xml:space="preserve">-like subunits across representative bacterial genomes. The tree was constructed using maximum likelihood based on protein sequence alignments. Colored clades indicate distinct functional or structural homologs: </w:t>
      </w:r>
      <w:r w:rsidRPr="00907F07">
        <w:rPr>
          <w:i/>
          <w:sz w:val="24"/>
          <w:szCs w:val="24"/>
        </w:rPr>
        <w:t>soxA</w:t>
      </w:r>
      <w:r w:rsidRPr="00907F07">
        <w:rPr>
          <w:sz w:val="24"/>
          <w:szCs w:val="24"/>
        </w:rPr>
        <w:t xml:space="preserve"> (blue) and </w:t>
      </w:r>
      <w:r w:rsidRPr="00907F07">
        <w:rPr>
          <w:i/>
          <w:sz w:val="24"/>
          <w:szCs w:val="24"/>
        </w:rPr>
        <w:t>mgdC</w:t>
      </w:r>
      <w:r w:rsidRPr="00907F07">
        <w:rPr>
          <w:sz w:val="24"/>
          <w:szCs w:val="24"/>
        </w:rPr>
        <w:t>-like (orange). Node sizes represent bootstrap values. Taxa with bold colored labels denote functionally characterized genes. Asterisks (*) indicate isolates shown to grow on homarine in this study. Each label includes the isolate ID followed by the gene ID.</w:t>
      </w:r>
    </w:p>
    <w:p w14:paraId="7F9C98EE" w14:textId="77777777" w:rsidR="006F3734" w:rsidRPr="00907F07" w:rsidRDefault="006F3734" w:rsidP="006F3734">
      <w:pPr>
        <w:spacing w:before="240" w:after="240"/>
        <w:jc w:val="left"/>
        <w:rPr>
          <w:sz w:val="24"/>
          <w:szCs w:val="24"/>
        </w:rPr>
      </w:pPr>
      <w:r w:rsidRPr="00907F07">
        <w:rPr>
          <w:b/>
          <w:sz w:val="24"/>
          <w:szCs w:val="24"/>
        </w:rPr>
        <w:t xml:space="preserve">Supplemental Figure SX9: </w:t>
      </w:r>
      <w:r w:rsidRPr="00907F07">
        <w:rPr>
          <w:sz w:val="24"/>
          <w:szCs w:val="24"/>
        </w:rPr>
        <w:t xml:space="preserve">Evolutionary divergence between </w:t>
      </w:r>
      <w:r w:rsidRPr="00907F07">
        <w:rPr>
          <w:i/>
          <w:sz w:val="24"/>
          <w:szCs w:val="24"/>
        </w:rPr>
        <w:t>soxG</w:t>
      </w:r>
      <w:r w:rsidRPr="00907F07">
        <w:rPr>
          <w:sz w:val="24"/>
          <w:szCs w:val="24"/>
        </w:rPr>
        <w:t xml:space="preserve"> and </w:t>
      </w:r>
      <w:r w:rsidRPr="00907F07">
        <w:rPr>
          <w:i/>
          <w:sz w:val="24"/>
          <w:szCs w:val="24"/>
        </w:rPr>
        <w:t>mgdD</w:t>
      </w:r>
      <w:r w:rsidRPr="00907F07">
        <w:rPr>
          <w:sz w:val="24"/>
          <w:szCs w:val="24"/>
        </w:rPr>
        <w:t>-like subunits across representative bacterial genomes</w:t>
      </w:r>
      <w:r w:rsidRPr="00907F07">
        <w:rPr>
          <w:b/>
          <w:sz w:val="24"/>
          <w:szCs w:val="24"/>
        </w:rPr>
        <w:t xml:space="preserve">. </w:t>
      </w:r>
      <w:r w:rsidRPr="00907F07">
        <w:rPr>
          <w:sz w:val="24"/>
          <w:szCs w:val="24"/>
        </w:rPr>
        <w:t xml:space="preserve">The tree was constructed using maximum likelihood based on protein sequence alignments. Colored clades indicate distinct functional or structural homologs: </w:t>
      </w:r>
      <w:r w:rsidRPr="00907F07">
        <w:rPr>
          <w:i/>
          <w:sz w:val="24"/>
          <w:szCs w:val="24"/>
        </w:rPr>
        <w:t>soxG</w:t>
      </w:r>
      <w:r w:rsidRPr="00907F07">
        <w:rPr>
          <w:sz w:val="24"/>
          <w:szCs w:val="24"/>
        </w:rPr>
        <w:t xml:space="preserve"> (blue) and </w:t>
      </w:r>
      <w:r w:rsidRPr="00907F07">
        <w:rPr>
          <w:i/>
          <w:sz w:val="24"/>
          <w:szCs w:val="24"/>
        </w:rPr>
        <w:t>mgdD</w:t>
      </w:r>
      <w:r w:rsidRPr="00907F07">
        <w:rPr>
          <w:sz w:val="24"/>
          <w:szCs w:val="24"/>
        </w:rPr>
        <w:t>-like (orange). Node sizes represent bootstrap values. Taxa with bold colored labels denote functionally characterized genes. Asterisks (*) indicate isolates shown to grow on homarine in this study. Each label includes the isolate ID followed by the gene ID.</w:t>
      </w:r>
    </w:p>
    <w:p w14:paraId="35A3E357" w14:textId="77777777" w:rsidR="006F3734" w:rsidRPr="00907F07" w:rsidRDefault="006F3734" w:rsidP="006F3734">
      <w:pPr>
        <w:spacing w:before="240" w:after="240"/>
        <w:jc w:val="left"/>
        <w:rPr>
          <w:b/>
          <w:sz w:val="24"/>
          <w:szCs w:val="24"/>
        </w:rPr>
      </w:pPr>
      <w:r w:rsidRPr="00907F07">
        <w:rPr>
          <w:b/>
          <w:sz w:val="24"/>
          <w:szCs w:val="24"/>
        </w:rPr>
        <w:lastRenderedPageBreak/>
        <w:t xml:space="preserve">Supplemental Figure SX10: </w:t>
      </w:r>
      <w:r w:rsidRPr="00907F07">
        <w:rPr>
          <w:sz w:val="24"/>
          <w:szCs w:val="24"/>
        </w:rPr>
        <w:t xml:space="preserve">Conservation of </w:t>
      </w:r>
      <w:r w:rsidRPr="00907F07">
        <w:rPr>
          <w:i/>
          <w:sz w:val="24"/>
          <w:szCs w:val="24"/>
        </w:rPr>
        <w:t>hom</w:t>
      </w:r>
      <w:r w:rsidRPr="00907F07">
        <w:rPr>
          <w:sz w:val="24"/>
          <w:szCs w:val="24"/>
        </w:rPr>
        <w:t xml:space="preserve"> operon arrangement. (A) Distance (in base pairs) of </w:t>
      </w:r>
      <w:r w:rsidRPr="00907F07">
        <w:rPr>
          <w:i/>
          <w:sz w:val="24"/>
          <w:szCs w:val="24"/>
        </w:rPr>
        <w:t>hom</w:t>
      </w:r>
      <w:r w:rsidRPr="00907F07">
        <w:rPr>
          <w:sz w:val="24"/>
          <w:szCs w:val="24"/>
        </w:rPr>
        <w:t xml:space="preserve">BCDE genes from </w:t>
      </w:r>
      <w:r w:rsidRPr="00907F07">
        <w:rPr>
          <w:i/>
          <w:sz w:val="24"/>
          <w:szCs w:val="24"/>
        </w:rPr>
        <w:t xml:space="preserve">homA </w:t>
      </w:r>
      <w:r w:rsidRPr="00907F07">
        <w:rPr>
          <w:sz w:val="24"/>
          <w:szCs w:val="24"/>
        </w:rPr>
        <w:t xml:space="preserve">in NCBI genomes, with families with &gt; 120 genomes highlighted separately.  Each subpanel indicates if the family is Alphaproteobacteria or Gammaproteobacteria, number of genomes, and percentage of genomes with </w:t>
      </w:r>
      <w:r w:rsidRPr="00907F07">
        <w:rPr>
          <w:i/>
          <w:sz w:val="24"/>
          <w:szCs w:val="24"/>
        </w:rPr>
        <w:t>homE</w:t>
      </w:r>
      <w:r w:rsidRPr="00907F07">
        <w:rPr>
          <w:sz w:val="24"/>
          <w:szCs w:val="24"/>
        </w:rPr>
        <w:t>.  (B) There is a statistically significant difference (</w:t>
      </w:r>
      <w:r w:rsidRPr="00907F07">
        <w:rPr>
          <w:i/>
          <w:sz w:val="24"/>
          <w:szCs w:val="24"/>
        </w:rPr>
        <w:t>p</w:t>
      </w:r>
      <w:r w:rsidRPr="00907F07">
        <w:rPr>
          <w:sz w:val="24"/>
          <w:szCs w:val="24"/>
        </w:rPr>
        <w:t xml:space="preserve"> &lt; 0.001 by</w:t>
      </w:r>
      <w:r w:rsidRPr="00907F07">
        <w:rPr>
          <w:i/>
          <w:sz w:val="24"/>
          <w:szCs w:val="24"/>
        </w:rPr>
        <w:t xml:space="preserve"> t</w:t>
      </w:r>
      <w:r w:rsidRPr="00907F07">
        <w:rPr>
          <w:sz w:val="24"/>
          <w:szCs w:val="24"/>
        </w:rPr>
        <w:t xml:space="preserve">-test) in genome size between groups with and without </w:t>
      </w:r>
      <w:r w:rsidRPr="00907F07">
        <w:rPr>
          <w:i/>
          <w:sz w:val="24"/>
          <w:szCs w:val="24"/>
        </w:rPr>
        <w:t>homE.</w:t>
      </w:r>
    </w:p>
    <w:p w14:paraId="6B554443" w14:textId="77777777" w:rsidR="006F3734" w:rsidRPr="00907F07" w:rsidRDefault="006F3734" w:rsidP="006F3734">
      <w:pPr>
        <w:spacing w:before="240" w:after="240"/>
        <w:jc w:val="left"/>
        <w:rPr>
          <w:sz w:val="24"/>
          <w:szCs w:val="24"/>
        </w:rPr>
      </w:pPr>
      <w:r w:rsidRPr="00907F07">
        <w:rPr>
          <w:b/>
          <w:sz w:val="24"/>
          <w:szCs w:val="24"/>
        </w:rPr>
        <w:t xml:space="preserve">Supplemental Figure SX11: </w:t>
      </w:r>
      <w:r w:rsidRPr="00907F07">
        <w:rPr>
          <w:sz w:val="24"/>
          <w:szCs w:val="24"/>
        </w:rPr>
        <w:t xml:space="preserve">In-situ expression of </w:t>
      </w:r>
      <w:r w:rsidRPr="00907F07">
        <w:rPr>
          <w:i/>
          <w:sz w:val="24"/>
          <w:szCs w:val="24"/>
        </w:rPr>
        <w:t xml:space="preserve">homA </w:t>
      </w:r>
      <w:r w:rsidRPr="00907F07">
        <w:rPr>
          <w:sz w:val="24"/>
          <w:szCs w:val="24"/>
        </w:rPr>
        <w:t xml:space="preserve">in the environment. Transcript abundance of </w:t>
      </w:r>
      <w:r w:rsidRPr="00907F07">
        <w:rPr>
          <w:i/>
          <w:sz w:val="24"/>
          <w:szCs w:val="24"/>
        </w:rPr>
        <w:t xml:space="preserve">homA </w:t>
      </w:r>
      <w:r w:rsidRPr="00907F07">
        <w:rPr>
          <w:sz w:val="24"/>
          <w:szCs w:val="24"/>
        </w:rPr>
        <w:t xml:space="preserve">in heterotrophic bacteria, alongside chlorophyll </w:t>
      </w:r>
      <w:r w:rsidRPr="00907F07">
        <w:rPr>
          <w:i/>
          <w:sz w:val="24"/>
          <w:szCs w:val="24"/>
        </w:rPr>
        <w:t>a</w:t>
      </w:r>
      <w:r w:rsidRPr="00907F07">
        <w:rPr>
          <w:sz w:val="24"/>
          <w:szCs w:val="24"/>
        </w:rPr>
        <w:t xml:space="preserve"> (μg/L) concentrations. </w:t>
      </w:r>
    </w:p>
    <w:p w14:paraId="03B56E64" w14:textId="77777777" w:rsidR="006F3734" w:rsidRDefault="006F3734">
      <w:pPr>
        <w:spacing w:after="160" w:line="278" w:lineRule="auto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C7AE61C" w14:textId="0B382378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Supplementary Figure 1</w:t>
      </w:r>
    </w:p>
    <w:p w14:paraId="51DA913E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134D7C6D" wp14:editId="1EAB0A5C">
            <wp:extent cx="6800850" cy="2987040"/>
            <wp:effectExtent l="0" t="0" r="0" b="3810"/>
            <wp:docPr id="1369078851" name="Picture 9" descr="A group of graphs showing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078851" name="Picture 9" descr="A group of graphs showing different types of data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298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2E5E5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0F3A4B06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4A5CEDEF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6A20D1F9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082429BB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6E61B077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34BBB4A6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200E220B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593CBC63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0A140B3E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3E0004DE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21C78D18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7F7CA064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6B2211E3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Supplementary Figure 2</w:t>
      </w:r>
    </w:p>
    <w:p w14:paraId="15153185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22B93E12" wp14:editId="7B904DBF">
            <wp:extent cx="6800850" cy="4998720"/>
            <wp:effectExtent l="0" t="0" r="0" b="0"/>
            <wp:docPr id="2008756219" name="Picture 10" descr="A group of graphs showing different types of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756219" name="Picture 10" descr="A group of graphs showing different types of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499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97F20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122ED73A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2A03956D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668849C4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1582D5DF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5753948B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3C766BBE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26102A4C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Supplementary Figure 3</w:t>
      </w:r>
    </w:p>
    <w:p w14:paraId="55336A05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0303AFFB" wp14:editId="3F82DA72">
            <wp:extent cx="6800850" cy="5095875"/>
            <wp:effectExtent l="0" t="0" r="0" b="9525"/>
            <wp:docPr id="1990341961" name="Picture 11" descr="A graph with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341961" name="Picture 11" descr="A graph with text and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71570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637E386F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7C47F6DA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6FD6050D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008CA74E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2EFB1E40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72C43897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6CBBFF29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Supplementary Figure 4</w:t>
      </w:r>
    </w:p>
    <w:p w14:paraId="0338CBB3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1A030BFA" wp14:editId="01EF4805">
            <wp:extent cx="6218141" cy="4126865"/>
            <wp:effectExtent l="0" t="0" r="0" b="6985"/>
            <wp:docPr id="965145296" name="Picture 12" descr="A graph of different types of pharmacological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145296" name="Picture 12" descr="A graph of different types of pharmacological data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141" cy="412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EB329F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3E01D821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67CD36B6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46B8E452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3E1BEF76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50BE5B42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31BFC134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2463B3A5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1FEF8CEC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43FDF441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00903623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Supplementary Figure 5</w:t>
      </w:r>
    </w:p>
    <w:p w14:paraId="37798BFF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53AAA542" wp14:editId="5492ACB8">
            <wp:extent cx="6289675" cy="4142630"/>
            <wp:effectExtent l="0" t="0" r="0" b="0"/>
            <wp:docPr id="546919830" name="Picture 13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919830" name="Picture 13" descr="A graph of a graph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675" cy="414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FC80B7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0DE2D1F0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519C956A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7F1CEA4E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1355BAA2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5AE59BE9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359B294A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1C8BC816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3987C36B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2860A807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1F1AEB50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Supplementary Figure 6</w:t>
      </w:r>
    </w:p>
    <w:p w14:paraId="66C21C93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19F8F439" wp14:editId="7EBDFF54">
            <wp:extent cx="6800850" cy="5864225"/>
            <wp:effectExtent l="0" t="0" r="0" b="3175"/>
            <wp:docPr id="1477938884" name="Picture 14" descr="A diagram of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938884" name="Picture 14" descr="A diagram of a cir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586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F1C4D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077D9B34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78B7DC93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4095E691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51BB298F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14362779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Supplementary Figure 7</w:t>
      </w:r>
    </w:p>
    <w:p w14:paraId="7C94FC3C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59F92470" wp14:editId="45F7BE52">
            <wp:extent cx="6800850" cy="7216140"/>
            <wp:effectExtent l="0" t="0" r="0" b="3810"/>
            <wp:docPr id="2024438675" name="Picture 15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438675" name="Picture 15" descr="A diagram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721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D7B3C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068DAD4D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Supplementary Figure 8</w:t>
      </w:r>
    </w:p>
    <w:p w14:paraId="043E2A3C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4C4D1D44" wp14:editId="45688C80">
            <wp:extent cx="6800850" cy="6219190"/>
            <wp:effectExtent l="0" t="0" r="0" b="0"/>
            <wp:docPr id="202452413" name="Picture 16" descr="A diagram of a circle with many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52413" name="Picture 16" descr="A diagram of a circle with many colore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621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6E94E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3891474D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38693961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37CB0100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01F230C6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Supplementary Figure 9</w:t>
      </w:r>
    </w:p>
    <w:p w14:paraId="4345D241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56E2D953" wp14:editId="57B82249">
            <wp:extent cx="6800850" cy="6670040"/>
            <wp:effectExtent l="0" t="0" r="0" b="0"/>
            <wp:docPr id="338010634" name="Picture 17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010634" name="Picture 17" descr="A diagram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667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FD58A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56CFFC61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0411E8A3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Supplementary Figure 10</w:t>
      </w:r>
    </w:p>
    <w:p w14:paraId="3E166F0F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4E084241" wp14:editId="2DE29B7E">
            <wp:extent cx="6800850" cy="2650490"/>
            <wp:effectExtent l="0" t="0" r="0" b="0"/>
            <wp:docPr id="1498683976" name="Picture 18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683976" name="Picture 18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265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F74FA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4F27958D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3CA13071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0ECC4050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4CCBE7B2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45847F11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070B7C22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5EA5C65E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18B7EFD3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637825CD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134F1380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5BABC9CC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68698F11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34A277F6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</w:p>
    <w:p w14:paraId="57E0EAB6" w14:textId="77777777" w:rsidR="00424E5E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>Supplementary Figure 11</w:t>
      </w:r>
    </w:p>
    <w:p w14:paraId="6A9939DB" w14:textId="77777777" w:rsidR="00424E5E" w:rsidRPr="00907F07" w:rsidRDefault="00424E5E" w:rsidP="00424E5E">
      <w:pPr>
        <w:widowControl w:val="0"/>
        <w:pBdr>
          <w:top w:val="nil"/>
          <w:left w:val="nil"/>
          <w:bottom w:val="nil"/>
          <w:right w:val="nil"/>
          <w:between w:val="nil"/>
        </w:pBdr>
        <w:ind w:left="504" w:hanging="504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69740F7B" wp14:editId="2482D24E">
            <wp:extent cx="6800850" cy="3876040"/>
            <wp:effectExtent l="0" t="0" r="0" b="0"/>
            <wp:docPr id="928220084" name="Picture 19" descr="A graph of a number of bacteri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220084" name="Picture 19" descr="A graph of a number of bacteria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387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BE5D8" w14:textId="77777777" w:rsidR="00F553FF" w:rsidRPr="00424E5E" w:rsidRDefault="00F553FF" w:rsidP="00424E5E"/>
    <w:sectPr w:rsidR="00F553FF" w:rsidRPr="00424E5E" w:rsidSect="00424E5E">
      <w:headerReference w:type="default" r:id="rId16"/>
      <w:footerReference w:type="default" r:id="rId17"/>
      <w:headerReference w:type="first" r:id="rId18"/>
      <w:footerReference w:type="first" r:id="rId19"/>
      <w:pgSz w:w="12240" w:h="15840"/>
      <w:pgMar w:top="1440" w:right="9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4CD2DB" w14:textId="77777777" w:rsidR="00000000" w:rsidRDefault="00000000">
    <w:pPr>
      <w:ind w:firstLine="720"/>
    </w:pPr>
  </w:p>
  <w:p w14:paraId="2B421146" w14:textId="77777777" w:rsidR="00000000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EF672" w14:textId="77777777" w:rsidR="00000000" w:rsidRDefault="00000000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AAE09" w14:textId="77777777" w:rsidR="00000000" w:rsidRDefault="00000000">
    <w:pPr>
      <w:rPr>
        <w:b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94728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E5E"/>
    <w:rsid w:val="00292E66"/>
    <w:rsid w:val="003C2EF4"/>
    <w:rsid w:val="00424E5E"/>
    <w:rsid w:val="00446799"/>
    <w:rsid w:val="006A7E07"/>
    <w:rsid w:val="006F3734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620D9"/>
  <w15:chartTrackingRefBased/>
  <w15:docId w15:val="{D46D1106-166F-4986-88A9-202961AB8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E5E"/>
    <w:pPr>
      <w:spacing w:after="0" w:line="480" w:lineRule="auto"/>
      <w:jc w:val="both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4E5E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4E5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4E5E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4E5E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4E5E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4E5E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4E5E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4E5E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4E5E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4E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4E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4E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4E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4E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4E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4E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4E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4E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4E5E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4E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4E5E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4E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4E5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4E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4E5E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4E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4E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4E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4E5E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424E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oter" Target="footer2.xml"/><Relationship Id="rId4" Type="http://schemas.openxmlformats.org/officeDocument/2006/relationships/hyperlink" Target="https://www.zotero.org/google-docs/?lXZQSH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1005</Words>
  <Characters>5729</Characters>
  <Application>Microsoft Office Word</Application>
  <DocSecurity>0</DocSecurity>
  <Lines>47</Lines>
  <Paragraphs>13</Paragraphs>
  <ScaleCrop>false</ScaleCrop>
  <Company>Springer Nature</Company>
  <LinksUpToDate>false</LinksUpToDate>
  <CharactersWithSpaces>6721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2025-08-21T03:35:00Z</dcterms:created>
  <dcterms:modified xsi:type="dcterms:W3CDTF">2025-08-21T03:36:00Z</dcterms:modified>
</cp:coreProperties>
</file>