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FB227" w14:textId="34C3EA18" w:rsidR="00E31EF0" w:rsidRPr="00203256" w:rsidRDefault="00E31EF0" w:rsidP="00E31EF0">
      <w:pPr>
        <w:spacing w:after="120"/>
        <w:jc w:val="center"/>
        <w:rPr>
          <w:rFonts w:ascii="Times New Roman" w:hAnsi="Times New Roman" w:cs="Times New Roman"/>
          <w:b/>
          <w:bCs/>
          <w:sz w:val="36"/>
          <w:szCs w:val="36"/>
        </w:rPr>
      </w:pPr>
    </w:p>
    <w:p w14:paraId="73EF2BF7" w14:textId="79AE4A57" w:rsidR="00E31EF0" w:rsidRPr="00203256" w:rsidRDefault="002A08DE" w:rsidP="00DB3FF0">
      <w:pPr>
        <w:spacing w:after="120"/>
        <w:rPr>
          <w:rFonts w:ascii="Times New Roman" w:hAnsi="Times New Roman" w:cs="Times New Roman"/>
          <w:sz w:val="36"/>
          <w:szCs w:val="36"/>
        </w:rPr>
      </w:pPr>
      <w:r>
        <w:rPr>
          <w:rFonts w:ascii="Times New Roman" w:hAnsi="Times New Roman" w:cs="Times New Roman"/>
          <w:sz w:val="36"/>
          <w:szCs w:val="36"/>
        </w:rPr>
        <w:t xml:space="preserve">Extended </w:t>
      </w:r>
      <w:r w:rsidR="00326FFD">
        <w:rPr>
          <w:rFonts w:ascii="Times New Roman" w:hAnsi="Times New Roman" w:cs="Times New Roman"/>
          <w:sz w:val="36"/>
          <w:szCs w:val="36"/>
        </w:rPr>
        <w:t>D</w:t>
      </w:r>
      <w:r>
        <w:rPr>
          <w:rFonts w:ascii="Times New Roman" w:hAnsi="Times New Roman" w:cs="Times New Roman"/>
          <w:sz w:val="36"/>
          <w:szCs w:val="36"/>
        </w:rPr>
        <w:t>ata</w:t>
      </w:r>
      <w:r w:rsidR="00E31EF0" w:rsidRPr="00203256">
        <w:rPr>
          <w:rFonts w:ascii="Times New Roman" w:hAnsi="Times New Roman" w:cs="Times New Roman"/>
          <w:sz w:val="36"/>
          <w:szCs w:val="36"/>
        </w:rPr>
        <w:t xml:space="preserve"> for</w:t>
      </w:r>
    </w:p>
    <w:p w14:paraId="39768DE1" w14:textId="77777777" w:rsidR="00E31EF0" w:rsidRPr="00203256" w:rsidRDefault="00E31EF0" w:rsidP="00E31EF0">
      <w:pPr>
        <w:spacing w:after="120"/>
        <w:rPr>
          <w:rFonts w:ascii="Times New Roman" w:hAnsi="Times New Roman" w:cs="Times New Roman"/>
          <w:b/>
          <w:bCs/>
          <w:color w:val="000000" w:themeColor="text1"/>
          <w:sz w:val="28"/>
          <w:szCs w:val="28"/>
        </w:rPr>
      </w:pPr>
    </w:p>
    <w:p w14:paraId="73A9A290" w14:textId="77777777" w:rsidR="008F4CC6" w:rsidRPr="001A20BE" w:rsidRDefault="008F4CC6" w:rsidP="008F4CC6">
      <w:pPr>
        <w:rPr>
          <w:rFonts w:ascii="Times New Roman" w:hAnsi="Times New Roman" w:cs="Times New Roman"/>
          <w:b/>
          <w:bCs/>
          <w:sz w:val="28"/>
          <w:szCs w:val="28"/>
        </w:rPr>
      </w:pPr>
      <w:r w:rsidRPr="001A20BE">
        <w:rPr>
          <w:rFonts w:ascii="Times New Roman" w:hAnsi="Times New Roman" w:cs="Times New Roman"/>
          <w:b/>
          <w:bCs/>
          <w:sz w:val="28"/>
          <w:szCs w:val="28"/>
        </w:rPr>
        <w:t>Residual emissions may perpetuate community-scale inequalities of U.S. air pollution in net-zero scenarios</w:t>
      </w:r>
    </w:p>
    <w:p w14:paraId="3A4BB240" w14:textId="77777777" w:rsidR="00E31EF0" w:rsidRPr="00203256" w:rsidRDefault="00E31EF0" w:rsidP="00E31EF0">
      <w:pPr>
        <w:spacing w:after="120"/>
        <w:rPr>
          <w:rFonts w:ascii="Times New Roman" w:hAnsi="Times New Roman" w:cs="Times New Roman"/>
          <w:b/>
          <w:bCs/>
          <w:sz w:val="28"/>
          <w:szCs w:val="28"/>
        </w:rPr>
      </w:pPr>
    </w:p>
    <w:p w14:paraId="0502194B" w14:textId="77777777" w:rsidR="00E31EF0" w:rsidRPr="00203256" w:rsidRDefault="00E31EF0" w:rsidP="00E31EF0">
      <w:pPr>
        <w:spacing w:after="120"/>
        <w:rPr>
          <w:rFonts w:ascii="Times New Roman" w:hAnsi="Times New Roman" w:cs="Times New Roman"/>
          <w:vertAlign w:val="superscript"/>
        </w:rPr>
      </w:pPr>
      <w:r w:rsidRPr="00203256">
        <w:rPr>
          <w:rFonts w:ascii="Times New Roman" w:hAnsi="Times New Roman" w:cs="Times New Roman"/>
        </w:rPr>
        <w:t>Candelaria Bergero</w:t>
      </w:r>
      <w:r w:rsidRPr="00203256">
        <w:rPr>
          <w:rFonts w:ascii="Times New Roman" w:hAnsi="Times New Roman" w:cs="Times New Roman"/>
          <w:vertAlign w:val="superscript"/>
        </w:rPr>
        <w:t>*</w:t>
      </w:r>
      <w:r w:rsidRPr="00203256">
        <w:rPr>
          <w:rFonts w:ascii="Times New Roman" w:hAnsi="Times New Roman" w:cs="Times New Roman"/>
        </w:rPr>
        <w:t>, Jing Cheng</w:t>
      </w:r>
      <w:r w:rsidRPr="00203256">
        <w:rPr>
          <w:rFonts w:ascii="Times New Roman" w:hAnsi="Times New Roman" w:cs="Times New Roman"/>
          <w:vertAlign w:val="superscript"/>
        </w:rPr>
        <w:t>*</w:t>
      </w:r>
      <w:r w:rsidRPr="00203256">
        <w:rPr>
          <w:rFonts w:ascii="Times New Roman" w:hAnsi="Times New Roman" w:cs="Times New Roman"/>
        </w:rPr>
        <w:t>, Qiang Zhang, Yang Ou, Haewon McJeon, Destenie Nock, Inês Azevedo, Steven J. Davis</w:t>
      </w:r>
      <w:r w:rsidRPr="00203256">
        <w:rPr>
          <w:rFonts w:ascii="Times New Roman" w:hAnsi="Times New Roman" w:cs="Times New Roman"/>
          <w:vertAlign w:val="superscript"/>
        </w:rPr>
        <w:t>*</w:t>
      </w:r>
    </w:p>
    <w:p w14:paraId="3C911622" w14:textId="77777777" w:rsidR="00E31EF0" w:rsidRPr="00203256" w:rsidRDefault="00E31EF0" w:rsidP="00E31EF0">
      <w:pPr>
        <w:spacing w:after="120"/>
        <w:rPr>
          <w:rFonts w:ascii="Times New Roman" w:hAnsi="Times New Roman" w:cs="Times New Roman"/>
          <w:vertAlign w:val="superscript"/>
        </w:rPr>
      </w:pPr>
    </w:p>
    <w:p w14:paraId="2D2F362F" w14:textId="1E58996C" w:rsidR="00E31EF0" w:rsidRDefault="00E31EF0" w:rsidP="00E31EF0">
      <w:pPr>
        <w:spacing w:after="120"/>
        <w:rPr>
          <w:rStyle w:val="Hyperlink"/>
          <w:rFonts w:ascii="Times New Roman" w:hAnsi="Times New Roman" w:cs="Times New Roman"/>
          <w:sz w:val="22"/>
          <w:szCs w:val="22"/>
        </w:rPr>
      </w:pPr>
      <w:r w:rsidRPr="00203256">
        <w:rPr>
          <w:rFonts w:ascii="Times New Roman" w:hAnsi="Times New Roman" w:cs="Times New Roman"/>
          <w:sz w:val="22"/>
          <w:szCs w:val="22"/>
        </w:rPr>
        <w:t>*corresponding authors:</w:t>
      </w:r>
      <w:r w:rsidR="00B92713">
        <w:rPr>
          <w:rFonts w:ascii="Times New Roman" w:hAnsi="Times New Roman" w:cs="Times New Roman"/>
          <w:sz w:val="22"/>
          <w:szCs w:val="22"/>
        </w:rPr>
        <w:t xml:space="preserve"> </w:t>
      </w:r>
      <w:hyperlink r:id="rId8" w:history="1">
        <w:r w:rsidR="00B92713" w:rsidRPr="00632537">
          <w:rPr>
            <w:rStyle w:val="Hyperlink"/>
            <w:rFonts w:ascii="Times New Roman" w:hAnsi="Times New Roman" w:cs="Times New Roman"/>
            <w:sz w:val="22"/>
            <w:szCs w:val="22"/>
          </w:rPr>
          <w:t>bergero@wisc.edu</w:t>
        </w:r>
      </w:hyperlink>
      <w:r w:rsidR="00B92713">
        <w:rPr>
          <w:rFonts w:ascii="Times New Roman" w:hAnsi="Times New Roman" w:cs="Times New Roman"/>
          <w:sz w:val="22"/>
          <w:szCs w:val="22"/>
        </w:rPr>
        <w:t>,</w:t>
      </w:r>
      <w:r w:rsidRPr="00203256">
        <w:rPr>
          <w:rFonts w:ascii="Times New Roman" w:hAnsi="Times New Roman" w:cs="Times New Roman"/>
          <w:sz w:val="22"/>
          <w:szCs w:val="22"/>
        </w:rPr>
        <w:t xml:space="preserve"> </w:t>
      </w:r>
      <w:hyperlink r:id="rId9" w:history="1">
        <w:r w:rsidR="00B92713" w:rsidRPr="00632537">
          <w:rPr>
            <w:rStyle w:val="Hyperlink"/>
            <w:rFonts w:ascii="Times New Roman" w:hAnsi="Times New Roman" w:cs="Times New Roman"/>
            <w:sz w:val="22"/>
            <w:szCs w:val="22"/>
          </w:rPr>
          <w:t>chengj10@stanford.edu</w:t>
        </w:r>
      </w:hyperlink>
      <w:r w:rsidRPr="00203256">
        <w:rPr>
          <w:rFonts w:ascii="Times New Roman" w:hAnsi="Times New Roman" w:cs="Times New Roman"/>
          <w:sz w:val="22"/>
          <w:szCs w:val="22"/>
        </w:rPr>
        <w:t xml:space="preserve">, </w:t>
      </w:r>
      <w:hyperlink r:id="rId10" w:history="1">
        <w:r w:rsidRPr="00203256">
          <w:rPr>
            <w:rStyle w:val="Hyperlink"/>
            <w:rFonts w:ascii="Times New Roman" w:hAnsi="Times New Roman" w:cs="Times New Roman"/>
            <w:sz w:val="22"/>
            <w:szCs w:val="22"/>
          </w:rPr>
          <w:t>sjdavis@stanford.edu</w:t>
        </w:r>
      </w:hyperlink>
    </w:p>
    <w:p w14:paraId="4AC286F9" w14:textId="31271566" w:rsidR="00DC475B" w:rsidRDefault="00DC475B">
      <w:pPr>
        <w:rPr>
          <w:rFonts w:ascii="Times New Roman" w:hAnsi="Times New Roman" w:cs="Times New Roman"/>
          <w:sz w:val="22"/>
          <w:szCs w:val="22"/>
        </w:rPr>
      </w:pPr>
      <w:r>
        <w:rPr>
          <w:rFonts w:ascii="Times New Roman" w:hAnsi="Times New Roman" w:cs="Times New Roman"/>
          <w:sz w:val="22"/>
          <w:szCs w:val="22"/>
        </w:rPr>
        <w:br w:type="page"/>
      </w:r>
    </w:p>
    <w:p w14:paraId="436CA7DF" w14:textId="77777777" w:rsidR="007C4791" w:rsidRDefault="007C4791" w:rsidP="00E31EF0">
      <w:pPr>
        <w:spacing w:after="120"/>
        <w:rPr>
          <w:rFonts w:ascii="Times New Roman" w:hAnsi="Times New Roman" w:cs="Times New Roman"/>
          <w:sz w:val="22"/>
          <w:szCs w:val="22"/>
        </w:rPr>
      </w:pPr>
    </w:p>
    <w:p w14:paraId="77AC84FA" w14:textId="77777777" w:rsidR="00DC475B" w:rsidRPr="00203256" w:rsidRDefault="00DC475B" w:rsidP="00DC475B">
      <w:pPr>
        <w:spacing w:after="120"/>
        <w:jc w:val="center"/>
        <w:rPr>
          <w:rFonts w:ascii="Times New Roman" w:hAnsi="Times New Roman" w:cs="Times New Roman"/>
          <w:color w:val="000000" w:themeColor="text1"/>
        </w:rPr>
      </w:pPr>
      <w:r w:rsidRPr="00203256">
        <w:rPr>
          <w:rFonts w:ascii="Times New Roman" w:hAnsi="Times New Roman" w:cs="Times New Roman"/>
          <w:noProof/>
          <w:color w:val="000000" w:themeColor="text1"/>
          <w14:ligatures w14:val="standardContextual"/>
        </w:rPr>
        <w:drawing>
          <wp:inline distT="0" distB="0" distL="0" distR="0" wp14:anchorId="379B4D85" wp14:editId="0C586396">
            <wp:extent cx="4097215" cy="7027517"/>
            <wp:effectExtent l="0" t="0" r="5080" b="0"/>
            <wp:docPr id="1979325528" name="Picture 4"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25528" name="Picture 4" descr="A diagram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7846" cy="7354486"/>
                    </a:xfrm>
                    <a:prstGeom prst="rect">
                      <a:avLst/>
                    </a:prstGeom>
                  </pic:spPr>
                </pic:pic>
              </a:graphicData>
            </a:graphic>
          </wp:inline>
        </w:drawing>
      </w:r>
    </w:p>
    <w:p w14:paraId="307668ED" w14:textId="77777777" w:rsidR="00DC475B" w:rsidRPr="00203256" w:rsidRDefault="00DC475B" w:rsidP="00DC475B">
      <w:pPr>
        <w:spacing w:after="120"/>
        <w:jc w:val="center"/>
        <w:rPr>
          <w:rFonts w:ascii="Times New Roman" w:hAnsi="Times New Roman" w:cs="Times New Roman"/>
          <w:color w:val="000000" w:themeColor="text1"/>
        </w:rPr>
      </w:pPr>
    </w:p>
    <w:p w14:paraId="49A41A8C" w14:textId="1DAA47A5" w:rsidR="00DC475B" w:rsidRPr="00203256" w:rsidRDefault="00DC475B" w:rsidP="00DC475B">
      <w:pPr>
        <w:snapToGrid w:val="0"/>
        <w:spacing w:after="120"/>
        <w:jc w:val="both"/>
        <w:rPr>
          <w:rFonts w:ascii="Times New Roman" w:hAnsi="Times New Roman" w:cs="Times New Roman"/>
          <w:sz w:val="20"/>
          <w:szCs w:val="20"/>
        </w:rPr>
      </w:pPr>
      <w:r>
        <w:rPr>
          <w:rFonts w:ascii="Times New Roman" w:hAnsi="Times New Roman" w:cs="Times New Roman"/>
          <w:b/>
          <w:bCs/>
          <w:sz w:val="20"/>
          <w:szCs w:val="20"/>
        </w:rPr>
        <w:t>Extended Data Fig</w:t>
      </w:r>
      <w:r w:rsidR="00B505C8">
        <w:rPr>
          <w:rFonts w:ascii="Times New Roman" w:hAnsi="Times New Roman" w:cs="Times New Roman"/>
          <w:b/>
          <w:bCs/>
          <w:sz w:val="20"/>
          <w:szCs w:val="20"/>
        </w:rPr>
        <w:t xml:space="preserve">ure </w:t>
      </w:r>
      <w:r w:rsidRPr="00203256">
        <w:rPr>
          <w:rFonts w:ascii="Times New Roman" w:hAnsi="Times New Roman" w:cs="Times New Roman"/>
          <w:b/>
          <w:bCs/>
          <w:sz w:val="20"/>
          <w:szCs w:val="20"/>
        </w:rPr>
        <w:t>1</w:t>
      </w:r>
      <w:r>
        <w:rPr>
          <w:rFonts w:ascii="Times New Roman" w:hAnsi="Times New Roman" w:cs="Times New Roman"/>
          <w:b/>
          <w:bCs/>
          <w:sz w:val="20"/>
          <w:szCs w:val="20"/>
        </w:rPr>
        <w:t xml:space="preserve"> |</w:t>
      </w:r>
      <w:r w:rsidRPr="00203256">
        <w:rPr>
          <w:rFonts w:ascii="Times New Roman" w:hAnsi="Times New Roman" w:cs="Times New Roman"/>
          <w:b/>
          <w:bCs/>
          <w:sz w:val="20"/>
          <w:szCs w:val="20"/>
        </w:rPr>
        <w:t xml:space="preserve"> Methodological framework for this research</w:t>
      </w:r>
      <w:r w:rsidRPr="00203256">
        <w:rPr>
          <w:rFonts w:ascii="Times New Roman" w:hAnsi="Times New Roman" w:cs="Times New Roman"/>
          <w:sz w:val="20"/>
          <w:szCs w:val="20"/>
        </w:rPr>
        <w:t>. The approach includes an integrated assessment model, the downscaling of energy emissions, a chemical transport model, an epidemiological model, and a distributional analysis.</w:t>
      </w:r>
    </w:p>
    <w:p w14:paraId="68D92F4F" w14:textId="77777777" w:rsidR="00B505C8" w:rsidRPr="00203256" w:rsidRDefault="00DC475B" w:rsidP="00B505C8">
      <w:pPr>
        <w:spacing w:after="120"/>
        <w:rPr>
          <w:rFonts w:ascii="Times New Roman" w:hAnsi="Times New Roman" w:cs="Times New Roman"/>
          <w:color w:val="000000" w:themeColor="text1"/>
        </w:rPr>
      </w:pPr>
      <w:r>
        <w:rPr>
          <w:rFonts w:ascii="Times New Roman" w:hAnsi="Times New Roman" w:cs="Times New Roman"/>
          <w:sz w:val="22"/>
          <w:szCs w:val="22"/>
        </w:rPr>
        <w:br w:type="page"/>
      </w:r>
      <w:r w:rsidR="00B505C8">
        <w:rPr>
          <w:rFonts w:ascii="Times New Roman" w:hAnsi="Times New Roman" w:cs="Times New Roman"/>
          <w:noProof/>
          <w:color w:val="000000" w:themeColor="text1"/>
          <w14:ligatures w14:val="standardContextual"/>
        </w:rPr>
        <w:lastRenderedPageBreak/>
        <w:drawing>
          <wp:inline distT="0" distB="0" distL="0" distR="0" wp14:anchorId="17D99362" wp14:editId="0EE4BDDC">
            <wp:extent cx="5486400" cy="5929630"/>
            <wp:effectExtent l="0" t="0" r="0" b="1270"/>
            <wp:docPr id="2104181145" name="Picture 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81145" name="Picture 5" descr="A map of the united sta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5929630"/>
                    </a:xfrm>
                    <a:prstGeom prst="rect">
                      <a:avLst/>
                    </a:prstGeom>
                  </pic:spPr>
                </pic:pic>
              </a:graphicData>
            </a:graphic>
          </wp:inline>
        </w:drawing>
      </w:r>
    </w:p>
    <w:p w14:paraId="6EF8C6E8" w14:textId="0EB1CFBE" w:rsidR="00B505C8" w:rsidRPr="00203256" w:rsidRDefault="00B505C8" w:rsidP="00B505C8">
      <w:pPr>
        <w:spacing w:after="120"/>
        <w:jc w:val="both"/>
        <w:rPr>
          <w:rFonts w:ascii="Times New Roman" w:hAnsi="Times New Roman" w:cs="Times New Roman"/>
          <w:color w:val="000000" w:themeColor="text1"/>
          <w:sz w:val="20"/>
          <w:szCs w:val="20"/>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ure 2 |</w:t>
      </w:r>
      <w:r w:rsidRPr="00203256">
        <w:rPr>
          <w:rFonts w:ascii="Times New Roman" w:hAnsi="Times New Roman" w:cs="Times New Roman"/>
          <w:b/>
          <w:bCs/>
          <w:color w:val="000000" w:themeColor="text1"/>
          <w:sz w:val="20"/>
          <w:szCs w:val="20"/>
        </w:rPr>
        <w:t xml:space="preserve"> Yearly mean PM</w:t>
      </w:r>
      <w:r w:rsidRPr="00203256">
        <w:rPr>
          <w:rFonts w:ascii="Times New Roman" w:hAnsi="Times New Roman" w:cs="Times New Roman"/>
          <w:b/>
          <w:bCs/>
          <w:color w:val="000000" w:themeColor="text1"/>
          <w:sz w:val="20"/>
          <w:szCs w:val="20"/>
          <w:vertAlign w:val="subscript"/>
        </w:rPr>
        <w:t>2.5</w:t>
      </w:r>
      <w:r w:rsidRPr="00203256">
        <w:rPr>
          <w:rFonts w:ascii="Times New Roman" w:hAnsi="Times New Roman" w:cs="Times New Roman"/>
          <w:b/>
          <w:bCs/>
          <w:color w:val="000000" w:themeColor="text1"/>
          <w:sz w:val="20"/>
          <w:szCs w:val="20"/>
        </w:rPr>
        <w:t xml:space="preserve"> concentrations and related mortality in the contiguous U.S. in 2019 at a 9km resolution.</w:t>
      </w:r>
      <w:r w:rsidRPr="00203256">
        <w:rPr>
          <w:rFonts w:ascii="Times New Roman" w:hAnsi="Times New Roman" w:cs="Times New Roman"/>
          <w:color w:val="000000" w:themeColor="text1"/>
          <w:sz w:val="20"/>
          <w:szCs w:val="20"/>
        </w:rPr>
        <w:t xml:space="preserve"> Panel (</w:t>
      </w:r>
      <w:r>
        <w:rPr>
          <w:rFonts w:ascii="Times New Roman" w:hAnsi="Times New Roman" w:cs="Times New Roman"/>
          <w:b/>
          <w:bCs/>
          <w:color w:val="000000" w:themeColor="text1"/>
          <w:sz w:val="20"/>
          <w:szCs w:val="20"/>
        </w:rPr>
        <w:t>a</w:t>
      </w:r>
      <w:r w:rsidRPr="00203256">
        <w:rPr>
          <w:rFonts w:ascii="Times New Roman" w:hAnsi="Times New Roman" w:cs="Times New Roman"/>
          <w:color w:val="000000" w:themeColor="text1"/>
          <w:sz w:val="20"/>
          <w:szCs w:val="20"/>
        </w:rPr>
        <w:t>) shows total PM</w:t>
      </w:r>
      <w:r w:rsidRPr="00203256">
        <w:rPr>
          <w:rFonts w:ascii="Times New Roman" w:hAnsi="Times New Roman" w:cs="Times New Roman"/>
          <w:color w:val="000000" w:themeColor="text1"/>
          <w:sz w:val="20"/>
          <w:szCs w:val="20"/>
          <w:vertAlign w:val="subscript"/>
        </w:rPr>
        <w:t>2.5</w:t>
      </w:r>
      <w:r w:rsidRPr="00203256">
        <w:rPr>
          <w:rFonts w:ascii="Times New Roman" w:hAnsi="Times New Roman" w:cs="Times New Roman"/>
          <w:color w:val="000000" w:themeColor="text1"/>
          <w:sz w:val="20"/>
          <w:szCs w:val="20"/>
        </w:rPr>
        <w:t xml:space="preserve"> concentrations in 2019 in µg/m</w:t>
      </w:r>
      <w:r w:rsidRPr="00203256">
        <w:rPr>
          <w:rFonts w:ascii="Times New Roman" w:hAnsi="Times New Roman" w:cs="Times New Roman"/>
          <w:color w:val="000000" w:themeColor="text1"/>
          <w:sz w:val="20"/>
          <w:szCs w:val="20"/>
          <w:vertAlign w:val="superscript"/>
        </w:rPr>
        <w:t>3</w:t>
      </w:r>
      <w:r w:rsidRPr="00203256">
        <w:rPr>
          <w:rFonts w:ascii="Times New Roman" w:hAnsi="Times New Roman" w:cs="Times New Roman"/>
          <w:color w:val="000000" w:themeColor="text1"/>
          <w:sz w:val="20"/>
          <w:szCs w:val="20"/>
        </w:rPr>
        <w:t xml:space="preserve"> at a 9km resolution for the contiguous U.S. The population weighted PM</w:t>
      </w:r>
      <w:r w:rsidRPr="00203256">
        <w:rPr>
          <w:rFonts w:ascii="Times New Roman" w:hAnsi="Times New Roman" w:cs="Times New Roman"/>
          <w:color w:val="000000" w:themeColor="text1"/>
          <w:sz w:val="20"/>
          <w:szCs w:val="20"/>
          <w:vertAlign w:val="subscript"/>
        </w:rPr>
        <w:t>2.5</w:t>
      </w:r>
      <w:r w:rsidRPr="00203256">
        <w:rPr>
          <w:rFonts w:ascii="Times New Roman" w:hAnsi="Times New Roman" w:cs="Times New Roman"/>
          <w:color w:val="000000" w:themeColor="text1"/>
          <w:sz w:val="20"/>
          <w:szCs w:val="20"/>
        </w:rPr>
        <w:t xml:space="preserve"> yearly mean concentration is 7.51 µg/m</w:t>
      </w:r>
      <w:r w:rsidRPr="00203256">
        <w:rPr>
          <w:rFonts w:ascii="Times New Roman" w:hAnsi="Times New Roman" w:cs="Times New Roman"/>
          <w:color w:val="000000" w:themeColor="text1"/>
          <w:sz w:val="20"/>
          <w:szCs w:val="20"/>
          <w:vertAlign w:val="superscript"/>
        </w:rPr>
        <w:t>3</w:t>
      </w:r>
      <w:r w:rsidRPr="00203256">
        <w:rPr>
          <w:rFonts w:ascii="Times New Roman" w:hAnsi="Times New Roman" w:cs="Times New Roman"/>
          <w:color w:val="000000" w:themeColor="text1"/>
          <w:sz w:val="20"/>
          <w:szCs w:val="20"/>
        </w:rPr>
        <w:t>. Panel (</w:t>
      </w:r>
      <w:r>
        <w:rPr>
          <w:rFonts w:ascii="Times New Roman" w:hAnsi="Times New Roman" w:cs="Times New Roman"/>
          <w:b/>
          <w:bCs/>
          <w:color w:val="000000" w:themeColor="text1"/>
          <w:sz w:val="20"/>
          <w:szCs w:val="20"/>
        </w:rPr>
        <w:t>b</w:t>
      </w:r>
      <w:r w:rsidRPr="00203256">
        <w:rPr>
          <w:rFonts w:ascii="Times New Roman" w:hAnsi="Times New Roman" w:cs="Times New Roman"/>
          <w:color w:val="000000" w:themeColor="text1"/>
          <w:sz w:val="20"/>
          <w:szCs w:val="20"/>
        </w:rPr>
        <w:t>) shows the PM</w:t>
      </w:r>
      <w:r w:rsidRPr="00203256">
        <w:rPr>
          <w:rFonts w:ascii="Times New Roman" w:hAnsi="Times New Roman" w:cs="Times New Roman"/>
          <w:color w:val="000000" w:themeColor="text1"/>
          <w:sz w:val="20"/>
          <w:szCs w:val="20"/>
          <w:vertAlign w:val="subscript"/>
        </w:rPr>
        <w:t>2.5</w:t>
      </w:r>
      <w:r w:rsidRPr="00203256">
        <w:rPr>
          <w:rFonts w:ascii="Times New Roman" w:hAnsi="Times New Roman" w:cs="Times New Roman"/>
          <w:color w:val="000000" w:themeColor="text1"/>
          <w:sz w:val="20"/>
          <w:szCs w:val="20"/>
        </w:rPr>
        <w:t>-related mortality in 2019 at the same resolution in deaths per million people. The mean estimate for mortality in 2019 is 207,084 (95% confidence interval 150,106–260,650).</w:t>
      </w:r>
    </w:p>
    <w:p w14:paraId="2148FE90" w14:textId="58F3B0FC" w:rsidR="00DC475B" w:rsidRDefault="00DC475B">
      <w:pPr>
        <w:rPr>
          <w:rFonts w:ascii="Times New Roman" w:hAnsi="Times New Roman" w:cs="Times New Roman"/>
          <w:sz w:val="22"/>
          <w:szCs w:val="22"/>
        </w:rPr>
      </w:pPr>
    </w:p>
    <w:p w14:paraId="664D1991" w14:textId="1337723D" w:rsidR="00E31EF0" w:rsidRPr="00203256" w:rsidRDefault="00DC475B" w:rsidP="00B505C8">
      <w:pPr>
        <w:rPr>
          <w:rFonts w:ascii="Times New Roman" w:hAnsi="Times New Roman" w:cs="Times New Roman"/>
          <w:color w:val="000000" w:themeColor="text1"/>
        </w:rPr>
      </w:pPr>
      <w:r>
        <w:rPr>
          <w:rFonts w:ascii="Times New Roman" w:hAnsi="Times New Roman" w:cs="Times New Roman"/>
          <w:sz w:val="22"/>
          <w:szCs w:val="22"/>
        </w:rPr>
        <w:br w:type="page"/>
      </w:r>
    </w:p>
    <w:p w14:paraId="007D3DE9" w14:textId="164C26BD" w:rsidR="00E31EF0" w:rsidRPr="00203256" w:rsidRDefault="000064A0" w:rsidP="00E31EF0">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79C82C88" wp14:editId="3A38F77D">
            <wp:extent cx="5486400" cy="4775200"/>
            <wp:effectExtent l="0" t="0" r="0" b="0"/>
            <wp:docPr id="1148761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61606" name="Picture 11487616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4775200"/>
                    </a:xfrm>
                    <a:prstGeom prst="rect">
                      <a:avLst/>
                    </a:prstGeom>
                  </pic:spPr>
                </pic:pic>
              </a:graphicData>
            </a:graphic>
          </wp:inline>
        </w:drawing>
      </w:r>
    </w:p>
    <w:p w14:paraId="5FBCBFDA" w14:textId="0037DBB5" w:rsidR="00E31EF0" w:rsidRPr="00203256" w:rsidRDefault="00B505C8" w:rsidP="00E31EF0">
      <w:pPr>
        <w:spacing w:after="120"/>
        <w:jc w:val="both"/>
        <w:rPr>
          <w:rFonts w:ascii="Times New Roman" w:hAnsi="Times New Roman" w:cs="Times New Roman"/>
          <w:color w:val="000000" w:themeColor="text1"/>
          <w:sz w:val="20"/>
          <w:szCs w:val="20"/>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ure 3</w:t>
      </w:r>
      <w:r w:rsidR="000064A0">
        <w:rPr>
          <w:rFonts w:ascii="Times New Roman" w:hAnsi="Times New Roman" w:cs="Times New Roman"/>
          <w:b/>
          <w:bCs/>
          <w:color w:val="000000" w:themeColor="text1"/>
          <w:sz w:val="20"/>
          <w:szCs w:val="20"/>
        </w:rPr>
        <w:t xml:space="preserve"> |</w:t>
      </w:r>
      <w:r w:rsidR="00E31EF0" w:rsidRPr="00203256">
        <w:rPr>
          <w:rFonts w:ascii="Times New Roman" w:hAnsi="Times New Roman" w:cs="Times New Roman"/>
          <w:b/>
          <w:bCs/>
          <w:color w:val="000000" w:themeColor="text1"/>
          <w:sz w:val="20"/>
          <w:szCs w:val="20"/>
        </w:rPr>
        <w:t xml:space="preserve"> Yearly mean PM</w:t>
      </w:r>
      <w:r w:rsidR="00E31EF0" w:rsidRPr="00203256">
        <w:rPr>
          <w:rFonts w:ascii="Times New Roman" w:hAnsi="Times New Roman" w:cs="Times New Roman"/>
          <w:b/>
          <w:bCs/>
          <w:color w:val="000000" w:themeColor="text1"/>
          <w:sz w:val="20"/>
          <w:szCs w:val="20"/>
          <w:vertAlign w:val="subscript"/>
        </w:rPr>
        <w:t>2.5</w:t>
      </w:r>
      <w:r w:rsidR="00E31EF0" w:rsidRPr="00203256">
        <w:rPr>
          <w:rFonts w:ascii="Times New Roman" w:hAnsi="Times New Roman" w:cs="Times New Roman"/>
          <w:b/>
          <w:bCs/>
          <w:color w:val="000000" w:themeColor="text1"/>
          <w:sz w:val="20"/>
          <w:szCs w:val="20"/>
        </w:rPr>
        <w:t xml:space="preserve"> concentrations and related mortality in the contiguous U.S. in 2050 between scenarios at a 9km resolution.</w:t>
      </w:r>
      <w:r w:rsidR="00E31EF0" w:rsidRPr="00203256">
        <w:rPr>
          <w:rFonts w:ascii="Times New Roman" w:hAnsi="Times New Roman" w:cs="Times New Roman"/>
          <w:color w:val="000000" w:themeColor="text1"/>
          <w:sz w:val="20"/>
          <w:szCs w:val="20"/>
        </w:rPr>
        <w:t xml:space="preserve"> Panels (</w:t>
      </w:r>
      <w:r w:rsidR="000064A0">
        <w:rPr>
          <w:rFonts w:ascii="Times New Roman" w:hAnsi="Times New Roman" w:cs="Times New Roman"/>
          <w:b/>
          <w:bCs/>
          <w:color w:val="000000" w:themeColor="text1"/>
          <w:sz w:val="20"/>
          <w:szCs w:val="20"/>
        </w:rPr>
        <w:t>a</w:t>
      </w:r>
      <w:r w:rsidR="00E31EF0" w:rsidRPr="00203256">
        <w:rPr>
          <w:rFonts w:ascii="Times New Roman" w:hAnsi="Times New Roman" w:cs="Times New Roman"/>
          <w:b/>
          <w:bCs/>
          <w:color w:val="000000" w:themeColor="text1"/>
          <w:sz w:val="20"/>
          <w:szCs w:val="20"/>
        </w:rPr>
        <w:t xml:space="preserve"> </w:t>
      </w:r>
      <w:r w:rsidR="00E31EF0" w:rsidRPr="00203256">
        <w:rPr>
          <w:rFonts w:ascii="Times New Roman" w:hAnsi="Times New Roman" w:cs="Times New Roman"/>
          <w:color w:val="000000" w:themeColor="text1"/>
          <w:sz w:val="20"/>
          <w:szCs w:val="20"/>
        </w:rPr>
        <w:t xml:space="preserve">and </w:t>
      </w:r>
      <w:r w:rsidR="000064A0">
        <w:rPr>
          <w:rFonts w:ascii="Times New Roman" w:hAnsi="Times New Roman" w:cs="Times New Roman"/>
          <w:b/>
          <w:bCs/>
          <w:color w:val="000000" w:themeColor="text1"/>
          <w:sz w:val="20"/>
          <w:szCs w:val="20"/>
        </w:rPr>
        <w:t>b</w:t>
      </w:r>
      <w:r w:rsidR="00E31EF0" w:rsidRPr="00203256">
        <w:rPr>
          <w:rFonts w:ascii="Times New Roman" w:hAnsi="Times New Roman" w:cs="Times New Roman"/>
          <w:color w:val="000000" w:themeColor="text1"/>
          <w:sz w:val="20"/>
          <w:szCs w:val="20"/>
        </w:rPr>
        <w:t>) show the difference between the high- and low-CDR scenarios in yearly mean population weighted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concentrations in 2050 in µg/m</w:t>
      </w:r>
      <w:r w:rsidR="00E31EF0" w:rsidRPr="00203256">
        <w:rPr>
          <w:rFonts w:ascii="Times New Roman" w:hAnsi="Times New Roman" w:cs="Times New Roman"/>
          <w:color w:val="000000" w:themeColor="text1"/>
          <w:sz w:val="20"/>
          <w:szCs w:val="20"/>
          <w:vertAlign w:val="superscript"/>
        </w:rPr>
        <w:t>3</w:t>
      </w:r>
      <w:r w:rsidR="00E31EF0" w:rsidRPr="00203256">
        <w:rPr>
          <w:rFonts w:ascii="Times New Roman" w:hAnsi="Times New Roman" w:cs="Times New Roman"/>
          <w:color w:val="000000" w:themeColor="text1"/>
          <w:sz w:val="20"/>
          <w:szCs w:val="20"/>
        </w:rPr>
        <w:t xml:space="preserve"> at a 9km resolution for the contiguous U.S. and its related mortality. The difference in population weighted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yearly mean concentration is 1.17 µg/m</w:t>
      </w:r>
      <w:r w:rsidR="00E31EF0" w:rsidRPr="00203256">
        <w:rPr>
          <w:rFonts w:ascii="Times New Roman" w:hAnsi="Times New Roman" w:cs="Times New Roman"/>
          <w:color w:val="000000" w:themeColor="text1"/>
          <w:sz w:val="20"/>
          <w:szCs w:val="20"/>
          <w:vertAlign w:val="superscript"/>
        </w:rPr>
        <w:t>3</w:t>
      </w:r>
      <w:r w:rsidR="00E31EF0" w:rsidRPr="00203256">
        <w:rPr>
          <w:rFonts w:ascii="Times New Roman" w:hAnsi="Times New Roman" w:cs="Times New Roman"/>
          <w:color w:val="000000" w:themeColor="text1"/>
          <w:sz w:val="20"/>
          <w:szCs w:val="20"/>
        </w:rPr>
        <w:t xml:space="preserve"> and the difference in mortality is 33,328 (95% CI 23,909–42,368). Panels (</w:t>
      </w:r>
      <w:r w:rsidR="000064A0">
        <w:rPr>
          <w:rFonts w:ascii="Times New Roman" w:hAnsi="Times New Roman" w:cs="Times New Roman"/>
          <w:b/>
          <w:bCs/>
          <w:color w:val="000000" w:themeColor="text1"/>
          <w:sz w:val="20"/>
          <w:szCs w:val="20"/>
        </w:rPr>
        <w:t>c</w:t>
      </w:r>
      <w:r w:rsidR="00E31EF0" w:rsidRPr="00203256">
        <w:rPr>
          <w:rFonts w:ascii="Times New Roman" w:hAnsi="Times New Roman" w:cs="Times New Roman"/>
          <w:b/>
          <w:bCs/>
          <w:color w:val="000000" w:themeColor="text1"/>
          <w:sz w:val="20"/>
          <w:szCs w:val="20"/>
        </w:rPr>
        <w:t xml:space="preserve"> </w:t>
      </w:r>
      <w:r w:rsidR="00E31EF0" w:rsidRPr="00203256">
        <w:rPr>
          <w:rFonts w:ascii="Times New Roman" w:hAnsi="Times New Roman" w:cs="Times New Roman"/>
          <w:color w:val="000000" w:themeColor="text1"/>
          <w:sz w:val="20"/>
          <w:szCs w:val="20"/>
        </w:rPr>
        <w:t xml:space="preserve">and </w:t>
      </w:r>
      <w:r w:rsidR="000064A0">
        <w:rPr>
          <w:rFonts w:ascii="Times New Roman" w:hAnsi="Times New Roman" w:cs="Times New Roman"/>
          <w:b/>
          <w:bCs/>
          <w:color w:val="000000" w:themeColor="text1"/>
          <w:sz w:val="20"/>
          <w:szCs w:val="20"/>
        </w:rPr>
        <w:t>d</w:t>
      </w:r>
      <w:r w:rsidR="00E31EF0" w:rsidRPr="00203256">
        <w:rPr>
          <w:rFonts w:ascii="Times New Roman" w:hAnsi="Times New Roman" w:cs="Times New Roman"/>
          <w:color w:val="000000" w:themeColor="text1"/>
          <w:sz w:val="20"/>
          <w:szCs w:val="20"/>
        </w:rPr>
        <w:t>) show the difference between reference and the high-CDR scenarios, with a difference in population weighted yearly mean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concentrations in 2050 of 1.66 µg/m</w:t>
      </w:r>
      <w:r w:rsidR="00E31EF0" w:rsidRPr="00203256">
        <w:rPr>
          <w:rFonts w:ascii="Times New Roman" w:hAnsi="Times New Roman" w:cs="Times New Roman"/>
          <w:color w:val="000000" w:themeColor="text1"/>
          <w:sz w:val="20"/>
          <w:szCs w:val="20"/>
          <w:vertAlign w:val="superscript"/>
        </w:rPr>
        <w:t xml:space="preserve">3 </w:t>
      </w:r>
      <w:r w:rsidR="00E31EF0" w:rsidRPr="00203256">
        <w:rPr>
          <w:rFonts w:ascii="Times New Roman" w:hAnsi="Times New Roman" w:cs="Times New Roman"/>
          <w:color w:val="000000" w:themeColor="text1"/>
          <w:sz w:val="20"/>
          <w:szCs w:val="20"/>
        </w:rPr>
        <w:t>and a difference in deaths of 47,301 (95% CI 33,961–60,083). Panels (</w:t>
      </w:r>
      <w:r w:rsidR="000064A0">
        <w:rPr>
          <w:rFonts w:ascii="Times New Roman" w:hAnsi="Times New Roman" w:cs="Times New Roman"/>
          <w:b/>
          <w:bCs/>
          <w:color w:val="000000" w:themeColor="text1"/>
          <w:sz w:val="20"/>
          <w:szCs w:val="20"/>
        </w:rPr>
        <w:t>e</w:t>
      </w:r>
      <w:r w:rsidR="00E31EF0" w:rsidRPr="00203256">
        <w:rPr>
          <w:rFonts w:ascii="Times New Roman" w:hAnsi="Times New Roman" w:cs="Times New Roman"/>
          <w:color w:val="000000" w:themeColor="text1"/>
          <w:sz w:val="20"/>
          <w:szCs w:val="20"/>
        </w:rPr>
        <w:t xml:space="preserve"> and</w:t>
      </w:r>
      <w:r w:rsidR="00E31EF0" w:rsidRPr="00203256">
        <w:rPr>
          <w:rFonts w:ascii="Times New Roman" w:hAnsi="Times New Roman" w:cs="Times New Roman"/>
          <w:b/>
          <w:bCs/>
          <w:color w:val="000000" w:themeColor="text1"/>
          <w:sz w:val="20"/>
          <w:szCs w:val="20"/>
        </w:rPr>
        <w:t xml:space="preserve"> </w:t>
      </w:r>
      <w:r w:rsidR="00856A5B">
        <w:rPr>
          <w:rFonts w:ascii="Times New Roman" w:hAnsi="Times New Roman" w:cs="Times New Roman"/>
          <w:b/>
          <w:bCs/>
          <w:color w:val="000000" w:themeColor="text1"/>
          <w:sz w:val="20"/>
          <w:szCs w:val="20"/>
        </w:rPr>
        <w:t>f</w:t>
      </w:r>
      <w:r w:rsidR="00E31EF0" w:rsidRPr="00203256">
        <w:rPr>
          <w:rFonts w:ascii="Times New Roman" w:hAnsi="Times New Roman" w:cs="Times New Roman"/>
          <w:color w:val="000000" w:themeColor="text1"/>
          <w:sz w:val="20"/>
          <w:szCs w:val="20"/>
        </w:rPr>
        <w:t>) show the difference between reference and low-CDR scenarios with a difference in population weighted yearly mean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concentrations in 2050 of 2.82 µg/m</w:t>
      </w:r>
      <w:r w:rsidR="00E31EF0" w:rsidRPr="00203256">
        <w:rPr>
          <w:rFonts w:ascii="Times New Roman" w:hAnsi="Times New Roman" w:cs="Times New Roman"/>
          <w:color w:val="000000" w:themeColor="text1"/>
          <w:sz w:val="20"/>
          <w:szCs w:val="20"/>
          <w:vertAlign w:val="superscript"/>
        </w:rPr>
        <w:t xml:space="preserve">3 </w:t>
      </w:r>
      <w:r w:rsidR="00E31EF0" w:rsidRPr="00203256">
        <w:rPr>
          <w:rFonts w:ascii="Times New Roman" w:hAnsi="Times New Roman" w:cs="Times New Roman"/>
          <w:color w:val="000000" w:themeColor="text1"/>
          <w:sz w:val="20"/>
          <w:szCs w:val="20"/>
        </w:rPr>
        <w:t>and a difference in deaths of 79,982 (95% CI 57,536–101,406).</w:t>
      </w:r>
    </w:p>
    <w:p w14:paraId="6718EE7A" w14:textId="77777777" w:rsidR="00E31EF0" w:rsidRDefault="00E31EF0" w:rsidP="00E31EF0">
      <w:pPr>
        <w:spacing w:after="120"/>
        <w:rPr>
          <w:rFonts w:ascii="Times New Roman" w:hAnsi="Times New Roman" w:cs="Times New Roman"/>
          <w:color w:val="000000" w:themeColor="text1"/>
        </w:rPr>
      </w:pPr>
    </w:p>
    <w:p w14:paraId="60E9FB12" w14:textId="77777777" w:rsidR="0087491E" w:rsidRDefault="0087491E" w:rsidP="00E31EF0">
      <w:pPr>
        <w:spacing w:after="120"/>
        <w:rPr>
          <w:rFonts w:ascii="Times New Roman" w:hAnsi="Times New Roman" w:cs="Times New Roman"/>
          <w:color w:val="000000" w:themeColor="text1"/>
        </w:rPr>
      </w:pPr>
    </w:p>
    <w:p w14:paraId="5E25F504" w14:textId="77777777" w:rsidR="0087491E" w:rsidRDefault="0087491E" w:rsidP="00E31EF0">
      <w:pPr>
        <w:spacing w:after="120"/>
        <w:rPr>
          <w:rFonts w:ascii="Times New Roman" w:hAnsi="Times New Roman" w:cs="Times New Roman"/>
          <w:color w:val="000000" w:themeColor="text1"/>
        </w:rPr>
      </w:pPr>
    </w:p>
    <w:p w14:paraId="6149A5CD" w14:textId="17707223" w:rsidR="00E31EF0" w:rsidRPr="007F2DA5" w:rsidRDefault="0087491E" w:rsidP="007F2DA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6A92BF" w14:textId="4469CB88" w:rsidR="00E31EF0" w:rsidRPr="00203256" w:rsidRDefault="00856A5B" w:rsidP="00E31EF0">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29B206AF" wp14:editId="5A540F85">
            <wp:extent cx="5486400" cy="5815965"/>
            <wp:effectExtent l="0" t="0" r="0" b="635"/>
            <wp:docPr id="12735068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06863" name="Picture 12735068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5815965"/>
                    </a:xfrm>
                    <a:prstGeom prst="rect">
                      <a:avLst/>
                    </a:prstGeom>
                  </pic:spPr>
                </pic:pic>
              </a:graphicData>
            </a:graphic>
          </wp:inline>
        </w:drawing>
      </w:r>
    </w:p>
    <w:p w14:paraId="508C8B18" w14:textId="139BD2B9" w:rsidR="00E31EF0" w:rsidRPr="00203256" w:rsidRDefault="0087491E" w:rsidP="00E31EF0">
      <w:pPr>
        <w:spacing w:after="120"/>
        <w:jc w:val="both"/>
        <w:rPr>
          <w:rFonts w:ascii="Times New Roman" w:hAnsi="Times New Roman" w:cs="Times New Roman"/>
          <w:color w:val="000000" w:themeColor="text1"/>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 xml:space="preserve">ure 4 </w:t>
      </w:r>
      <w:r w:rsidR="00856A5B">
        <w:rPr>
          <w:rFonts w:ascii="Times New Roman" w:hAnsi="Times New Roman" w:cs="Times New Roman"/>
          <w:b/>
          <w:bCs/>
          <w:color w:val="000000" w:themeColor="text1"/>
          <w:sz w:val="20"/>
          <w:szCs w:val="20"/>
        </w:rPr>
        <w:t>|</w:t>
      </w:r>
      <w:r w:rsidR="00E31EF0" w:rsidRPr="00203256">
        <w:rPr>
          <w:rFonts w:ascii="Times New Roman" w:hAnsi="Times New Roman" w:cs="Times New Roman"/>
          <w:b/>
          <w:bCs/>
          <w:color w:val="000000" w:themeColor="text1"/>
          <w:sz w:val="20"/>
          <w:szCs w:val="20"/>
        </w:rPr>
        <w:t xml:space="preserve"> 2019 yearly mean PM</w:t>
      </w:r>
      <w:r w:rsidR="00E31EF0" w:rsidRPr="00203256">
        <w:rPr>
          <w:rFonts w:ascii="Times New Roman" w:hAnsi="Times New Roman" w:cs="Times New Roman"/>
          <w:b/>
          <w:bCs/>
          <w:color w:val="000000" w:themeColor="text1"/>
          <w:sz w:val="20"/>
          <w:szCs w:val="20"/>
          <w:vertAlign w:val="subscript"/>
        </w:rPr>
        <w:t>2.5</w:t>
      </w:r>
      <w:r w:rsidR="00E31EF0" w:rsidRPr="00203256">
        <w:rPr>
          <w:rFonts w:ascii="Times New Roman" w:hAnsi="Times New Roman" w:cs="Times New Roman"/>
          <w:b/>
          <w:bCs/>
          <w:color w:val="000000" w:themeColor="text1"/>
          <w:sz w:val="20"/>
          <w:szCs w:val="20"/>
        </w:rPr>
        <w:t xml:space="preserve"> concentrations in µg/m</w:t>
      </w:r>
      <w:r w:rsidR="00E31EF0" w:rsidRPr="00203256">
        <w:rPr>
          <w:rFonts w:ascii="Times New Roman" w:hAnsi="Times New Roman" w:cs="Times New Roman"/>
          <w:b/>
          <w:bCs/>
          <w:color w:val="000000" w:themeColor="text1"/>
          <w:sz w:val="20"/>
          <w:szCs w:val="20"/>
          <w:vertAlign w:val="superscript"/>
        </w:rPr>
        <w:t>3</w:t>
      </w:r>
      <w:r w:rsidR="00E31EF0" w:rsidRPr="00203256">
        <w:rPr>
          <w:rFonts w:ascii="Times New Roman" w:hAnsi="Times New Roman" w:cs="Times New Roman"/>
          <w:b/>
          <w:bCs/>
          <w:color w:val="000000" w:themeColor="text1"/>
          <w:sz w:val="20"/>
          <w:szCs w:val="20"/>
        </w:rPr>
        <w:t xml:space="preserve"> for the 15 most populated metropolitan statistical areas in the U.S. at a 1km resolution. </w:t>
      </w:r>
      <w:r w:rsidR="00E31EF0" w:rsidRPr="00203256">
        <w:rPr>
          <w:rFonts w:ascii="Times New Roman" w:hAnsi="Times New Roman" w:cs="Times New Roman"/>
          <w:color w:val="000000" w:themeColor="text1"/>
          <w:sz w:val="20"/>
          <w:szCs w:val="20"/>
        </w:rPr>
        <w:t>Each panel represents one of the cities, ordered from highest to lowest mortality rates (deaths per million people) consistent with Figure 3. Values in the bottom right corner of each panel represent the population-weighted yearly mean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 in that city in 2019. Stars represent city hall for reference (and the White House in the case of D.C.).</w:t>
      </w:r>
    </w:p>
    <w:p w14:paraId="3AC0EC2A" w14:textId="77777777" w:rsidR="00E31EF0" w:rsidRPr="00203256" w:rsidRDefault="00E31EF0" w:rsidP="00E31EF0">
      <w:pPr>
        <w:spacing w:after="120"/>
        <w:rPr>
          <w:rFonts w:ascii="Times New Roman" w:hAnsi="Times New Roman" w:cs="Times New Roman"/>
          <w:color w:val="000000" w:themeColor="text1"/>
        </w:rPr>
      </w:pPr>
    </w:p>
    <w:p w14:paraId="1630D5EF" w14:textId="77777777" w:rsidR="00E31EF0" w:rsidRPr="00203256" w:rsidRDefault="00E31EF0" w:rsidP="00E31EF0">
      <w:pPr>
        <w:spacing w:after="120"/>
        <w:rPr>
          <w:rFonts w:ascii="Times New Roman" w:hAnsi="Times New Roman" w:cs="Times New Roman"/>
          <w:color w:val="000000" w:themeColor="text1"/>
        </w:rPr>
      </w:pPr>
    </w:p>
    <w:p w14:paraId="6A8C0105" w14:textId="77777777" w:rsidR="00E31EF0" w:rsidRPr="00203256" w:rsidRDefault="00E31EF0" w:rsidP="00E31EF0">
      <w:pPr>
        <w:spacing w:after="120"/>
        <w:rPr>
          <w:rFonts w:ascii="Times New Roman" w:hAnsi="Times New Roman" w:cs="Times New Roman"/>
          <w:color w:val="000000" w:themeColor="text1"/>
        </w:rPr>
      </w:pPr>
    </w:p>
    <w:p w14:paraId="18101CCC" w14:textId="77777777" w:rsidR="00E31EF0" w:rsidRPr="00203256" w:rsidRDefault="00E31EF0" w:rsidP="00E31EF0">
      <w:pPr>
        <w:spacing w:after="120"/>
        <w:rPr>
          <w:rFonts w:ascii="Times New Roman" w:hAnsi="Times New Roman" w:cs="Times New Roman"/>
          <w:color w:val="000000" w:themeColor="text1"/>
        </w:rPr>
      </w:pPr>
    </w:p>
    <w:p w14:paraId="3D2D7AE0" w14:textId="77777777" w:rsidR="00E31EF0" w:rsidRPr="00203256" w:rsidRDefault="00E31EF0" w:rsidP="00E31EF0">
      <w:pPr>
        <w:spacing w:after="120"/>
        <w:rPr>
          <w:rFonts w:ascii="Times New Roman" w:hAnsi="Times New Roman" w:cs="Times New Roman"/>
          <w:color w:val="000000" w:themeColor="text1"/>
        </w:rPr>
      </w:pPr>
    </w:p>
    <w:p w14:paraId="5572FC79" w14:textId="020F955A" w:rsidR="00856A5B" w:rsidRPr="00203256" w:rsidRDefault="00856A5B" w:rsidP="00E31EF0">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7F2E1FB9" wp14:editId="2B2C3759">
            <wp:extent cx="5486400" cy="5815965"/>
            <wp:effectExtent l="0" t="0" r="0" b="635"/>
            <wp:docPr id="10606474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47456" name="Picture 10606474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815965"/>
                    </a:xfrm>
                    <a:prstGeom prst="rect">
                      <a:avLst/>
                    </a:prstGeom>
                  </pic:spPr>
                </pic:pic>
              </a:graphicData>
            </a:graphic>
          </wp:inline>
        </w:drawing>
      </w:r>
    </w:p>
    <w:p w14:paraId="0263C418" w14:textId="7529506D" w:rsidR="00E31EF0" w:rsidRPr="00203256" w:rsidRDefault="0087491E" w:rsidP="00E31EF0">
      <w:pPr>
        <w:spacing w:after="120"/>
        <w:jc w:val="both"/>
        <w:rPr>
          <w:rFonts w:ascii="Times New Roman" w:hAnsi="Times New Roman" w:cs="Times New Roman"/>
          <w:color w:val="000000" w:themeColor="text1"/>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 xml:space="preserve">ure 5 </w:t>
      </w:r>
      <w:r w:rsidR="00856A5B">
        <w:rPr>
          <w:rFonts w:ascii="Times New Roman" w:hAnsi="Times New Roman" w:cs="Times New Roman"/>
          <w:b/>
          <w:bCs/>
          <w:color w:val="000000" w:themeColor="text1"/>
          <w:sz w:val="20"/>
          <w:szCs w:val="20"/>
        </w:rPr>
        <w:t>|</w:t>
      </w:r>
      <w:r w:rsidR="00E31EF0" w:rsidRPr="00203256">
        <w:rPr>
          <w:rFonts w:ascii="Times New Roman" w:hAnsi="Times New Roman" w:cs="Times New Roman"/>
          <w:b/>
          <w:bCs/>
          <w:color w:val="000000" w:themeColor="text1"/>
          <w:sz w:val="20"/>
          <w:szCs w:val="20"/>
        </w:rPr>
        <w:t xml:space="preserve"> 2050 high-CDR scenario yearly mean PM</w:t>
      </w:r>
      <w:r w:rsidR="00E31EF0" w:rsidRPr="00203256">
        <w:rPr>
          <w:rFonts w:ascii="Times New Roman" w:hAnsi="Times New Roman" w:cs="Times New Roman"/>
          <w:b/>
          <w:bCs/>
          <w:color w:val="000000" w:themeColor="text1"/>
          <w:sz w:val="20"/>
          <w:szCs w:val="20"/>
          <w:vertAlign w:val="subscript"/>
        </w:rPr>
        <w:t>2.5</w:t>
      </w:r>
      <w:r w:rsidR="00E31EF0" w:rsidRPr="00203256">
        <w:rPr>
          <w:rFonts w:ascii="Times New Roman" w:hAnsi="Times New Roman" w:cs="Times New Roman"/>
          <w:b/>
          <w:bCs/>
          <w:color w:val="000000" w:themeColor="text1"/>
          <w:sz w:val="20"/>
          <w:szCs w:val="20"/>
        </w:rPr>
        <w:t xml:space="preserve"> concentrations in µg/m</w:t>
      </w:r>
      <w:r w:rsidR="00E31EF0" w:rsidRPr="00203256">
        <w:rPr>
          <w:rFonts w:ascii="Times New Roman" w:hAnsi="Times New Roman" w:cs="Times New Roman"/>
          <w:b/>
          <w:bCs/>
          <w:color w:val="000000" w:themeColor="text1"/>
          <w:sz w:val="20"/>
          <w:szCs w:val="20"/>
          <w:vertAlign w:val="superscript"/>
        </w:rPr>
        <w:t>3</w:t>
      </w:r>
      <w:r w:rsidR="00E31EF0" w:rsidRPr="00203256">
        <w:rPr>
          <w:rFonts w:ascii="Times New Roman" w:hAnsi="Times New Roman" w:cs="Times New Roman"/>
          <w:b/>
          <w:bCs/>
          <w:color w:val="000000" w:themeColor="text1"/>
          <w:sz w:val="20"/>
          <w:szCs w:val="20"/>
        </w:rPr>
        <w:t xml:space="preserve"> for the 15 most populated metropolitan statistical areas in the U.S. at a 1km resolution. </w:t>
      </w:r>
      <w:r w:rsidR="00E31EF0" w:rsidRPr="00203256">
        <w:rPr>
          <w:rFonts w:ascii="Times New Roman" w:hAnsi="Times New Roman" w:cs="Times New Roman"/>
          <w:color w:val="000000" w:themeColor="text1"/>
          <w:sz w:val="20"/>
          <w:szCs w:val="20"/>
        </w:rPr>
        <w:t>Each panel represents one of the cities, ordered from highest to lowest mortality rates (deaths per million people) consistent with Figure 3. Values in the bottom right corner of each panel represent the population-weighted yearly mean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 in that city in 2050 for the high-CDR scenario. Stars represent city hall for reference (and the White House in the case of D.C.).</w:t>
      </w:r>
    </w:p>
    <w:p w14:paraId="48667CAC" w14:textId="77777777" w:rsidR="00E31EF0" w:rsidRPr="00203256" w:rsidRDefault="00E31EF0" w:rsidP="00E31EF0">
      <w:pPr>
        <w:spacing w:after="120"/>
        <w:rPr>
          <w:rFonts w:ascii="Times New Roman" w:hAnsi="Times New Roman" w:cs="Times New Roman"/>
          <w:color w:val="000000" w:themeColor="text1"/>
        </w:rPr>
      </w:pPr>
    </w:p>
    <w:p w14:paraId="1EC9B5EB" w14:textId="77777777" w:rsidR="00E31EF0" w:rsidRPr="00203256" w:rsidRDefault="00E31EF0" w:rsidP="00E31EF0">
      <w:pPr>
        <w:spacing w:after="120"/>
        <w:rPr>
          <w:rFonts w:ascii="Times New Roman" w:hAnsi="Times New Roman" w:cs="Times New Roman"/>
          <w:color w:val="000000" w:themeColor="text1"/>
        </w:rPr>
      </w:pPr>
      <w:r w:rsidRPr="00203256">
        <w:rPr>
          <w:rFonts w:ascii="Times New Roman" w:hAnsi="Times New Roman" w:cs="Times New Roman"/>
          <w:color w:val="000000" w:themeColor="text1"/>
        </w:rPr>
        <w:br w:type="page"/>
      </w:r>
    </w:p>
    <w:p w14:paraId="3B54C446" w14:textId="01A479C6" w:rsidR="00E31EF0" w:rsidRPr="00203256" w:rsidRDefault="009242A1" w:rsidP="00E31EF0">
      <w:pPr>
        <w:spacing w:after="120"/>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1DE0426D" wp14:editId="40F2C564">
            <wp:extent cx="5486400" cy="5815965"/>
            <wp:effectExtent l="0" t="0" r="0" b="635"/>
            <wp:docPr id="19237685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68589" name="Picture 19237685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5815965"/>
                    </a:xfrm>
                    <a:prstGeom prst="rect">
                      <a:avLst/>
                    </a:prstGeom>
                  </pic:spPr>
                </pic:pic>
              </a:graphicData>
            </a:graphic>
          </wp:inline>
        </w:drawing>
      </w:r>
    </w:p>
    <w:p w14:paraId="3DFA8B58" w14:textId="16FDCF54" w:rsidR="00E31EF0" w:rsidRPr="00203256" w:rsidRDefault="0087491E" w:rsidP="00E31EF0">
      <w:pPr>
        <w:spacing w:after="120"/>
        <w:jc w:val="both"/>
        <w:rPr>
          <w:rFonts w:ascii="Times New Roman" w:hAnsi="Times New Roman" w:cs="Times New Roman"/>
          <w:color w:val="000000" w:themeColor="text1"/>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 xml:space="preserve">ure 6 </w:t>
      </w:r>
      <w:r w:rsidR="009242A1">
        <w:rPr>
          <w:rFonts w:ascii="Times New Roman" w:hAnsi="Times New Roman" w:cs="Times New Roman"/>
          <w:b/>
          <w:bCs/>
          <w:color w:val="000000" w:themeColor="text1"/>
          <w:sz w:val="20"/>
          <w:szCs w:val="20"/>
        </w:rPr>
        <w:t>|</w:t>
      </w:r>
      <w:r w:rsidR="00E31EF0" w:rsidRPr="00203256">
        <w:rPr>
          <w:rFonts w:ascii="Times New Roman" w:hAnsi="Times New Roman" w:cs="Times New Roman"/>
          <w:b/>
          <w:bCs/>
          <w:color w:val="000000" w:themeColor="text1"/>
          <w:sz w:val="20"/>
          <w:szCs w:val="20"/>
        </w:rPr>
        <w:t xml:space="preserve"> 2050 low-CDR scenario yearly mean PM</w:t>
      </w:r>
      <w:r w:rsidR="00E31EF0" w:rsidRPr="00203256">
        <w:rPr>
          <w:rFonts w:ascii="Times New Roman" w:hAnsi="Times New Roman" w:cs="Times New Roman"/>
          <w:b/>
          <w:bCs/>
          <w:color w:val="000000" w:themeColor="text1"/>
          <w:sz w:val="20"/>
          <w:szCs w:val="20"/>
          <w:vertAlign w:val="subscript"/>
        </w:rPr>
        <w:t>2.5</w:t>
      </w:r>
      <w:r w:rsidR="00E31EF0" w:rsidRPr="00203256">
        <w:rPr>
          <w:rFonts w:ascii="Times New Roman" w:hAnsi="Times New Roman" w:cs="Times New Roman"/>
          <w:b/>
          <w:bCs/>
          <w:color w:val="000000" w:themeColor="text1"/>
          <w:sz w:val="20"/>
          <w:szCs w:val="20"/>
        </w:rPr>
        <w:t xml:space="preserve"> concentrations in µg/m</w:t>
      </w:r>
      <w:r w:rsidR="00E31EF0" w:rsidRPr="00203256">
        <w:rPr>
          <w:rFonts w:ascii="Times New Roman" w:hAnsi="Times New Roman" w:cs="Times New Roman"/>
          <w:b/>
          <w:bCs/>
          <w:color w:val="000000" w:themeColor="text1"/>
          <w:sz w:val="20"/>
          <w:szCs w:val="20"/>
          <w:vertAlign w:val="superscript"/>
        </w:rPr>
        <w:t>3</w:t>
      </w:r>
      <w:r w:rsidR="00E31EF0" w:rsidRPr="00203256">
        <w:rPr>
          <w:rFonts w:ascii="Times New Roman" w:hAnsi="Times New Roman" w:cs="Times New Roman"/>
          <w:b/>
          <w:bCs/>
          <w:color w:val="000000" w:themeColor="text1"/>
          <w:sz w:val="20"/>
          <w:szCs w:val="20"/>
        </w:rPr>
        <w:t xml:space="preserve"> for the 15 most populated metropolitan statistical areas in the U.S. at a 1-km resolution. </w:t>
      </w:r>
      <w:r w:rsidR="00E31EF0" w:rsidRPr="00203256">
        <w:rPr>
          <w:rFonts w:ascii="Times New Roman" w:hAnsi="Times New Roman" w:cs="Times New Roman"/>
          <w:color w:val="000000" w:themeColor="text1"/>
          <w:sz w:val="20"/>
          <w:szCs w:val="20"/>
        </w:rPr>
        <w:t>Each panel represents one of the cities, ordered from highest to lowest mortality rates (deaths per million people) consistent with Figure 3. Values in the bottom right corner of each panel represent the population-weighted yearly mean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 in that city in 2050 for the low-CDR scenario. Stars represent city hall for reference (and the White House in the case of D.C.).</w:t>
      </w:r>
    </w:p>
    <w:p w14:paraId="4FC0879C" w14:textId="77777777" w:rsidR="00E31EF0" w:rsidRPr="00203256" w:rsidRDefault="00E31EF0" w:rsidP="00E31EF0">
      <w:pPr>
        <w:spacing w:after="120"/>
        <w:rPr>
          <w:rFonts w:ascii="Times New Roman" w:hAnsi="Times New Roman" w:cs="Times New Roman"/>
          <w:color w:val="000000" w:themeColor="text1"/>
        </w:rPr>
      </w:pPr>
    </w:p>
    <w:p w14:paraId="1C607224" w14:textId="2B512811" w:rsidR="00E31EF0" w:rsidRPr="00203256" w:rsidRDefault="00E31EF0" w:rsidP="00BF6C83">
      <w:pPr>
        <w:rPr>
          <w:rFonts w:ascii="Times New Roman" w:hAnsi="Times New Roman" w:cs="Times New Roman"/>
          <w:color w:val="000000" w:themeColor="text1"/>
          <w:highlight w:val="yellow"/>
        </w:rPr>
      </w:pPr>
      <w:r w:rsidRPr="00203256">
        <w:rPr>
          <w:rFonts w:ascii="Times New Roman" w:hAnsi="Times New Roman" w:cs="Times New Roman"/>
          <w:color w:val="000000" w:themeColor="text1"/>
          <w:highlight w:val="yellow"/>
        </w:rPr>
        <w:br w:type="page"/>
      </w:r>
    </w:p>
    <w:p w14:paraId="3B0791FD" w14:textId="606072D1" w:rsidR="00E31EF0" w:rsidRPr="00203256" w:rsidRDefault="00BE578E" w:rsidP="00E31EF0">
      <w:pPr>
        <w:spacing w:after="120"/>
        <w:jc w:val="center"/>
        <w:rPr>
          <w:rFonts w:ascii="Times New Roman" w:hAnsi="Times New Roman" w:cs="Times New Roman"/>
          <w:color w:val="000000" w:themeColor="text1"/>
        </w:rPr>
      </w:pPr>
      <w:r>
        <w:rPr>
          <w:rFonts w:ascii="Times New Roman" w:hAnsi="Times New Roman" w:cs="Times New Roman"/>
          <w:noProof/>
          <w:color w:val="000000" w:themeColor="text1"/>
          <w14:ligatures w14:val="standardContextual"/>
        </w:rPr>
        <w:lastRenderedPageBreak/>
        <w:drawing>
          <wp:inline distT="0" distB="0" distL="0" distR="0" wp14:anchorId="6F21A679" wp14:editId="265A7D61">
            <wp:extent cx="3029174" cy="6669741"/>
            <wp:effectExtent l="0" t="0" r="6350" b="0"/>
            <wp:docPr id="217117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17391" name="Picture 21711739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2997" cy="6700177"/>
                    </a:xfrm>
                    <a:prstGeom prst="rect">
                      <a:avLst/>
                    </a:prstGeom>
                  </pic:spPr>
                </pic:pic>
              </a:graphicData>
            </a:graphic>
          </wp:inline>
        </w:drawing>
      </w:r>
    </w:p>
    <w:p w14:paraId="2C78789E" w14:textId="7DB907A8" w:rsidR="00E31EF0" w:rsidRPr="00203256" w:rsidRDefault="00BF6C83" w:rsidP="00E31EF0">
      <w:pPr>
        <w:spacing w:after="120"/>
        <w:jc w:val="both"/>
        <w:rPr>
          <w:rFonts w:ascii="Times New Roman" w:hAnsi="Times New Roman" w:cs="Times New Roman"/>
          <w:color w:val="000000" w:themeColor="text1"/>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ure 7</w:t>
      </w:r>
      <w:r w:rsidR="00BE578E">
        <w:rPr>
          <w:rFonts w:ascii="Times New Roman" w:hAnsi="Times New Roman" w:cs="Times New Roman"/>
          <w:b/>
          <w:bCs/>
          <w:color w:val="000000" w:themeColor="text1"/>
          <w:sz w:val="20"/>
          <w:szCs w:val="20"/>
        </w:rPr>
        <w:t xml:space="preserve"> |</w:t>
      </w:r>
      <w:r w:rsidR="00E31EF0" w:rsidRPr="00203256">
        <w:rPr>
          <w:rFonts w:ascii="Times New Roman" w:hAnsi="Times New Roman" w:cs="Times New Roman"/>
          <w:b/>
          <w:bCs/>
          <w:color w:val="000000" w:themeColor="text1"/>
          <w:sz w:val="20"/>
          <w:szCs w:val="20"/>
        </w:rPr>
        <w:t xml:space="preserve"> City-level differences in pollution and deaths across race-ethnicity groups. </w:t>
      </w:r>
      <w:r w:rsidR="00E31EF0" w:rsidRPr="00203256">
        <w:rPr>
          <w:rFonts w:ascii="Times New Roman" w:hAnsi="Times New Roman" w:cs="Times New Roman"/>
          <w:color w:val="000000" w:themeColor="text1"/>
          <w:sz w:val="20"/>
          <w:szCs w:val="20"/>
        </w:rPr>
        <w:t>Panel (</w:t>
      </w:r>
      <w:r w:rsidR="00BE578E">
        <w:rPr>
          <w:rFonts w:ascii="Times New Roman" w:hAnsi="Times New Roman" w:cs="Times New Roman"/>
          <w:b/>
          <w:bCs/>
          <w:color w:val="000000" w:themeColor="text1"/>
          <w:sz w:val="20"/>
          <w:szCs w:val="20"/>
        </w:rPr>
        <w:t>a</w:t>
      </w:r>
      <w:r w:rsidR="00E31EF0" w:rsidRPr="00203256">
        <w:rPr>
          <w:rFonts w:ascii="Times New Roman" w:hAnsi="Times New Roman" w:cs="Times New Roman"/>
          <w:color w:val="000000" w:themeColor="text1"/>
          <w:sz w:val="20"/>
          <w:szCs w:val="20"/>
        </w:rPr>
        <w:t>) shows differences in population-weighted PM</w:t>
      </w:r>
      <w:r w:rsidR="00E31EF0" w:rsidRPr="00203256">
        <w:rPr>
          <w:rFonts w:ascii="Times New Roman" w:hAnsi="Times New Roman" w:cs="Times New Roman"/>
          <w:color w:val="000000" w:themeColor="text1"/>
          <w:sz w:val="20"/>
          <w:szCs w:val="20"/>
          <w:vertAlign w:val="subscript"/>
        </w:rPr>
        <w:t xml:space="preserve">2.5 </w:t>
      </w:r>
      <w:r w:rsidR="00E31EF0" w:rsidRPr="00203256">
        <w:rPr>
          <w:rFonts w:ascii="Times New Roman" w:hAnsi="Times New Roman" w:cs="Times New Roman"/>
          <w:color w:val="000000" w:themeColor="text1"/>
          <w:sz w:val="20"/>
          <w:szCs w:val="20"/>
        </w:rPr>
        <w:t>concentrations across areas within cities that have &lt;30% non-Hispanic whites and areas with &gt;60% whites. Panel (</w:t>
      </w:r>
      <w:r w:rsidR="00BE578E">
        <w:rPr>
          <w:rFonts w:ascii="Times New Roman" w:hAnsi="Times New Roman" w:cs="Times New Roman"/>
          <w:b/>
          <w:bCs/>
          <w:color w:val="000000" w:themeColor="text1"/>
          <w:sz w:val="20"/>
          <w:szCs w:val="20"/>
        </w:rPr>
        <w:t>b</w:t>
      </w:r>
      <w:r w:rsidR="00E31EF0" w:rsidRPr="00203256">
        <w:rPr>
          <w:rFonts w:ascii="Times New Roman" w:hAnsi="Times New Roman" w:cs="Times New Roman"/>
          <w:color w:val="000000" w:themeColor="text1"/>
          <w:sz w:val="20"/>
          <w:szCs w:val="20"/>
        </w:rPr>
        <w:t>) shows differences across the same groups for population-weighted deaths from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concentrations. Hollow dots represent high-CDR scenarios and colored dots represent low-CDR scenarios. The dashed line represents perfect equality across both groups; anything below the line represents a higher exposure on areas with &lt;30% non-Hispanic whites. The grey dots and lines represent the values when analyzing areas from all 15 cities together.</w:t>
      </w:r>
    </w:p>
    <w:p w14:paraId="24B819D8" w14:textId="77777777" w:rsidR="00E31EF0" w:rsidRPr="00203256" w:rsidRDefault="00E31EF0" w:rsidP="00E31EF0">
      <w:pPr>
        <w:spacing w:after="120"/>
        <w:rPr>
          <w:rFonts w:ascii="Times New Roman" w:hAnsi="Times New Roman" w:cs="Times New Roman"/>
          <w:color w:val="000000" w:themeColor="text1"/>
        </w:rPr>
      </w:pPr>
    </w:p>
    <w:p w14:paraId="45C44225" w14:textId="77777777" w:rsidR="00E31EF0" w:rsidRPr="00203256" w:rsidRDefault="00E31EF0" w:rsidP="00E31EF0">
      <w:pPr>
        <w:spacing w:after="120"/>
        <w:rPr>
          <w:rFonts w:ascii="Times New Roman" w:hAnsi="Times New Roman" w:cs="Times New Roman"/>
          <w:b/>
          <w:bCs/>
          <w:color w:val="000000" w:themeColor="text1"/>
        </w:rPr>
      </w:pPr>
    </w:p>
    <w:p w14:paraId="152A54A5" w14:textId="334BE1C1" w:rsidR="00E31EF0" w:rsidRPr="00203256" w:rsidRDefault="00CF4BCC" w:rsidP="00E31EF0">
      <w:pPr>
        <w:spacing w:after="120"/>
        <w:jc w:val="center"/>
        <w:rPr>
          <w:rFonts w:ascii="Times New Roman" w:hAnsi="Times New Roman" w:cs="Times New Roman"/>
          <w:b/>
          <w:bCs/>
          <w:color w:val="000000" w:themeColor="text1"/>
        </w:rPr>
      </w:pPr>
      <w:r>
        <w:rPr>
          <w:rFonts w:ascii="Times New Roman" w:hAnsi="Times New Roman" w:cs="Times New Roman"/>
          <w:b/>
          <w:bCs/>
          <w:noProof/>
          <w:color w:val="000000" w:themeColor="text1"/>
          <w14:ligatures w14:val="standardContextual"/>
        </w:rPr>
        <w:drawing>
          <wp:inline distT="0" distB="0" distL="0" distR="0" wp14:anchorId="01206B0E" wp14:editId="480296A8">
            <wp:extent cx="3061920" cy="6615953"/>
            <wp:effectExtent l="0" t="0" r="0" b="1270"/>
            <wp:docPr id="485640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40688" name="Picture 4856406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8503" cy="6651785"/>
                    </a:xfrm>
                    <a:prstGeom prst="rect">
                      <a:avLst/>
                    </a:prstGeom>
                  </pic:spPr>
                </pic:pic>
              </a:graphicData>
            </a:graphic>
          </wp:inline>
        </w:drawing>
      </w:r>
    </w:p>
    <w:p w14:paraId="5FA16B8A" w14:textId="32F106AB" w:rsidR="008A4076" w:rsidRPr="00D5128D" w:rsidRDefault="00BF6C83" w:rsidP="00D5128D">
      <w:pPr>
        <w:spacing w:after="120"/>
        <w:jc w:val="both"/>
        <w:rPr>
          <w:rFonts w:ascii="Times New Roman" w:hAnsi="Times New Roman" w:cs="Times New Roman"/>
          <w:color w:val="000000" w:themeColor="text1"/>
          <w:sz w:val="20"/>
          <w:szCs w:val="20"/>
        </w:rPr>
      </w:pPr>
      <w:r>
        <w:rPr>
          <w:rFonts w:ascii="Times New Roman" w:hAnsi="Times New Roman" w:cs="Times New Roman"/>
          <w:b/>
          <w:bCs/>
          <w:sz w:val="20"/>
          <w:szCs w:val="20"/>
        </w:rPr>
        <w:t>Extended Data Fig</w:t>
      </w:r>
      <w:r>
        <w:rPr>
          <w:rFonts w:ascii="Times New Roman" w:hAnsi="Times New Roman" w:cs="Times New Roman"/>
          <w:b/>
          <w:bCs/>
          <w:color w:val="000000" w:themeColor="text1"/>
          <w:sz w:val="20"/>
          <w:szCs w:val="20"/>
        </w:rPr>
        <w:t>ure 8</w:t>
      </w:r>
      <w:r w:rsidR="00CF4BCC">
        <w:rPr>
          <w:rFonts w:ascii="Times New Roman" w:hAnsi="Times New Roman" w:cs="Times New Roman"/>
          <w:b/>
          <w:bCs/>
          <w:color w:val="000000" w:themeColor="text1"/>
          <w:sz w:val="20"/>
          <w:szCs w:val="20"/>
        </w:rPr>
        <w:t xml:space="preserve"> |</w:t>
      </w:r>
      <w:r w:rsidR="00E31EF0" w:rsidRPr="00203256">
        <w:rPr>
          <w:rFonts w:ascii="Times New Roman" w:hAnsi="Times New Roman" w:cs="Times New Roman"/>
          <w:b/>
          <w:bCs/>
          <w:color w:val="000000" w:themeColor="text1"/>
          <w:sz w:val="20"/>
          <w:szCs w:val="20"/>
        </w:rPr>
        <w:t xml:space="preserve"> City-level differences in pollution and deaths across income groups. </w:t>
      </w:r>
      <w:r w:rsidR="00E31EF0" w:rsidRPr="00203256">
        <w:rPr>
          <w:rFonts w:ascii="Times New Roman" w:hAnsi="Times New Roman" w:cs="Times New Roman"/>
          <w:color w:val="000000" w:themeColor="text1"/>
          <w:sz w:val="20"/>
          <w:szCs w:val="20"/>
        </w:rPr>
        <w:t>Panel (</w:t>
      </w:r>
      <w:r w:rsidR="00CF4BCC">
        <w:rPr>
          <w:rFonts w:ascii="Times New Roman" w:hAnsi="Times New Roman" w:cs="Times New Roman"/>
          <w:b/>
          <w:bCs/>
          <w:color w:val="000000" w:themeColor="text1"/>
          <w:sz w:val="20"/>
          <w:szCs w:val="20"/>
        </w:rPr>
        <w:t>a</w:t>
      </w:r>
      <w:r w:rsidR="00E31EF0" w:rsidRPr="00203256">
        <w:rPr>
          <w:rFonts w:ascii="Times New Roman" w:hAnsi="Times New Roman" w:cs="Times New Roman"/>
          <w:color w:val="000000" w:themeColor="text1"/>
          <w:sz w:val="20"/>
          <w:szCs w:val="20"/>
        </w:rPr>
        <w:t>) shows differences in population-weighted PM</w:t>
      </w:r>
      <w:r w:rsidR="00E31EF0" w:rsidRPr="00203256">
        <w:rPr>
          <w:rFonts w:ascii="Times New Roman" w:hAnsi="Times New Roman" w:cs="Times New Roman"/>
          <w:color w:val="000000" w:themeColor="text1"/>
          <w:sz w:val="20"/>
          <w:szCs w:val="20"/>
          <w:vertAlign w:val="subscript"/>
        </w:rPr>
        <w:t xml:space="preserve">2.5 </w:t>
      </w:r>
      <w:r w:rsidR="00E31EF0" w:rsidRPr="00203256">
        <w:rPr>
          <w:rFonts w:ascii="Times New Roman" w:hAnsi="Times New Roman" w:cs="Times New Roman"/>
          <w:color w:val="000000" w:themeColor="text1"/>
          <w:sz w:val="20"/>
          <w:szCs w:val="20"/>
        </w:rPr>
        <w:t>concentrations across areas within cities that are below the 33</w:t>
      </w:r>
      <w:r w:rsidR="00E31EF0" w:rsidRPr="00203256">
        <w:rPr>
          <w:rFonts w:ascii="Times New Roman" w:hAnsi="Times New Roman" w:cs="Times New Roman"/>
          <w:color w:val="000000" w:themeColor="text1"/>
          <w:sz w:val="20"/>
          <w:szCs w:val="20"/>
          <w:vertAlign w:val="superscript"/>
        </w:rPr>
        <w:t>rd</w:t>
      </w:r>
      <w:r w:rsidR="00E31EF0" w:rsidRPr="00203256">
        <w:rPr>
          <w:rFonts w:ascii="Times New Roman" w:hAnsi="Times New Roman" w:cs="Times New Roman"/>
          <w:color w:val="000000" w:themeColor="text1"/>
          <w:sz w:val="20"/>
          <w:szCs w:val="20"/>
        </w:rPr>
        <w:t xml:space="preserve"> median household income percentile and areas above the 66</w:t>
      </w:r>
      <w:r w:rsidR="00E31EF0" w:rsidRPr="00203256">
        <w:rPr>
          <w:rFonts w:ascii="Times New Roman" w:hAnsi="Times New Roman" w:cs="Times New Roman"/>
          <w:color w:val="000000" w:themeColor="text1"/>
          <w:sz w:val="20"/>
          <w:szCs w:val="20"/>
          <w:vertAlign w:val="superscript"/>
        </w:rPr>
        <w:t>th</w:t>
      </w:r>
      <w:r w:rsidR="00E31EF0" w:rsidRPr="00203256">
        <w:rPr>
          <w:rFonts w:ascii="Times New Roman" w:hAnsi="Times New Roman" w:cs="Times New Roman"/>
          <w:color w:val="000000" w:themeColor="text1"/>
          <w:sz w:val="20"/>
          <w:szCs w:val="20"/>
        </w:rPr>
        <w:t xml:space="preserve"> median household income percentile. Panel (</w:t>
      </w:r>
      <w:r w:rsidR="00CF4BCC">
        <w:rPr>
          <w:rFonts w:ascii="Times New Roman" w:hAnsi="Times New Roman" w:cs="Times New Roman"/>
          <w:b/>
          <w:bCs/>
          <w:color w:val="000000" w:themeColor="text1"/>
          <w:sz w:val="20"/>
          <w:szCs w:val="20"/>
        </w:rPr>
        <w:t>b</w:t>
      </w:r>
      <w:r w:rsidR="00E31EF0" w:rsidRPr="00203256">
        <w:rPr>
          <w:rFonts w:ascii="Times New Roman" w:hAnsi="Times New Roman" w:cs="Times New Roman"/>
          <w:color w:val="000000" w:themeColor="text1"/>
          <w:sz w:val="20"/>
          <w:szCs w:val="20"/>
        </w:rPr>
        <w:t>) shows differences across the same groups for population-weighted deaths from PM</w:t>
      </w:r>
      <w:r w:rsidR="00E31EF0" w:rsidRPr="00203256">
        <w:rPr>
          <w:rFonts w:ascii="Times New Roman" w:hAnsi="Times New Roman" w:cs="Times New Roman"/>
          <w:color w:val="000000" w:themeColor="text1"/>
          <w:sz w:val="20"/>
          <w:szCs w:val="20"/>
          <w:vertAlign w:val="subscript"/>
        </w:rPr>
        <w:t>2.5</w:t>
      </w:r>
      <w:r w:rsidR="00E31EF0" w:rsidRPr="00203256">
        <w:rPr>
          <w:rFonts w:ascii="Times New Roman" w:hAnsi="Times New Roman" w:cs="Times New Roman"/>
          <w:color w:val="000000" w:themeColor="text1"/>
          <w:sz w:val="20"/>
          <w:szCs w:val="20"/>
        </w:rPr>
        <w:t xml:space="preserve"> concentrations. Hollow dots represent high-CDR scenarios and colored dots represent low-CDR scenarios. The dashed line represents perfect equality across both groups; anything below the line represents a higher exposure on areas below the 33</w:t>
      </w:r>
      <w:r w:rsidR="00E31EF0" w:rsidRPr="00203256">
        <w:rPr>
          <w:rFonts w:ascii="Times New Roman" w:hAnsi="Times New Roman" w:cs="Times New Roman"/>
          <w:color w:val="000000" w:themeColor="text1"/>
          <w:sz w:val="20"/>
          <w:szCs w:val="20"/>
          <w:vertAlign w:val="superscript"/>
        </w:rPr>
        <w:t>rd</w:t>
      </w:r>
      <w:r w:rsidR="00E31EF0" w:rsidRPr="00203256">
        <w:rPr>
          <w:rFonts w:ascii="Times New Roman" w:hAnsi="Times New Roman" w:cs="Times New Roman"/>
          <w:color w:val="000000" w:themeColor="text1"/>
          <w:sz w:val="20"/>
          <w:szCs w:val="20"/>
        </w:rPr>
        <w:t xml:space="preserve"> median household income percentile. The grey dots and lines represent the values when analyzing areas from all 15 cities together</w:t>
      </w:r>
      <w:r w:rsidR="00D5128D">
        <w:rPr>
          <w:rFonts w:ascii="Times New Roman" w:hAnsi="Times New Roman" w:cs="Times New Roman"/>
          <w:color w:val="000000" w:themeColor="text1"/>
          <w:sz w:val="20"/>
          <w:szCs w:val="20"/>
        </w:rPr>
        <w:t>.</w:t>
      </w:r>
    </w:p>
    <w:sectPr w:rsidR="008A4076" w:rsidRPr="00D5128D" w:rsidSect="006D332E">
      <w:headerReference w:type="default"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C0C72" w14:textId="77777777" w:rsidR="001E49A6" w:rsidRDefault="001E49A6">
      <w:r>
        <w:separator/>
      </w:r>
    </w:p>
  </w:endnote>
  <w:endnote w:type="continuationSeparator" w:id="0">
    <w:p w14:paraId="64D565C2" w14:textId="77777777" w:rsidR="001E49A6" w:rsidRDefault="001E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EB97" w14:textId="77777777" w:rsidR="00DC282C" w:rsidRDefault="00000000" w:rsidP="000B3DF6">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780AF" w14:textId="77777777" w:rsidR="001E49A6" w:rsidRDefault="001E49A6">
      <w:r>
        <w:separator/>
      </w:r>
    </w:p>
  </w:footnote>
  <w:footnote w:type="continuationSeparator" w:id="0">
    <w:p w14:paraId="33D4AE44" w14:textId="77777777" w:rsidR="001E49A6" w:rsidRDefault="001E4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2986" w14:textId="77777777" w:rsidR="00DC282C" w:rsidRPr="00274C6E" w:rsidRDefault="00000000" w:rsidP="00C721DC">
    <w:pPr>
      <w:pStyle w:val="Header"/>
      <w:jc w:val="center"/>
      <w:rPr>
        <w:color w:val="FF0000"/>
        <w:sz w:val="20"/>
        <w:szCs w:val="20"/>
      </w:rPr>
    </w:pPr>
    <w:r w:rsidRPr="00274C6E">
      <w:rPr>
        <w:color w:val="FF0000"/>
        <w:sz w:val="20"/>
        <w:szCs w:val="20"/>
      </w:rPr>
      <w:t>Working Draft – DO NOT DISTRIBUTE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95EB0"/>
    <w:multiLevelType w:val="hybridMultilevel"/>
    <w:tmpl w:val="3B6E6BEC"/>
    <w:lvl w:ilvl="0" w:tplc="228CE15C">
      <w:start w:val="1"/>
      <w:numFmt w:val="upp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21A72E65"/>
    <w:multiLevelType w:val="hybridMultilevel"/>
    <w:tmpl w:val="CF880982"/>
    <w:lvl w:ilvl="0" w:tplc="E2EC11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613C3"/>
    <w:multiLevelType w:val="hybridMultilevel"/>
    <w:tmpl w:val="BE72B0AA"/>
    <w:lvl w:ilvl="0" w:tplc="E30287F2">
      <w:numFmt w:val="bullet"/>
      <w:lvlText w:val="-"/>
      <w:lvlJc w:val="left"/>
      <w:pPr>
        <w:ind w:left="810" w:hanging="360"/>
      </w:pPr>
      <w:rPr>
        <w:rFonts w:ascii="Times New Roman" w:eastAsiaTheme="minorEastAsia"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2CEA4879"/>
    <w:multiLevelType w:val="hybridMultilevel"/>
    <w:tmpl w:val="225C6834"/>
    <w:lvl w:ilvl="0" w:tplc="00CE5528">
      <w:start w:val="1"/>
      <w:numFmt w:val="bullet"/>
      <w:lvlText w:val=""/>
      <w:lvlJc w:val="left"/>
      <w:pPr>
        <w:ind w:left="1080" w:hanging="360"/>
      </w:pPr>
      <w:rPr>
        <w:rFonts w:ascii="Symbol" w:hAnsi="Symbol"/>
      </w:rPr>
    </w:lvl>
    <w:lvl w:ilvl="1" w:tplc="34E80CA0">
      <w:start w:val="1"/>
      <w:numFmt w:val="bullet"/>
      <w:lvlText w:val=""/>
      <w:lvlJc w:val="left"/>
      <w:pPr>
        <w:ind w:left="1080" w:hanging="360"/>
      </w:pPr>
      <w:rPr>
        <w:rFonts w:ascii="Symbol" w:hAnsi="Symbol"/>
      </w:rPr>
    </w:lvl>
    <w:lvl w:ilvl="2" w:tplc="D69A4CF8">
      <w:start w:val="1"/>
      <w:numFmt w:val="bullet"/>
      <w:lvlText w:val=""/>
      <w:lvlJc w:val="left"/>
      <w:pPr>
        <w:ind w:left="1080" w:hanging="360"/>
      </w:pPr>
      <w:rPr>
        <w:rFonts w:ascii="Symbol" w:hAnsi="Symbol"/>
      </w:rPr>
    </w:lvl>
    <w:lvl w:ilvl="3" w:tplc="3C68AFDE">
      <w:start w:val="1"/>
      <w:numFmt w:val="bullet"/>
      <w:lvlText w:val=""/>
      <w:lvlJc w:val="left"/>
      <w:pPr>
        <w:ind w:left="1080" w:hanging="360"/>
      </w:pPr>
      <w:rPr>
        <w:rFonts w:ascii="Symbol" w:hAnsi="Symbol"/>
      </w:rPr>
    </w:lvl>
    <w:lvl w:ilvl="4" w:tplc="63808234">
      <w:start w:val="1"/>
      <w:numFmt w:val="bullet"/>
      <w:lvlText w:val=""/>
      <w:lvlJc w:val="left"/>
      <w:pPr>
        <w:ind w:left="1080" w:hanging="360"/>
      </w:pPr>
      <w:rPr>
        <w:rFonts w:ascii="Symbol" w:hAnsi="Symbol"/>
      </w:rPr>
    </w:lvl>
    <w:lvl w:ilvl="5" w:tplc="8564DD48">
      <w:start w:val="1"/>
      <w:numFmt w:val="bullet"/>
      <w:lvlText w:val=""/>
      <w:lvlJc w:val="left"/>
      <w:pPr>
        <w:ind w:left="1080" w:hanging="360"/>
      </w:pPr>
      <w:rPr>
        <w:rFonts w:ascii="Symbol" w:hAnsi="Symbol"/>
      </w:rPr>
    </w:lvl>
    <w:lvl w:ilvl="6" w:tplc="B7945862">
      <w:start w:val="1"/>
      <w:numFmt w:val="bullet"/>
      <w:lvlText w:val=""/>
      <w:lvlJc w:val="left"/>
      <w:pPr>
        <w:ind w:left="1080" w:hanging="360"/>
      </w:pPr>
      <w:rPr>
        <w:rFonts w:ascii="Symbol" w:hAnsi="Symbol"/>
      </w:rPr>
    </w:lvl>
    <w:lvl w:ilvl="7" w:tplc="F886DFB0">
      <w:start w:val="1"/>
      <w:numFmt w:val="bullet"/>
      <w:lvlText w:val=""/>
      <w:lvlJc w:val="left"/>
      <w:pPr>
        <w:ind w:left="1080" w:hanging="360"/>
      </w:pPr>
      <w:rPr>
        <w:rFonts w:ascii="Symbol" w:hAnsi="Symbol"/>
      </w:rPr>
    </w:lvl>
    <w:lvl w:ilvl="8" w:tplc="25E40A0C">
      <w:start w:val="1"/>
      <w:numFmt w:val="bullet"/>
      <w:lvlText w:val=""/>
      <w:lvlJc w:val="left"/>
      <w:pPr>
        <w:ind w:left="1080" w:hanging="360"/>
      </w:pPr>
      <w:rPr>
        <w:rFonts w:ascii="Symbol" w:hAnsi="Symbol"/>
      </w:rPr>
    </w:lvl>
  </w:abstractNum>
  <w:abstractNum w:abstractNumId="4" w15:restartNumberingAfterBreak="0">
    <w:nsid w:val="2F187922"/>
    <w:multiLevelType w:val="hybridMultilevel"/>
    <w:tmpl w:val="B5BA29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206D7B"/>
    <w:multiLevelType w:val="hybridMultilevel"/>
    <w:tmpl w:val="62B64AB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F5C6BC6"/>
    <w:multiLevelType w:val="hybridMultilevel"/>
    <w:tmpl w:val="E77876E0"/>
    <w:lvl w:ilvl="0" w:tplc="04090001">
      <w:start w:val="1"/>
      <w:numFmt w:val="bullet"/>
      <w:lvlText w:val=""/>
      <w:lvlJc w:val="left"/>
      <w:pPr>
        <w:ind w:left="720" w:hanging="360"/>
      </w:pPr>
      <w:rPr>
        <w:rFonts w:ascii="Symbol" w:hAnsi="Symbol" w:hint="default"/>
      </w:rPr>
    </w:lvl>
    <w:lvl w:ilvl="1" w:tplc="A64C5898">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1080" w:hanging="180"/>
      </w:pPr>
    </w:lvl>
    <w:lvl w:ilvl="3" w:tplc="C36EE4BA">
      <w:start w:val="1"/>
      <w:numFmt w:val="bullet"/>
      <w:lvlText w:val="-"/>
      <w:lvlJc w:val="left"/>
      <w:pPr>
        <w:ind w:left="630" w:hanging="360"/>
      </w:pPr>
      <w:rPr>
        <w:rFonts w:ascii="Times New Roman" w:eastAsia="Times New Roman" w:hAnsi="Times New Roman" w:cs="Times New Roman" w:hint="default"/>
      </w:rPr>
    </w:lvl>
    <w:lvl w:ilvl="4" w:tplc="04090001">
      <w:start w:val="1"/>
      <w:numFmt w:val="bullet"/>
      <w:lvlText w:val=""/>
      <w:lvlJc w:val="left"/>
      <w:pPr>
        <w:ind w:left="1170" w:hanging="360"/>
      </w:pPr>
      <w:rPr>
        <w:rFonts w:ascii="Symbol" w:hAnsi="Symbol" w:hint="default"/>
      </w:rPr>
    </w:lvl>
    <w:lvl w:ilvl="5" w:tplc="0409001B">
      <w:start w:val="1"/>
      <w:numFmt w:val="lowerRoman"/>
      <w:lvlText w:val="%6."/>
      <w:lvlJc w:val="right"/>
      <w:pPr>
        <w:ind w:left="1530" w:hanging="180"/>
      </w:pPr>
    </w:lvl>
    <w:lvl w:ilvl="6" w:tplc="0409000F">
      <w:start w:val="1"/>
      <w:numFmt w:val="decimal"/>
      <w:lvlText w:val="%7."/>
      <w:lvlJc w:val="left"/>
      <w:pPr>
        <w:ind w:left="1170" w:hanging="360"/>
      </w:pPr>
    </w:lvl>
    <w:lvl w:ilvl="7" w:tplc="04090019">
      <w:start w:val="1"/>
      <w:numFmt w:val="lowerLetter"/>
      <w:lvlText w:val="%8."/>
      <w:lvlJc w:val="left"/>
      <w:pPr>
        <w:ind w:left="1980" w:hanging="360"/>
      </w:pPr>
    </w:lvl>
    <w:lvl w:ilvl="8" w:tplc="0409001B" w:tentative="1">
      <w:start w:val="1"/>
      <w:numFmt w:val="lowerRoman"/>
      <w:lvlText w:val="%9."/>
      <w:lvlJc w:val="right"/>
      <w:pPr>
        <w:ind w:left="6480" w:hanging="180"/>
      </w:pPr>
    </w:lvl>
  </w:abstractNum>
  <w:abstractNum w:abstractNumId="7" w15:restartNumberingAfterBreak="0">
    <w:nsid w:val="3FB712DB"/>
    <w:multiLevelType w:val="hybridMultilevel"/>
    <w:tmpl w:val="9216DA78"/>
    <w:lvl w:ilvl="0" w:tplc="E976194A">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9A7B12"/>
    <w:multiLevelType w:val="hybridMultilevel"/>
    <w:tmpl w:val="85A8F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601575"/>
    <w:multiLevelType w:val="hybridMultilevel"/>
    <w:tmpl w:val="79BA51C2"/>
    <w:lvl w:ilvl="0" w:tplc="D4102B46">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44451"/>
    <w:multiLevelType w:val="hybridMultilevel"/>
    <w:tmpl w:val="AFAAAD98"/>
    <w:lvl w:ilvl="0" w:tplc="5A0AA4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032E33"/>
    <w:multiLevelType w:val="hybridMultilevel"/>
    <w:tmpl w:val="70028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B458CA"/>
    <w:multiLevelType w:val="hybridMultilevel"/>
    <w:tmpl w:val="C0E21B14"/>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start w:val="1"/>
      <w:numFmt w:val="bullet"/>
      <w:lvlText w:val="-"/>
      <w:lvlJc w:val="left"/>
      <w:pPr>
        <w:ind w:left="630" w:hanging="360"/>
      </w:pPr>
      <w:rPr>
        <w:rFonts w:ascii="Times New Roman" w:eastAsia="Times New Roman" w:hAnsi="Times New Roman" w:cs="Times New Roman" w:hint="default"/>
      </w:rPr>
    </w:lvl>
    <w:lvl w:ilvl="4" w:tplc="FFFFFFFF">
      <w:start w:val="1"/>
      <w:numFmt w:val="bullet"/>
      <w:lvlText w:val=""/>
      <w:lvlJc w:val="left"/>
      <w:pPr>
        <w:ind w:left="1170" w:hanging="360"/>
      </w:pPr>
      <w:rPr>
        <w:rFonts w:ascii="Symbol" w:hAnsi="Symbol" w:hint="default"/>
      </w:rPr>
    </w:lvl>
    <w:lvl w:ilvl="5" w:tplc="FFFFFFFF">
      <w:start w:val="1"/>
      <w:numFmt w:val="bullet"/>
      <w:lvlText w:val=""/>
      <w:lvlJc w:val="left"/>
      <w:pPr>
        <w:ind w:left="1710" w:hanging="360"/>
      </w:pPr>
      <w:rPr>
        <w:rFonts w:ascii="Symbol" w:hAnsi="Symbol" w:hint="default"/>
      </w:rPr>
    </w:lvl>
    <w:lvl w:ilvl="6" w:tplc="04090001">
      <w:start w:val="1"/>
      <w:numFmt w:val="bullet"/>
      <w:lvlText w:val=""/>
      <w:lvlJc w:val="left"/>
      <w:pPr>
        <w:ind w:left="2430" w:hanging="360"/>
      </w:pPr>
      <w:rPr>
        <w:rFonts w:ascii="Symbol" w:hAnsi="Symbol"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F366DCA"/>
    <w:multiLevelType w:val="hybridMultilevel"/>
    <w:tmpl w:val="732E0E40"/>
    <w:lvl w:ilvl="0" w:tplc="41DE57B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3B5714"/>
    <w:multiLevelType w:val="hybridMultilevel"/>
    <w:tmpl w:val="E47882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961DAA"/>
    <w:multiLevelType w:val="hybridMultilevel"/>
    <w:tmpl w:val="62CC8956"/>
    <w:lvl w:ilvl="0" w:tplc="F98E5258">
      <w:start w:val="1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F2383C"/>
    <w:multiLevelType w:val="hybridMultilevel"/>
    <w:tmpl w:val="0DF6D1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8476757">
    <w:abstractNumId w:val="10"/>
  </w:num>
  <w:num w:numId="2" w16cid:durableId="1391880871">
    <w:abstractNumId w:val="6"/>
  </w:num>
  <w:num w:numId="3" w16cid:durableId="213390232">
    <w:abstractNumId w:val="12"/>
  </w:num>
  <w:num w:numId="4" w16cid:durableId="1674458118">
    <w:abstractNumId w:val="15"/>
  </w:num>
  <w:num w:numId="5" w16cid:durableId="1594629079">
    <w:abstractNumId w:val="5"/>
  </w:num>
  <w:num w:numId="6" w16cid:durableId="1396587745">
    <w:abstractNumId w:val="0"/>
  </w:num>
  <w:num w:numId="7" w16cid:durableId="1080175871">
    <w:abstractNumId w:val="16"/>
  </w:num>
  <w:num w:numId="8" w16cid:durableId="1717772007">
    <w:abstractNumId w:val="11"/>
  </w:num>
  <w:num w:numId="9" w16cid:durableId="1445225636">
    <w:abstractNumId w:val="8"/>
  </w:num>
  <w:num w:numId="10" w16cid:durableId="1671327709">
    <w:abstractNumId w:val="4"/>
  </w:num>
  <w:num w:numId="11" w16cid:durableId="94402884">
    <w:abstractNumId w:val="9"/>
  </w:num>
  <w:num w:numId="12" w16cid:durableId="1581332123">
    <w:abstractNumId w:val="13"/>
  </w:num>
  <w:num w:numId="13" w16cid:durableId="785974631">
    <w:abstractNumId w:val="7"/>
  </w:num>
  <w:num w:numId="14" w16cid:durableId="1314606301">
    <w:abstractNumId w:val="14"/>
  </w:num>
  <w:num w:numId="15" w16cid:durableId="1624850031">
    <w:abstractNumId w:val="3"/>
  </w:num>
  <w:num w:numId="16" w16cid:durableId="1471365216">
    <w:abstractNumId w:val="2"/>
  </w:num>
  <w:num w:numId="17" w16cid:durableId="562638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6E"/>
    <w:rsid w:val="000007C9"/>
    <w:rsid w:val="00000FF1"/>
    <w:rsid w:val="00003573"/>
    <w:rsid w:val="000064A0"/>
    <w:rsid w:val="00006D42"/>
    <w:rsid w:val="00006F0C"/>
    <w:rsid w:val="00017F43"/>
    <w:rsid w:val="000225E4"/>
    <w:rsid w:val="00023D34"/>
    <w:rsid w:val="00034B8E"/>
    <w:rsid w:val="0003517D"/>
    <w:rsid w:val="00047B70"/>
    <w:rsid w:val="000506F8"/>
    <w:rsid w:val="00064FD5"/>
    <w:rsid w:val="00071D54"/>
    <w:rsid w:val="00073401"/>
    <w:rsid w:val="00074DC0"/>
    <w:rsid w:val="000751A0"/>
    <w:rsid w:val="000801A6"/>
    <w:rsid w:val="0009018C"/>
    <w:rsid w:val="00090259"/>
    <w:rsid w:val="00090482"/>
    <w:rsid w:val="000947B8"/>
    <w:rsid w:val="00095804"/>
    <w:rsid w:val="000959F7"/>
    <w:rsid w:val="000A19CA"/>
    <w:rsid w:val="000A5157"/>
    <w:rsid w:val="000B627F"/>
    <w:rsid w:val="000C4739"/>
    <w:rsid w:val="000D1EC5"/>
    <w:rsid w:val="000D2F5F"/>
    <w:rsid w:val="000D3423"/>
    <w:rsid w:val="000E090E"/>
    <w:rsid w:val="000F04BC"/>
    <w:rsid w:val="000F57BA"/>
    <w:rsid w:val="001059BA"/>
    <w:rsid w:val="00106E15"/>
    <w:rsid w:val="001114AF"/>
    <w:rsid w:val="00111BF6"/>
    <w:rsid w:val="00113230"/>
    <w:rsid w:val="00116C39"/>
    <w:rsid w:val="001213E7"/>
    <w:rsid w:val="00126C1E"/>
    <w:rsid w:val="00133191"/>
    <w:rsid w:val="001414B6"/>
    <w:rsid w:val="001426BB"/>
    <w:rsid w:val="00150533"/>
    <w:rsid w:val="00152DA6"/>
    <w:rsid w:val="00156474"/>
    <w:rsid w:val="001604C1"/>
    <w:rsid w:val="00171520"/>
    <w:rsid w:val="00180C95"/>
    <w:rsid w:val="001861CF"/>
    <w:rsid w:val="00186A9B"/>
    <w:rsid w:val="00187B97"/>
    <w:rsid w:val="00193C9B"/>
    <w:rsid w:val="001A20BE"/>
    <w:rsid w:val="001A4653"/>
    <w:rsid w:val="001B0590"/>
    <w:rsid w:val="001B0CB0"/>
    <w:rsid w:val="001B61FC"/>
    <w:rsid w:val="001B7978"/>
    <w:rsid w:val="001D5C96"/>
    <w:rsid w:val="001E2F91"/>
    <w:rsid w:val="001E49A6"/>
    <w:rsid w:val="001E7A42"/>
    <w:rsid w:val="001F14DE"/>
    <w:rsid w:val="001F4196"/>
    <w:rsid w:val="001F618E"/>
    <w:rsid w:val="001F6448"/>
    <w:rsid w:val="001F7E3B"/>
    <w:rsid w:val="002025F6"/>
    <w:rsid w:val="00203256"/>
    <w:rsid w:val="002119A9"/>
    <w:rsid w:val="00220A92"/>
    <w:rsid w:val="00223AE8"/>
    <w:rsid w:val="00225958"/>
    <w:rsid w:val="00226D46"/>
    <w:rsid w:val="00232276"/>
    <w:rsid w:val="00233FBD"/>
    <w:rsid w:val="00240001"/>
    <w:rsid w:val="00242722"/>
    <w:rsid w:val="00244C05"/>
    <w:rsid w:val="00251118"/>
    <w:rsid w:val="0025398D"/>
    <w:rsid w:val="002607C0"/>
    <w:rsid w:val="00262B87"/>
    <w:rsid w:val="00264D70"/>
    <w:rsid w:val="00265516"/>
    <w:rsid w:val="00272B60"/>
    <w:rsid w:val="002807ED"/>
    <w:rsid w:val="00280997"/>
    <w:rsid w:val="002812AB"/>
    <w:rsid w:val="00282C18"/>
    <w:rsid w:val="00283CB6"/>
    <w:rsid w:val="0028753F"/>
    <w:rsid w:val="00291167"/>
    <w:rsid w:val="002979CA"/>
    <w:rsid w:val="002A08DE"/>
    <w:rsid w:val="002A2DC5"/>
    <w:rsid w:val="002A77B3"/>
    <w:rsid w:val="002B2DFE"/>
    <w:rsid w:val="002B3614"/>
    <w:rsid w:val="002C2508"/>
    <w:rsid w:val="002D054A"/>
    <w:rsid w:val="002D139A"/>
    <w:rsid w:val="002D4F84"/>
    <w:rsid w:val="002D76BC"/>
    <w:rsid w:val="002E311B"/>
    <w:rsid w:val="002E3F21"/>
    <w:rsid w:val="002F14A7"/>
    <w:rsid w:val="002F626F"/>
    <w:rsid w:val="002F7000"/>
    <w:rsid w:val="002F78DA"/>
    <w:rsid w:val="00301BC3"/>
    <w:rsid w:val="003024DD"/>
    <w:rsid w:val="00303A23"/>
    <w:rsid w:val="00304665"/>
    <w:rsid w:val="00307AD0"/>
    <w:rsid w:val="00312161"/>
    <w:rsid w:val="003154D8"/>
    <w:rsid w:val="00326FFD"/>
    <w:rsid w:val="00327058"/>
    <w:rsid w:val="003270EE"/>
    <w:rsid w:val="00335D21"/>
    <w:rsid w:val="00336807"/>
    <w:rsid w:val="00336A58"/>
    <w:rsid w:val="003404BB"/>
    <w:rsid w:val="0034114C"/>
    <w:rsid w:val="00342187"/>
    <w:rsid w:val="003448A7"/>
    <w:rsid w:val="003462A4"/>
    <w:rsid w:val="003465D1"/>
    <w:rsid w:val="00347495"/>
    <w:rsid w:val="00347CD7"/>
    <w:rsid w:val="00347EA2"/>
    <w:rsid w:val="003502F6"/>
    <w:rsid w:val="003520F1"/>
    <w:rsid w:val="003549A9"/>
    <w:rsid w:val="00357777"/>
    <w:rsid w:val="0036220E"/>
    <w:rsid w:val="003724A9"/>
    <w:rsid w:val="00385BBF"/>
    <w:rsid w:val="0039175C"/>
    <w:rsid w:val="0039390C"/>
    <w:rsid w:val="00397B37"/>
    <w:rsid w:val="00397D18"/>
    <w:rsid w:val="003A264B"/>
    <w:rsid w:val="003A5BEC"/>
    <w:rsid w:val="003B0AF7"/>
    <w:rsid w:val="003B3FAD"/>
    <w:rsid w:val="003C083C"/>
    <w:rsid w:val="003C1227"/>
    <w:rsid w:val="003D667B"/>
    <w:rsid w:val="003E0F6A"/>
    <w:rsid w:val="003E3DB9"/>
    <w:rsid w:val="003E594A"/>
    <w:rsid w:val="003E6695"/>
    <w:rsid w:val="003F4C01"/>
    <w:rsid w:val="00400B7B"/>
    <w:rsid w:val="00402E97"/>
    <w:rsid w:val="004030D1"/>
    <w:rsid w:val="00403B48"/>
    <w:rsid w:val="00407021"/>
    <w:rsid w:val="004119A2"/>
    <w:rsid w:val="0041231A"/>
    <w:rsid w:val="0041268C"/>
    <w:rsid w:val="00416F40"/>
    <w:rsid w:val="0042257F"/>
    <w:rsid w:val="004253C7"/>
    <w:rsid w:val="00426422"/>
    <w:rsid w:val="004317C1"/>
    <w:rsid w:val="00432BD4"/>
    <w:rsid w:val="00432C1A"/>
    <w:rsid w:val="004403FF"/>
    <w:rsid w:val="0044288E"/>
    <w:rsid w:val="00450D95"/>
    <w:rsid w:val="00455C7E"/>
    <w:rsid w:val="00460872"/>
    <w:rsid w:val="00462474"/>
    <w:rsid w:val="0047004A"/>
    <w:rsid w:val="004706E8"/>
    <w:rsid w:val="00472B0A"/>
    <w:rsid w:val="00474702"/>
    <w:rsid w:val="00474815"/>
    <w:rsid w:val="0048057C"/>
    <w:rsid w:val="0048408F"/>
    <w:rsid w:val="00497587"/>
    <w:rsid w:val="004A5A44"/>
    <w:rsid w:val="004A669F"/>
    <w:rsid w:val="004B0087"/>
    <w:rsid w:val="004B0D87"/>
    <w:rsid w:val="004B3FB9"/>
    <w:rsid w:val="004B7BFE"/>
    <w:rsid w:val="004C2D5C"/>
    <w:rsid w:val="004C63C1"/>
    <w:rsid w:val="004D029E"/>
    <w:rsid w:val="004D6056"/>
    <w:rsid w:val="004E3475"/>
    <w:rsid w:val="004E552D"/>
    <w:rsid w:val="004F2257"/>
    <w:rsid w:val="004F2E97"/>
    <w:rsid w:val="00501D6E"/>
    <w:rsid w:val="005048E1"/>
    <w:rsid w:val="005049CD"/>
    <w:rsid w:val="00505EA6"/>
    <w:rsid w:val="00506F90"/>
    <w:rsid w:val="005234DC"/>
    <w:rsid w:val="00536100"/>
    <w:rsid w:val="00543B68"/>
    <w:rsid w:val="005535F9"/>
    <w:rsid w:val="00553D04"/>
    <w:rsid w:val="00564EC6"/>
    <w:rsid w:val="00567FF3"/>
    <w:rsid w:val="00571AB7"/>
    <w:rsid w:val="00574905"/>
    <w:rsid w:val="005A77C9"/>
    <w:rsid w:val="005B2939"/>
    <w:rsid w:val="005C1525"/>
    <w:rsid w:val="005C260E"/>
    <w:rsid w:val="005C4D3D"/>
    <w:rsid w:val="005D05EB"/>
    <w:rsid w:val="005D09E8"/>
    <w:rsid w:val="005D2E14"/>
    <w:rsid w:val="005D5A00"/>
    <w:rsid w:val="005D6DF5"/>
    <w:rsid w:val="005E150E"/>
    <w:rsid w:val="005E6AF8"/>
    <w:rsid w:val="005F3F8D"/>
    <w:rsid w:val="005F4A1D"/>
    <w:rsid w:val="005F76B2"/>
    <w:rsid w:val="00604A67"/>
    <w:rsid w:val="00605FBE"/>
    <w:rsid w:val="0060604E"/>
    <w:rsid w:val="00622616"/>
    <w:rsid w:val="006235FD"/>
    <w:rsid w:val="00632295"/>
    <w:rsid w:val="00634FB5"/>
    <w:rsid w:val="00655532"/>
    <w:rsid w:val="0065747D"/>
    <w:rsid w:val="0065766D"/>
    <w:rsid w:val="00662088"/>
    <w:rsid w:val="0067093D"/>
    <w:rsid w:val="00671F41"/>
    <w:rsid w:val="006727EA"/>
    <w:rsid w:val="006833C9"/>
    <w:rsid w:val="0068475C"/>
    <w:rsid w:val="00686E45"/>
    <w:rsid w:val="00690F4C"/>
    <w:rsid w:val="0069145C"/>
    <w:rsid w:val="00694135"/>
    <w:rsid w:val="00695D2E"/>
    <w:rsid w:val="00696717"/>
    <w:rsid w:val="00696893"/>
    <w:rsid w:val="0069720E"/>
    <w:rsid w:val="006A16C4"/>
    <w:rsid w:val="006A5464"/>
    <w:rsid w:val="006B18ED"/>
    <w:rsid w:val="006B1A35"/>
    <w:rsid w:val="006B4804"/>
    <w:rsid w:val="006B7362"/>
    <w:rsid w:val="006B75D1"/>
    <w:rsid w:val="006C3C3C"/>
    <w:rsid w:val="006C5126"/>
    <w:rsid w:val="006C7B48"/>
    <w:rsid w:val="006D332E"/>
    <w:rsid w:val="006D3DB3"/>
    <w:rsid w:val="006D5345"/>
    <w:rsid w:val="006D5D68"/>
    <w:rsid w:val="006E2177"/>
    <w:rsid w:val="006E4C7F"/>
    <w:rsid w:val="006E4E52"/>
    <w:rsid w:val="006E5782"/>
    <w:rsid w:val="006E62D3"/>
    <w:rsid w:val="00703E98"/>
    <w:rsid w:val="00707C78"/>
    <w:rsid w:val="00722122"/>
    <w:rsid w:val="00723434"/>
    <w:rsid w:val="00724FDE"/>
    <w:rsid w:val="007258F0"/>
    <w:rsid w:val="00731BC2"/>
    <w:rsid w:val="00734BF8"/>
    <w:rsid w:val="00737DED"/>
    <w:rsid w:val="00741E54"/>
    <w:rsid w:val="00742786"/>
    <w:rsid w:val="007446CC"/>
    <w:rsid w:val="00747B01"/>
    <w:rsid w:val="00753E63"/>
    <w:rsid w:val="00754B5B"/>
    <w:rsid w:val="00754C78"/>
    <w:rsid w:val="00755C36"/>
    <w:rsid w:val="00757AAD"/>
    <w:rsid w:val="00760EA3"/>
    <w:rsid w:val="007619D8"/>
    <w:rsid w:val="00762DE3"/>
    <w:rsid w:val="00763404"/>
    <w:rsid w:val="00763CFE"/>
    <w:rsid w:val="00772843"/>
    <w:rsid w:val="00787F42"/>
    <w:rsid w:val="00795AA2"/>
    <w:rsid w:val="0079705B"/>
    <w:rsid w:val="007A025A"/>
    <w:rsid w:val="007A0B2A"/>
    <w:rsid w:val="007A55A1"/>
    <w:rsid w:val="007A593C"/>
    <w:rsid w:val="007B5248"/>
    <w:rsid w:val="007C1CB2"/>
    <w:rsid w:val="007C22DA"/>
    <w:rsid w:val="007C4791"/>
    <w:rsid w:val="007C4BD3"/>
    <w:rsid w:val="007C4F84"/>
    <w:rsid w:val="007E16C8"/>
    <w:rsid w:val="007E3E3E"/>
    <w:rsid w:val="007E6372"/>
    <w:rsid w:val="007E6488"/>
    <w:rsid w:val="007E7F76"/>
    <w:rsid w:val="007F136E"/>
    <w:rsid w:val="007F2DA5"/>
    <w:rsid w:val="007F59C7"/>
    <w:rsid w:val="00801403"/>
    <w:rsid w:val="00802F1F"/>
    <w:rsid w:val="00804BE0"/>
    <w:rsid w:val="00805B7A"/>
    <w:rsid w:val="00810D81"/>
    <w:rsid w:val="00817A04"/>
    <w:rsid w:val="008200E8"/>
    <w:rsid w:val="0082505C"/>
    <w:rsid w:val="008250D7"/>
    <w:rsid w:val="00827155"/>
    <w:rsid w:val="00831823"/>
    <w:rsid w:val="008477D1"/>
    <w:rsid w:val="00851B38"/>
    <w:rsid w:val="00854FF5"/>
    <w:rsid w:val="00856A5B"/>
    <w:rsid w:val="00857643"/>
    <w:rsid w:val="0086647D"/>
    <w:rsid w:val="00867259"/>
    <w:rsid w:val="0087491E"/>
    <w:rsid w:val="00877428"/>
    <w:rsid w:val="00877648"/>
    <w:rsid w:val="00880536"/>
    <w:rsid w:val="00882AB2"/>
    <w:rsid w:val="008A4076"/>
    <w:rsid w:val="008B6246"/>
    <w:rsid w:val="008B6885"/>
    <w:rsid w:val="008C3203"/>
    <w:rsid w:val="008C5A84"/>
    <w:rsid w:val="008C5D68"/>
    <w:rsid w:val="008C65B0"/>
    <w:rsid w:val="008D2949"/>
    <w:rsid w:val="008D3A06"/>
    <w:rsid w:val="008D50EB"/>
    <w:rsid w:val="008E5CF7"/>
    <w:rsid w:val="008F22F2"/>
    <w:rsid w:val="008F2C40"/>
    <w:rsid w:val="008F35C0"/>
    <w:rsid w:val="008F4CC6"/>
    <w:rsid w:val="00901A9D"/>
    <w:rsid w:val="00902056"/>
    <w:rsid w:val="0090339B"/>
    <w:rsid w:val="00906105"/>
    <w:rsid w:val="0091064A"/>
    <w:rsid w:val="00913989"/>
    <w:rsid w:val="009148AB"/>
    <w:rsid w:val="00914E9B"/>
    <w:rsid w:val="00923DA4"/>
    <w:rsid w:val="009242A1"/>
    <w:rsid w:val="009334E8"/>
    <w:rsid w:val="00933B16"/>
    <w:rsid w:val="009405D5"/>
    <w:rsid w:val="0094078E"/>
    <w:rsid w:val="0094296C"/>
    <w:rsid w:val="0095043D"/>
    <w:rsid w:val="00951E12"/>
    <w:rsid w:val="009536D1"/>
    <w:rsid w:val="009540FB"/>
    <w:rsid w:val="00956EC5"/>
    <w:rsid w:val="00957699"/>
    <w:rsid w:val="00957AC5"/>
    <w:rsid w:val="009624E9"/>
    <w:rsid w:val="009648CD"/>
    <w:rsid w:val="00966DE7"/>
    <w:rsid w:val="00973BEC"/>
    <w:rsid w:val="009747C1"/>
    <w:rsid w:val="00983FB1"/>
    <w:rsid w:val="00984C40"/>
    <w:rsid w:val="009853A9"/>
    <w:rsid w:val="00986519"/>
    <w:rsid w:val="00991D36"/>
    <w:rsid w:val="009977AE"/>
    <w:rsid w:val="009A6669"/>
    <w:rsid w:val="009A6EA2"/>
    <w:rsid w:val="009C1C26"/>
    <w:rsid w:val="009C27E0"/>
    <w:rsid w:val="009C616C"/>
    <w:rsid w:val="009C6C8B"/>
    <w:rsid w:val="009D1934"/>
    <w:rsid w:val="009D4007"/>
    <w:rsid w:val="009F32C5"/>
    <w:rsid w:val="009F6DF7"/>
    <w:rsid w:val="00A055D3"/>
    <w:rsid w:val="00A05F06"/>
    <w:rsid w:val="00A06EAC"/>
    <w:rsid w:val="00A21C7C"/>
    <w:rsid w:val="00A22BF4"/>
    <w:rsid w:val="00A236BB"/>
    <w:rsid w:val="00A257B6"/>
    <w:rsid w:val="00A30626"/>
    <w:rsid w:val="00A32CEF"/>
    <w:rsid w:val="00A3747E"/>
    <w:rsid w:val="00A42F64"/>
    <w:rsid w:val="00A4430A"/>
    <w:rsid w:val="00A50EFF"/>
    <w:rsid w:val="00A609CF"/>
    <w:rsid w:val="00A618A1"/>
    <w:rsid w:val="00A663BB"/>
    <w:rsid w:val="00A708BD"/>
    <w:rsid w:val="00A723E8"/>
    <w:rsid w:val="00A72F1C"/>
    <w:rsid w:val="00A73B39"/>
    <w:rsid w:val="00A74626"/>
    <w:rsid w:val="00A83E59"/>
    <w:rsid w:val="00A97678"/>
    <w:rsid w:val="00AA577C"/>
    <w:rsid w:val="00AB0167"/>
    <w:rsid w:val="00AB2BB2"/>
    <w:rsid w:val="00AB3F79"/>
    <w:rsid w:val="00AB6A90"/>
    <w:rsid w:val="00AB75AE"/>
    <w:rsid w:val="00AC4C7E"/>
    <w:rsid w:val="00AD0A0E"/>
    <w:rsid w:val="00AD254C"/>
    <w:rsid w:val="00AD71B5"/>
    <w:rsid w:val="00AF1CB6"/>
    <w:rsid w:val="00B0206B"/>
    <w:rsid w:val="00B075D9"/>
    <w:rsid w:val="00B205C5"/>
    <w:rsid w:val="00B318C4"/>
    <w:rsid w:val="00B32CA3"/>
    <w:rsid w:val="00B34C08"/>
    <w:rsid w:val="00B35E15"/>
    <w:rsid w:val="00B40F20"/>
    <w:rsid w:val="00B410D7"/>
    <w:rsid w:val="00B43539"/>
    <w:rsid w:val="00B43FB9"/>
    <w:rsid w:val="00B44399"/>
    <w:rsid w:val="00B50081"/>
    <w:rsid w:val="00B505C8"/>
    <w:rsid w:val="00B537BE"/>
    <w:rsid w:val="00B604B6"/>
    <w:rsid w:val="00B61D1C"/>
    <w:rsid w:val="00B6601F"/>
    <w:rsid w:val="00B700C5"/>
    <w:rsid w:val="00B731D1"/>
    <w:rsid w:val="00B75B5E"/>
    <w:rsid w:val="00B80069"/>
    <w:rsid w:val="00B83C71"/>
    <w:rsid w:val="00B84606"/>
    <w:rsid w:val="00B8699D"/>
    <w:rsid w:val="00B87E96"/>
    <w:rsid w:val="00B900B2"/>
    <w:rsid w:val="00B92713"/>
    <w:rsid w:val="00BB0DE1"/>
    <w:rsid w:val="00BB354D"/>
    <w:rsid w:val="00BB4368"/>
    <w:rsid w:val="00BB6199"/>
    <w:rsid w:val="00BC3452"/>
    <w:rsid w:val="00BC408D"/>
    <w:rsid w:val="00BC4548"/>
    <w:rsid w:val="00BD1C27"/>
    <w:rsid w:val="00BD3737"/>
    <w:rsid w:val="00BE293B"/>
    <w:rsid w:val="00BE4088"/>
    <w:rsid w:val="00BE578E"/>
    <w:rsid w:val="00BF05B6"/>
    <w:rsid w:val="00BF173D"/>
    <w:rsid w:val="00BF29D5"/>
    <w:rsid w:val="00BF5B34"/>
    <w:rsid w:val="00BF6C83"/>
    <w:rsid w:val="00C01490"/>
    <w:rsid w:val="00C0498C"/>
    <w:rsid w:val="00C0756F"/>
    <w:rsid w:val="00C105A8"/>
    <w:rsid w:val="00C26B6E"/>
    <w:rsid w:val="00C26D03"/>
    <w:rsid w:val="00C2770A"/>
    <w:rsid w:val="00C322B5"/>
    <w:rsid w:val="00C35911"/>
    <w:rsid w:val="00C36212"/>
    <w:rsid w:val="00C539CE"/>
    <w:rsid w:val="00C61CF4"/>
    <w:rsid w:val="00C627D3"/>
    <w:rsid w:val="00C636B9"/>
    <w:rsid w:val="00C77C38"/>
    <w:rsid w:val="00C94630"/>
    <w:rsid w:val="00C94F4F"/>
    <w:rsid w:val="00C95387"/>
    <w:rsid w:val="00CA2411"/>
    <w:rsid w:val="00CA6C5F"/>
    <w:rsid w:val="00CB566C"/>
    <w:rsid w:val="00CC0A4F"/>
    <w:rsid w:val="00CE0BAA"/>
    <w:rsid w:val="00CE0ECA"/>
    <w:rsid w:val="00CE1341"/>
    <w:rsid w:val="00CE2BA4"/>
    <w:rsid w:val="00CE351D"/>
    <w:rsid w:val="00CF05C6"/>
    <w:rsid w:val="00CF4BCC"/>
    <w:rsid w:val="00CF58A6"/>
    <w:rsid w:val="00CF5BAB"/>
    <w:rsid w:val="00CF70A3"/>
    <w:rsid w:val="00D00D03"/>
    <w:rsid w:val="00D03B6A"/>
    <w:rsid w:val="00D116CF"/>
    <w:rsid w:val="00D12320"/>
    <w:rsid w:val="00D1245A"/>
    <w:rsid w:val="00D153E8"/>
    <w:rsid w:val="00D1614F"/>
    <w:rsid w:val="00D31DFD"/>
    <w:rsid w:val="00D36CDB"/>
    <w:rsid w:val="00D404C2"/>
    <w:rsid w:val="00D42CE8"/>
    <w:rsid w:val="00D44478"/>
    <w:rsid w:val="00D46726"/>
    <w:rsid w:val="00D50EAB"/>
    <w:rsid w:val="00D5128D"/>
    <w:rsid w:val="00D5551E"/>
    <w:rsid w:val="00D60E15"/>
    <w:rsid w:val="00D67C25"/>
    <w:rsid w:val="00D72883"/>
    <w:rsid w:val="00D729F6"/>
    <w:rsid w:val="00D7347C"/>
    <w:rsid w:val="00D746B8"/>
    <w:rsid w:val="00D771FA"/>
    <w:rsid w:val="00D77308"/>
    <w:rsid w:val="00D806D9"/>
    <w:rsid w:val="00D80ACD"/>
    <w:rsid w:val="00D84238"/>
    <w:rsid w:val="00D84A48"/>
    <w:rsid w:val="00D868DC"/>
    <w:rsid w:val="00D908EE"/>
    <w:rsid w:val="00D92410"/>
    <w:rsid w:val="00D93606"/>
    <w:rsid w:val="00DA209A"/>
    <w:rsid w:val="00DA2579"/>
    <w:rsid w:val="00DA5E76"/>
    <w:rsid w:val="00DA686B"/>
    <w:rsid w:val="00DA6C78"/>
    <w:rsid w:val="00DA7E95"/>
    <w:rsid w:val="00DB0772"/>
    <w:rsid w:val="00DB0B0A"/>
    <w:rsid w:val="00DB1339"/>
    <w:rsid w:val="00DB3FF0"/>
    <w:rsid w:val="00DB79FC"/>
    <w:rsid w:val="00DC282C"/>
    <w:rsid w:val="00DC475B"/>
    <w:rsid w:val="00DD4963"/>
    <w:rsid w:val="00DD58C4"/>
    <w:rsid w:val="00DE0D62"/>
    <w:rsid w:val="00DE2E98"/>
    <w:rsid w:val="00DE6D16"/>
    <w:rsid w:val="00DF0314"/>
    <w:rsid w:val="00DF206E"/>
    <w:rsid w:val="00DF28B2"/>
    <w:rsid w:val="00DF389B"/>
    <w:rsid w:val="00DF5788"/>
    <w:rsid w:val="00E000F4"/>
    <w:rsid w:val="00E00AEA"/>
    <w:rsid w:val="00E01098"/>
    <w:rsid w:val="00E04874"/>
    <w:rsid w:val="00E04D1F"/>
    <w:rsid w:val="00E16055"/>
    <w:rsid w:val="00E166F7"/>
    <w:rsid w:val="00E17F3F"/>
    <w:rsid w:val="00E216A8"/>
    <w:rsid w:val="00E2291B"/>
    <w:rsid w:val="00E26768"/>
    <w:rsid w:val="00E31EF0"/>
    <w:rsid w:val="00E41D65"/>
    <w:rsid w:val="00E44A5E"/>
    <w:rsid w:val="00E50A11"/>
    <w:rsid w:val="00E5319F"/>
    <w:rsid w:val="00E577AE"/>
    <w:rsid w:val="00E62550"/>
    <w:rsid w:val="00E6367A"/>
    <w:rsid w:val="00E649A3"/>
    <w:rsid w:val="00E73A67"/>
    <w:rsid w:val="00E81B5D"/>
    <w:rsid w:val="00E83249"/>
    <w:rsid w:val="00E8404D"/>
    <w:rsid w:val="00E858D6"/>
    <w:rsid w:val="00E86834"/>
    <w:rsid w:val="00E9046B"/>
    <w:rsid w:val="00E92701"/>
    <w:rsid w:val="00E94A0C"/>
    <w:rsid w:val="00EA219B"/>
    <w:rsid w:val="00EA5498"/>
    <w:rsid w:val="00EB1398"/>
    <w:rsid w:val="00EB4D57"/>
    <w:rsid w:val="00EB52BD"/>
    <w:rsid w:val="00EC19B4"/>
    <w:rsid w:val="00EC1E2C"/>
    <w:rsid w:val="00ED1FE1"/>
    <w:rsid w:val="00ED7E63"/>
    <w:rsid w:val="00EE0E2E"/>
    <w:rsid w:val="00EE4039"/>
    <w:rsid w:val="00EE4476"/>
    <w:rsid w:val="00EE7466"/>
    <w:rsid w:val="00EF3F37"/>
    <w:rsid w:val="00EF4BA0"/>
    <w:rsid w:val="00EF637A"/>
    <w:rsid w:val="00F02457"/>
    <w:rsid w:val="00F06800"/>
    <w:rsid w:val="00F0750E"/>
    <w:rsid w:val="00F12ED2"/>
    <w:rsid w:val="00F16ABF"/>
    <w:rsid w:val="00F46FAD"/>
    <w:rsid w:val="00F549A7"/>
    <w:rsid w:val="00F60002"/>
    <w:rsid w:val="00F623C8"/>
    <w:rsid w:val="00F64319"/>
    <w:rsid w:val="00F6530C"/>
    <w:rsid w:val="00F65F02"/>
    <w:rsid w:val="00F66900"/>
    <w:rsid w:val="00F75965"/>
    <w:rsid w:val="00F80243"/>
    <w:rsid w:val="00F81B99"/>
    <w:rsid w:val="00F848C4"/>
    <w:rsid w:val="00F84E53"/>
    <w:rsid w:val="00F97D16"/>
    <w:rsid w:val="00FA4EC0"/>
    <w:rsid w:val="00FB20B5"/>
    <w:rsid w:val="00FB660C"/>
    <w:rsid w:val="00FC320A"/>
    <w:rsid w:val="00FD6BA2"/>
    <w:rsid w:val="00FE23A3"/>
    <w:rsid w:val="00FE2759"/>
    <w:rsid w:val="00FF6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4CE9"/>
  <w15:chartTrackingRefBased/>
  <w15:docId w15:val="{09E1352B-48F6-914C-AF68-22DE8D77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7C1"/>
    <w:rPr>
      <w:rFonts w:eastAsiaTheme="minorEastAsia"/>
      <w:kern w:val="0"/>
      <w:lang w:eastAsia="ja-JP"/>
      <w14:ligatures w14:val="none"/>
    </w:rPr>
  </w:style>
  <w:style w:type="paragraph" w:styleId="Heading1">
    <w:name w:val="heading 1"/>
    <w:basedOn w:val="Normal"/>
    <w:next w:val="Normal"/>
    <w:link w:val="Heading1Char"/>
    <w:uiPriority w:val="9"/>
    <w:qFormat/>
    <w:rsid w:val="00C35911"/>
    <w:pPr>
      <w:keepNext/>
      <w:keepLines/>
      <w:spacing w:before="240"/>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91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1F7E3B"/>
    <w:rPr>
      <w:sz w:val="16"/>
      <w:szCs w:val="16"/>
    </w:rPr>
  </w:style>
  <w:style w:type="paragraph" w:styleId="CommentText">
    <w:name w:val="annotation text"/>
    <w:basedOn w:val="Normal"/>
    <w:link w:val="CommentTextChar"/>
    <w:uiPriority w:val="99"/>
    <w:unhideWhenUsed/>
    <w:rsid w:val="001F7E3B"/>
    <w:rPr>
      <w:rFonts w:eastAsiaTheme="minorHAnsi"/>
      <w:kern w:val="2"/>
      <w:sz w:val="20"/>
      <w:szCs w:val="20"/>
      <w:lang w:eastAsia="en-US"/>
      <w14:ligatures w14:val="standardContextual"/>
    </w:rPr>
  </w:style>
  <w:style w:type="character" w:customStyle="1" w:styleId="CommentTextChar">
    <w:name w:val="Comment Text Char"/>
    <w:basedOn w:val="DefaultParagraphFont"/>
    <w:link w:val="CommentText"/>
    <w:uiPriority w:val="99"/>
    <w:rsid w:val="001F7E3B"/>
    <w:rPr>
      <w:sz w:val="20"/>
      <w:szCs w:val="20"/>
    </w:rPr>
  </w:style>
  <w:style w:type="paragraph" w:styleId="CommentSubject">
    <w:name w:val="annotation subject"/>
    <w:basedOn w:val="CommentText"/>
    <w:next w:val="CommentText"/>
    <w:link w:val="CommentSubjectChar"/>
    <w:uiPriority w:val="99"/>
    <w:semiHidden/>
    <w:unhideWhenUsed/>
    <w:rsid w:val="001F7E3B"/>
    <w:rPr>
      <w:b/>
      <w:bCs/>
    </w:rPr>
  </w:style>
  <w:style w:type="character" w:customStyle="1" w:styleId="CommentSubjectChar">
    <w:name w:val="Comment Subject Char"/>
    <w:basedOn w:val="CommentTextChar"/>
    <w:link w:val="CommentSubject"/>
    <w:uiPriority w:val="99"/>
    <w:semiHidden/>
    <w:rsid w:val="001F7E3B"/>
    <w:rPr>
      <w:b/>
      <w:bCs/>
      <w:sz w:val="20"/>
      <w:szCs w:val="20"/>
    </w:rPr>
  </w:style>
  <w:style w:type="paragraph" w:styleId="ListParagraph">
    <w:name w:val="List Paragraph"/>
    <w:basedOn w:val="Normal"/>
    <w:uiPriority w:val="34"/>
    <w:qFormat/>
    <w:rsid w:val="00047B70"/>
    <w:pPr>
      <w:ind w:left="720"/>
      <w:contextualSpacing/>
    </w:pPr>
    <w:rPr>
      <w:rFonts w:eastAsiaTheme="minorHAnsi"/>
      <w:kern w:val="2"/>
      <w:lang w:eastAsia="en-US"/>
      <w14:ligatures w14:val="standardContextual"/>
    </w:rPr>
  </w:style>
  <w:style w:type="table" w:styleId="TableGrid">
    <w:name w:val="Table Grid"/>
    <w:basedOn w:val="TableNormal"/>
    <w:uiPriority w:val="39"/>
    <w:rsid w:val="005F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475C"/>
    <w:pPr>
      <w:spacing w:after="200"/>
    </w:pPr>
    <w:rPr>
      <w:rFonts w:eastAsiaTheme="minorHAnsi"/>
      <w:i/>
      <w:iCs/>
      <w:color w:val="44546A" w:themeColor="text2"/>
      <w:kern w:val="2"/>
      <w:szCs w:val="18"/>
      <w:lang w:eastAsia="en-US"/>
      <w14:ligatures w14:val="standardContextual"/>
    </w:rPr>
  </w:style>
  <w:style w:type="paragraph" w:styleId="Footer">
    <w:name w:val="footer"/>
    <w:basedOn w:val="Normal"/>
    <w:link w:val="FooterChar"/>
    <w:semiHidden/>
    <w:rsid w:val="009747C1"/>
    <w:pPr>
      <w:tabs>
        <w:tab w:val="center" w:pos="4320"/>
        <w:tab w:val="right" w:pos="8640"/>
      </w:tabs>
    </w:pPr>
    <w:rPr>
      <w:rFonts w:ascii="Times New Roman" w:eastAsia="Times New Roman" w:hAnsi="Times New Roman" w:cs="Times New Roman"/>
      <w:lang w:eastAsia="en-US"/>
    </w:rPr>
  </w:style>
  <w:style w:type="character" w:customStyle="1" w:styleId="FooterChar">
    <w:name w:val="Footer Char"/>
    <w:basedOn w:val="DefaultParagraphFont"/>
    <w:link w:val="Footer"/>
    <w:semiHidden/>
    <w:rsid w:val="009747C1"/>
    <w:rPr>
      <w:rFonts w:ascii="Times New Roman" w:eastAsia="Times New Roman" w:hAnsi="Times New Roman" w:cs="Times New Roman"/>
      <w:kern w:val="0"/>
      <w14:ligatures w14:val="none"/>
    </w:rPr>
  </w:style>
  <w:style w:type="character" w:styleId="PageNumber">
    <w:name w:val="page number"/>
    <w:basedOn w:val="DefaultParagraphFont"/>
    <w:rsid w:val="009747C1"/>
  </w:style>
  <w:style w:type="paragraph" w:styleId="Header">
    <w:name w:val="header"/>
    <w:basedOn w:val="Normal"/>
    <w:link w:val="HeaderChar"/>
    <w:rsid w:val="009747C1"/>
    <w:pPr>
      <w:tabs>
        <w:tab w:val="center" w:pos="4320"/>
        <w:tab w:val="right" w:pos="8640"/>
      </w:tabs>
    </w:pPr>
    <w:rPr>
      <w:rFonts w:ascii="Times New Roman" w:eastAsia="Times New Roman" w:hAnsi="Times New Roman" w:cs="Times New Roman"/>
      <w:lang w:eastAsia="en-US"/>
    </w:rPr>
  </w:style>
  <w:style w:type="character" w:customStyle="1" w:styleId="HeaderChar">
    <w:name w:val="Header Char"/>
    <w:basedOn w:val="DefaultParagraphFont"/>
    <w:link w:val="Header"/>
    <w:rsid w:val="009747C1"/>
    <w:rPr>
      <w:rFonts w:ascii="Times New Roman" w:eastAsia="Times New Roman" w:hAnsi="Times New Roman" w:cs="Times New Roman"/>
      <w:kern w:val="0"/>
      <w14:ligatures w14:val="none"/>
    </w:rPr>
  </w:style>
  <w:style w:type="paragraph" w:styleId="Bibliography">
    <w:name w:val="Bibliography"/>
    <w:basedOn w:val="Normal"/>
    <w:next w:val="Normal"/>
    <w:uiPriority w:val="37"/>
    <w:unhideWhenUsed/>
    <w:rsid w:val="009747C1"/>
    <w:pPr>
      <w:tabs>
        <w:tab w:val="left" w:pos="380"/>
        <w:tab w:val="left" w:pos="500"/>
      </w:tabs>
      <w:spacing w:after="240"/>
      <w:ind w:left="504" w:hanging="504"/>
    </w:pPr>
  </w:style>
  <w:style w:type="character" w:styleId="FootnoteReference">
    <w:name w:val="footnote reference"/>
    <w:basedOn w:val="DefaultParagraphFont"/>
    <w:uiPriority w:val="99"/>
    <w:semiHidden/>
    <w:unhideWhenUsed/>
    <w:rsid w:val="00426422"/>
    <w:rPr>
      <w:vertAlign w:val="superscript"/>
    </w:rPr>
  </w:style>
  <w:style w:type="character" w:styleId="Hyperlink">
    <w:name w:val="Hyperlink"/>
    <w:basedOn w:val="DefaultParagraphFont"/>
    <w:rsid w:val="00A22BF4"/>
    <w:rPr>
      <w:color w:val="0000FF"/>
      <w:u w:val="single"/>
    </w:rPr>
  </w:style>
  <w:style w:type="paragraph" w:styleId="FootnoteText">
    <w:name w:val="footnote text"/>
    <w:basedOn w:val="Normal"/>
    <w:link w:val="FootnoteTextChar"/>
    <w:uiPriority w:val="99"/>
    <w:semiHidden/>
    <w:unhideWhenUsed/>
    <w:rsid w:val="00A22BF4"/>
    <w:rPr>
      <w:sz w:val="20"/>
      <w:szCs w:val="20"/>
    </w:rPr>
  </w:style>
  <w:style w:type="character" w:customStyle="1" w:styleId="FootnoteTextChar">
    <w:name w:val="Footnote Text Char"/>
    <w:basedOn w:val="DefaultParagraphFont"/>
    <w:link w:val="FootnoteText"/>
    <w:uiPriority w:val="99"/>
    <w:semiHidden/>
    <w:rsid w:val="00A22BF4"/>
    <w:rPr>
      <w:rFonts w:eastAsiaTheme="minorEastAsia"/>
      <w:kern w:val="0"/>
      <w:sz w:val="20"/>
      <w:szCs w:val="20"/>
      <w:lang w:eastAsia="ja-JP"/>
      <w14:ligatures w14:val="none"/>
    </w:rPr>
  </w:style>
  <w:style w:type="character" w:styleId="Emphasis">
    <w:name w:val="Emphasis"/>
    <w:basedOn w:val="DefaultParagraphFont"/>
    <w:uiPriority w:val="20"/>
    <w:qFormat/>
    <w:rsid w:val="00A22BF4"/>
    <w:rPr>
      <w:i/>
      <w:iCs/>
    </w:rPr>
  </w:style>
  <w:style w:type="character" w:styleId="UnresolvedMention">
    <w:name w:val="Unresolved Mention"/>
    <w:basedOn w:val="DefaultParagraphFont"/>
    <w:uiPriority w:val="99"/>
    <w:semiHidden/>
    <w:unhideWhenUsed/>
    <w:rsid w:val="00180C95"/>
    <w:rPr>
      <w:color w:val="605E5C"/>
      <w:shd w:val="clear" w:color="auto" w:fill="E1DFDD"/>
    </w:rPr>
  </w:style>
  <w:style w:type="paragraph" w:styleId="BalloonText">
    <w:name w:val="Balloon Text"/>
    <w:basedOn w:val="Normal"/>
    <w:link w:val="BalloonTextChar"/>
    <w:semiHidden/>
    <w:rsid w:val="00E31EF0"/>
    <w:rPr>
      <w:rFonts w:ascii="Lucida Grande" w:hAnsi="Lucida Grande"/>
      <w:sz w:val="18"/>
      <w:szCs w:val="18"/>
    </w:rPr>
  </w:style>
  <w:style w:type="character" w:customStyle="1" w:styleId="BalloonTextChar">
    <w:name w:val="Balloon Text Char"/>
    <w:basedOn w:val="DefaultParagraphFont"/>
    <w:link w:val="BalloonText"/>
    <w:semiHidden/>
    <w:rsid w:val="00E31EF0"/>
    <w:rPr>
      <w:rFonts w:ascii="Lucida Grande" w:eastAsiaTheme="minorEastAsia" w:hAnsi="Lucida Grande"/>
      <w:kern w:val="0"/>
      <w:sz w:val="18"/>
      <w:szCs w:val="18"/>
      <w:lang w:eastAsia="ja-JP"/>
      <w14:ligatures w14:val="none"/>
    </w:rPr>
  </w:style>
  <w:style w:type="paragraph" w:styleId="DocumentMap">
    <w:name w:val="Document Map"/>
    <w:basedOn w:val="Normal"/>
    <w:link w:val="DocumentMapChar"/>
    <w:uiPriority w:val="99"/>
    <w:semiHidden/>
    <w:unhideWhenUsed/>
    <w:rsid w:val="00E31EF0"/>
    <w:rPr>
      <w:rFonts w:ascii="Lucida Grande" w:hAnsi="Lucida Grande" w:cs="Lucida Grande"/>
    </w:rPr>
  </w:style>
  <w:style w:type="character" w:customStyle="1" w:styleId="DocumentMapChar">
    <w:name w:val="Document Map Char"/>
    <w:basedOn w:val="DefaultParagraphFont"/>
    <w:link w:val="DocumentMap"/>
    <w:uiPriority w:val="99"/>
    <w:semiHidden/>
    <w:rsid w:val="00E31EF0"/>
    <w:rPr>
      <w:rFonts w:ascii="Lucida Grande" w:eastAsiaTheme="minorEastAsia" w:hAnsi="Lucida Grande" w:cs="Lucida Grande"/>
      <w:kern w:val="0"/>
      <w:lang w:eastAsia="ja-JP"/>
      <w14:ligatures w14:val="none"/>
    </w:rPr>
  </w:style>
  <w:style w:type="paragraph" w:customStyle="1" w:styleId="Default">
    <w:name w:val="Default"/>
    <w:rsid w:val="00E31EF0"/>
    <w:pPr>
      <w:widowControl w:val="0"/>
      <w:autoSpaceDE w:val="0"/>
      <w:autoSpaceDN w:val="0"/>
      <w:adjustRightInd w:val="0"/>
    </w:pPr>
    <w:rPr>
      <w:rFonts w:ascii="Minion Pro" w:eastAsiaTheme="minorEastAsia" w:hAnsi="Minion Pro" w:cs="Minion Pro"/>
      <w:color w:val="000000"/>
      <w:kern w:val="0"/>
      <w:lang w:eastAsia="ja-JP"/>
      <w14:ligatures w14:val="none"/>
    </w:rPr>
  </w:style>
  <w:style w:type="character" w:styleId="PlaceholderText">
    <w:name w:val="Placeholder Text"/>
    <w:basedOn w:val="DefaultParagraphFont"/>
    <w:uiPriority w:val="99"/>
    <w:semiHidden/>
    <w:rsid w:val="00E31EF0"/>
    <w:rPr>
      <w:color w:val="808080"/>
    </w:rPr>
  </w:style>
  <w:style w:type="paragraph" w:customStyle="1" w:styleId="EndNoteBibliographyTitle">
    <w:name w:val="EndNote Bibliography Title"/>
    <w:basedOn w:val="Normal"/>
    <w:rsid w:val="00E31EF0"/>
    <w:pPr>
      <w:jc w:val="center"/>
    </w:pPr>
    <w:rPr>
      <w:rFonts w:ascii="Times New Roman" w:hAnsi="Times New Roman" w:cs="Times New Roman"/>
      <w:sz w:val="20"/>
    </w:rPr>
  </w:style>
  <w:style w:type="paragraph" w:customStyle="1" w:styleId="EndNoteBibliography">
    <w:name w:val="EndNote Bibliography"/>
    <w:basedOn w:val="Normal"/>
    <w:rsid w:val="00E31EF0"/>
    <w:rPr>
      <w:rFonts w:ascii="Times New Roman" w:hAnsi="Times New Roman" w:cs="Times New Roman"/>
      <w:sz w:val="20"/>
    </w:rPr>
  </w:style>
  <w:style w:type="paragraph" w:styleId="Revision">
    <w:name w:val="Revision"/>
    <w:hidden/>
    <w:uiPriority w:val="99"/>
    <w:semiHidden/>
    <w:rsid w:val="00E31EF0"/>
    <w:rPr>
      <w:rFonts w:eastAsiaTheme="minorEastAsia"/>
      <w:kern w:val="0"/>
      <w:lang w:eastAsia="ja-JP"/>
      <w14:ligatures w14:val="none"/>
    </w:rPr>
  </w:style>
  <w:style w:type="paragraph" w:styleId="NormalWeb">
    <w:name w:val="Normal (Web)"/>
    <w:basedOn w:val="Normal"/>
    <w:uiPriority w:val="99"/>
    <w:semiHidden/>
    <w:unhideWhenUsed/>
    <w:rsid w:val="00E31EF0"/>
    <w:pPr>
      <w:spacing w:before="100" w:beforeAutospacing="1" w:after="100" w:afterAutospacing="1"/>
    </w:pPr>
    <w:rPr>
      <w:rFonts w:ascii="Times New Roman" w:eastAsia="Times New Roman" w:hAnsi="Times New Roman" w:cs="Times New Roman"/>
      <w:lang w:eastAsia="en-US"/>
    </w:rPr>
  </w:style>
  <w:style w:type="character" w:styleId="EndnoteReference">
    <w:name w:val="endnote reference"/>
    <w:basedOn w:val="DefaultParagraphFont"/>
    <w:uiPriority w:val="99"/>
    <w:semiHidden/>
    <w:unhideWhenUsed/>
    <w:rsid w:val="00E31EF0"/>
    <w:rPr>
      <w:vertAlign w:val="superscript"/>
    </w:rPr>
  </w:style>
  <w:style w:type="paragraph" w:customStyle="1" w:styleId="acknowledgement">
    <w:name w:val="acknowledgement"/>
    <w:basedOn w:val="Normal"/>
    <w:rsid w:val="00E31EF0"/>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7705">
      <w:bodyDiv w:val="1"/>
      <w:marLeft w:val="0"/>
      <w:marRight w:val="0"/>
      <w:marTop w:val="0"/>
      <w:marBottom w:val="0"/>
      <w:divBdr>
        <w:top w:val="none" w:sz="0" w:space="0" w:color="auto"/>
        <w:left w:val="none" w:sz="0" w:space="0" w:color="auto"/>
        <w:bottom w:val="none" w:sz="0" w:space="0" w:color="auto"/>
        <w:right w:val="none" w:sz="0" w:space="0" w:color="auto"/>
      </w:divBdr>
    </w:div>
    <w:div w:id="67387189">
      <w:bodyDiv w:val="1"/>
      <w:marLeft w:val="0"/>
      <w:marRight w:val="0"/>
      <w:marTop w:val="0"/>
      <w:marBottom w:val="0"/>
      <w:divBdr>
        <w:top w:val="none" w:sz="0" w:space="0" w:color="auto"/>
        <w:left w:val="none" w:sz="0" w:space="0" w:color="auto"/>
        <w:bottom w:val="none" w:sz="0" w:space="0" w:color="auto"/>
        <w:right w:val="none" w:sz="0" w:space="0" w:color="auto"/>
      </w:divBdr>
    </w:div>
    <w:div w:id="130170146">
      <w:bodyDiv w:val="1"/>
      <w:marLeft w:val="0"/>
      <w:marRight w:val="0"/>
      <w:marTop w:val="0"/>
      <w:marBottom w:val="0"/>
      <w:divBdr>
        <w:top w:val="none" w:sz="0" w:space="0" w:color="auto"/>
        <w:left w:val="none" w:sz="0" w:space="0" w:color="auto"/>
        <w:bottom w:val="none" w:sz="0" w:space="0" w:color="auto"/>
        <w:right w:val="none" w:sz="0" w:space="0" w:color="auto"/>
      </w:divBdr>
    </w:div>
    <w:div w:id="251203305">
      <w:bodyDiv w:val="1"/>
      <w:marLeft w:val="0"/>
      <w:marRight w:val="0"/>
      <w:marTop w:val="0"/>
      <w:marBottom w:val="0"/>
      <w:divBdr>
        <w:top w:val="none" w:sz="0" w:space="0" w:color="auto"/>
        <w:left w:val="none" w:sz="0" w:space="0" w:color="auto"/>
        <w:bottom w:val="none" w:sz="0" w:space="0" w:color="auto"/>
        <w:right w:val="none" w:sz="0" w:space="0" w:color="auto"/>
      </w:divBdr>
    </w:div>
    <w:div w:id="277642057">
      <w:bodyDiv w:val="1"/>
      <w:marLeft w:val="0"/>
      <w:marRight w:val="0"/>
      <w:marTop w:val="0"/>
      <w:marBottom w:val="0"/>
      <w:divBdr>
        <w:top w:val="none" w:sz="0" w:space="0" w:color="auto"/>
        <w:left w:val="none" w:sz="0" w:space="0" w:color="auto"/>
        <w:bottom w:val="none" w:sz="0" w:space="0" w:color="auto"/>
        <w:right w:val="none" w:sz="0" w:space="0" w:color="auto"/>
      </w:divBdr>
    </w:div>
    <w:div w:id="667709269">
      <w:bodyDiv w:val="1"/>
      <w:marLeft w:val="0"/>
      <w:marRight w:val="0"/>
      <w:marTop w:val="0"/>
      <w:marBottom w:val="0"/>
      <w:divBdr>
        <w:top w:val="none" w:sz="0" w:space="0" w:color="auto"/>
        <w:left w:val="none" w:sz="0" w:space="0" w:color="auto"/>
        <w:bottom w:val="none" w:sz="0" w:space="0" w:color="auto"/>
        <w:right w:val="none" w:sz="0" w:space="0" w:color="auto"/>
      </w:divBdr>
    </w:div>
    <w:div w:id="1024359115">
      <w:bodyDiv w:val="1"/>
      <w:marLeft w:val="0"/>
      <w:marRight w:val="0"/>
      <w:marTop w:val="0"/>
      <w:marBottom w:val="0"/>
      <w:divBdr>
        <w:top w:val="none" w:sz="0" w:space="0" w:color="auto"/>
        <w:left w:val="none" w:sz="0" w:space="0" w:color="auto"/>
        <w:bottom w:val="none" w:sz="0" w:space="0" w:color="auto"/>
        <w:right w:val="none" w:sz="0" w:space="0" w:color="auto"/>
      </w:divBdr>
    </w:div>
    <w:div w:id="1126855374">
      <w:bodyDiv w:val="1"/>
      <w:marLeft w:val="0"/>
      <w:marRight w:val="0"/>
      <w:marTop w:val="0"/>
      <w:marBottom w:val="0"/>
      <w:divBdr>
        <w:top w:val="none" w:sz="0" w:space="0" w:color="auto"/>
        <w:left w:val="none" w:sz="0" w:space="0" w:color="auto"/>
        <w:bottom w:val="none" w:sz="0" w:space="0" w:color="auto"/>
        <w:right w:val="none" w:sz="0" w:space="0" w:color="auto"/>
      </w:divBdr>
    </w:div>
    <w:div w:id="1552577225">
      <w:bodyDiv w:val="1"/>
      <w:marLeft w:val="0"/>
      <w:marRight w:val="0"/>
      <w:marTop w:val="0"/>
      <w:marBottom w:val="0"/>
      <w:divBdr>
        <w:top w:val="none" w:sz="0" w:space="0" w:color="auto"/>
        <w:left w:val="none" w:sz="0" w:space="0" w:color="auto"/>
        <w:bottom w:val="none" w:sz="0" w:space="0" w:color="auto"/>
        <w:right w:val="none" w:sz="0" w:space="0" w:color="auto"/>
      </w:divBdr>
    </w:div>
    <w:div w:id="1581527886">
      <w:bodyDiv w:val="1"/>
      <w:marLeft w:val="0"/>
      <w:marRight w:val="0"/>
      <w:marTop w:val="0"/>
      <w:marBottom w:val="0"/>
      <w:divBdr>
        <w:top w:val="none" w:sz="0" w:space="0" w:color="auto"/>
        <w:left w:val="none" w:sz="0" w:space="0" w:color="auto"/>
        <w:bottom w:val="none" w:sz="0" w:space="0" w:color="auto"/>
        <w:right w:val="none" w:sz="0" w:space="0" w:color="auto"/>
      </w:divBdr>
    </w:div>
    <w:div w:id="2013334395">
      <w:bodyDiv w:val="1"/>
      <w:marLeft w:val="0"/>
      <w:marRight w:val="0"/>
      <w:marTop w:val="0"/>
      <w:marBottom w:val="0"/>
      <w:divBdr>
        <w:top w:val="none" w:sz="0" w:space="0" w:color="auto"/>
        <w:left w:val="none" w:sz="0" w:space="0" w:color="auto"/>
        <w:bottom w:val="none" w:sz="0" w:space="0" w:color="auto"/>
        <w:right w:val="none" w:sz="0" w:space="0" w:color="auto"/>
      </w:divBdr>
    </w:div>
    <w:div w:id="204200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gero@wisc.edu"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jdavis@stanford.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engj10@stanford.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BBB21-D27E-F54A-B5D4-0609CC9A9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3459</TotalTime>
  <Pages>9</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Candelaria Bergero</dc:creator>
  <cp:keywords/>
  <dc:description/>
  <cp:lastModifiedBy>Maria Candelaria Bergero</cp:lastModifiedBy>
  <cp:revision>279</cp:revision>
  <dcterms:created xsi:type="dcterms:W3CDTF">2024-09-18T22:21:00Z</dcterms:created>
  <dcterms:modified xsi:type="dcterms:W3CDTF">2025-08-12T22:08:00Z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ZOTERO_PREF_1">
    <vt:lpwstr>&lt;data data-version="3" zotero-version="6.0.37"&gt;&lt;session id="qhJgeL5y"/&gt;&lt;style id="http://www.zotero.org/styles/science" hasBibliography="1" bibliographyStyleHasBeenSet="1"/&gt;&lt;prefs&gt;&lt;pref name="fieldType" value="Field"/&gt;&lt;pref name="automaticJournalAbbreviat</vt:lpwstr>
  </property>
  <property fmtid="{D5CDD505-2E9C-101B-9397-08002B2CF9AE}" pid="23" name="ZOTERO_PREF_2">
    <vt:lpwstr>ions" value="true"/&gt;&lt;pref name="delayCitationUpdates" value="true"/&gt;&lt;pref name="dontAskDelayCitationUpdates" value="true"/&gt;&lt;/prefs&gt;&lt;/data&gt;</vt:lpwstr>
  </property>
</Properties>
</file>