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A2" w:rsidRPr="00F62984" w:rsidRDefault="00D92961" w:rsidP="00BE6BA2">
      <w:pPr>
        <w:contextualSpacing/>
        <w:rPr>
          <w:color w:val="000000" w:themeColor="text1"/>
        </w:rPr>
      </w:pPr>
      <w:bookmarkStart w:id="0" w:name="_GoBack"/>
      <w:bookmarkEnd w:id="0"/>
      <w:r w:rsidRPr="00FB35D0">
        <w:rPr>
          <w:b/>
          <w:color w:val="000000" w:themeColor="text1"/>
          <w:sz w:val="24"/>
          <w:szCs w:val="24"/>
        </w:rPr>
        <w:t xml:space="preserve">Table </w:t>
      </w:r>
      <w:r w:rsidR="00865D3D">
        <w:rPr>
          <w:b/>
          <w:color w:val="000000" w:themeColor="text1"/>
          <w:sz w:val="24"/>
          <w:szCs w:val="24"/>
        </w:rPr>
        <w:t>2</w:t>
      </w:r>
      <w:r w:rsidRPr="00FB35D0">
        <w:rPr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</w:rPr>
        <w:t xml:space="preserve">Clinical and Laboratory Characteristics </w:t>
      </w:r>
      <w:r w:rsidR="007C7916">
        <w:rPr>
          <w:b/>
          <w:color w:val="000000" w:themeColor="text1"/>
          <w:sz w:val="24"/>
          <w:szCs w:val="24"/>
        </w:rPr>
        <w:t xml:space="preserve">of Pregnancies </w:t>
      </w:r>
      <w:r w:rsidR="00A173CE">
        <w:rPr>
          <w:b/>
          <w:color w:val="000000" w:themeColor="text1"/>
          <w:sz w:val="24"/>
          <w:szCs w:val="24"/>
        </w:rPr>
        <w:t>(n=6</w:t>
      </w:r>
      <w:r w:rsidR="00D7546D">
        <w:rPr>
          <w:b/>
          <w:color w:val="000000" w:themeColor="text1"/>
          <w:sz w:val="24"/>
          <w:szCs w:val="24"/>
        </w:rPr>
        <w:t>6</w:t>
      </w:r>
      <w:r w:rsidR="00A173CE">
        <w:rPr>
          <w:b/>
          <w:color w:val="000000" w:themeColor="text1"/>
          <w:sz w:val="24"/>
          <w:szCs w:val="24"/>
        </w:rPr>
        <w:t xml:space="preserve">) </w:t>
      </w:r>
      <w:r w:rsidR="007C7916">
        <w:rPr>
          <w:b/>
          <w:color w:val="000000" w:themeColor="text1"/>
          <w:sz w:val="24"/>
          <w:szCs w:val="24"/>
        </w:rPr>
        <w:t>and Newborns</w:t>
      </w:r>
      <w:r w:rsidR="00A173CE">
        <w:rPr>
          <w:b/>
          <w:color w:val="000000" w:themeColor="text1"/>
          <w:sz w:val="24"/>
          <w:szCs w:val="24"/>
        </w:rPr>
        <w:t xml:space="preserve"> (n=71)</w:t>
      </w:r>
      <w:r w:rsidR="007C7916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by </w:t>
      </w:r>
      <w:r w:rsidR="00871CA2">
        <w:rPr>
          <w:b/>
          <w:color w:val="000000" w:themeColor="text1"/>
          <w:sz w:val="24"/>
          <w:szCs w:val="24"/>
        </w:rPr>
        <w:t xml:space="preserve">Status of </w:t>
      </w:r>
      <w:r w:rsidR="007070BF">
        <w:rPr>
          <w:b/>
          <w:color w:val="000000" w:themeColor="text1"/>
          <w:sz w:val="24"/>
          <w:szCs w:val="24"/>
        </w:rPr>
        <w:t xml:space="preserve">Antenatal </w:t>
      </w:r>
      <w:r>
        <w:rPr>
          <w:b/>
          <w:color w:val="000000" w:themeColor="text1"/>
          <w:sz w:val="24"/>
          <w:szCs w:val="24"/>
        </w:rPr>
        <w:t xml:space="preserve">Exposure </w:t>
      </w:r>
      <w:r w:rsidR="007070BF">
        <w:rPr>
          <w:b/>
          <w:color w:val="000000" w:themeColor="text1"/>
          <w:sz w:val="24"/>
          <w:szCs w:val="24"/>
        </w:rPr>
        <w:t xml:space="preserve">to </w:t>
      </w:r>
      <w:r>
        <w:rPr>
          <w:b/>
          <w:color w:val="000000" w:themeColor="text1"/>
          <w:sz w:val="24"/>
          <w:szCs w:val="24"/>
        </w:rPr>
        <w:t>Triple I</w:t>
      </w:r>
      <w:r w:rsidR="00871CA2">
        <w:rPr>
          <w:b/>
          <w:color w:val="000000" w:themeColor="text1"/>
          <w:sz w:val="24"/>
          <w:szCs w:val="24"/>
        </w:rPr>
        <w:t xml:space="preserve"> </w:t>
      </w:r>
    </w:p>
    <w:p w:rsidR="00BE6BA2" w:rsidRPr="001F278B" w:rsidRDefault="00BE6BA2" w:rsidP="00BE6BA2">
      <w:pPr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</w:tblPr>
      <w:tblGrid>
        <w:gridCol w:w="4320"/>
        <w:gridCol w:w="2313"/>
        <w:gridCol w:w="2645"/>
        <w:gridCol w:w="1162"/>
      </w:tblGrid>
      <w:tr w:rsidR="004B0E41" w:rsidRPr="00362895" w:rsidTr="004B0E41">
        <w:tc>
          <w:tcPr>
            <w:tcW w:w="4320" w:type="dxa"/>
            <w:shd w:val="clear" w:color="auto" w:fill="BFBFBF" w:themeFill="background1" w:themeFillShade="BF"/>
          </w:tcPr>
          <w:p w:rsidR="004B0E41" w:rsidRPr="00362895" w:rsidRDefault="004B0E41" w:rsidP="004B0E41">
            <w:pPr>
              <w:contextualSpacing/>
              <w:rPr>
                <w:b/>
                <w:sz w:val="20"/>
                <w:szCs w:val="20"/>
              </w:rPr>
            </w:pPr>
            <w:r w:rsidRPr="00362895">
              <w:rPr>
                <w:b/>
                <w:sz w:val="20"/>
                <w:szCs w:val="20"/>
              </w:rPr>
              <w:t>Maternal a</w:t>
            </w:r>
            <w:r w:rsidR="00D7546D" w:rsidRPr="00362895">
              <w:rPr>
                <w:b/>
                <w:sz w:val="20"/>
                <w:szCs w:val="20"/>
              </w:rPr>
              <w:t xml:space="preserve">nd pregnancy-related variables </w:t>
            </w:r>
          </w:p>
        </w:tc>
        <w:tc>
          <w:tcPr>
            <w:tcW w:w="2313" w:type="dxa"/>
            <w:shd w:val="clear" w:color="auto" w:fill="BFBFBF" w:themeFill="background1" w:themeFillShade="BF"/>
          </w:tcPr>
          <w:p w:rsidR="004B0E41" w:rsidRPr="00362895" w:rsidRDefault="004B0E41" w:rsidP="004B0E41">
            <w:pPr>
              <w:contextualSpacing/>
              <w:rPr>
                <w:b/>
                <w:sz w:val="20"/>
                <w:szCs w:val="20"/>
              </w:rPr>
            </w:pPr>
            <w:r w:rsidRPr="00362895">
              <w:rPr>
                <w:b/>
                <w:sz w:val="20"/>
                <w:szCs w:val="20"/>
              </w:rPr>
              <w:t>NEXP = 35</w:t>
            </w:r>
          </w:p>
        </w:tc>
        <w:tc>
          <w:tcPr>
            <w:tcW w:w="2645" w:type="dxa"/>
            <w:shd w:val="clear" w:color="auto" w:fill="BFBFBF" w:themeFill="background1" w:themeFillShade="BF"/>
          </w:tcPr>
          <w:p w:rsidR="004B0E41" w:rsidRPr="00362895" w:rsidRDefault="004B0E41" w:rsidP="004B0E41">
            <w:pPr>
              <w:contextualSpacing/>
              <w:rPr>
                <w:b/>
                <w:sz w:val="20"/>
                <w:szCs w:val="20"/>
              </w:rPr>
            </w:pPr>
            <w:r w:rsidRPr="00362895">
              <w:rPr>
                <w:b/>
                <w:sz w:val="20"/>
                <w:szCs w:val="20"/>
              </w:rPr>
              <w:t>EXP = 31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4B0E41" w:rsidRPr="00362895" w:rsidRDefault="00362895" w:rsidP="004B0E41">
            <w:pPr>
              <w:contextualSpacing/>
              <w:rPr>
                <w:b/>
                <w:sz w:val="20"/>
                <w:szCs w:val="20"/>
              </w:rPr>
            </w:pPr>
            <w:r w:rsidRPr="00362895">
              <w:rPr>
                <w:b/>
                <w:i/>
                <w:sz w:val="20"/>
                <w:szCs w:val="20"/>
              </w:rPr>
              <w:t>p</w:t>
            </w:r>
            <w:r w:rsidR="004B0E41" w:rsidRPr="00362895">
              <w:rPr>
                <w:b/>
                <w:sz w:val="20"/>
                <w:szCs w:val="20"/>
              </w:rPr>
              <w:t xml:space="preserve"> value</w:t>
            </w:r>
          </w:p>
        </w:tc>
      </w:tr>
      <w:tr w:rsidR="004B0E41" w:rsidRPr="00362895" w:rsidTr="00776107">
        <w:tc>
          <w:tcPr>
            <w:tcW w:w="10440" w:type="dxa"/>
            <w:gridSpan w:val="4"/>
          </w:tcPr>
          <w:p w:rsidR="004B0E41" w:rsidRPr="00362895" w:rsidRDefault="004B0E41" w:rsidP="005E3A19">
            <w:pPr>
              <w:contextualSpacing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i/>
                <w:color w:val="000000" w:themeColor="text1"/>
                <w:sz w:val="20"/>
                <w:szCs w:val="20"/>
              </w:rPr>
              <w:t>Clinical</w:t>
            </w:r>
            <w:r w:rsidR="005E3A19" w:rsidRPr="00362895">
              <w:rPr>
                <w:b/>
                <w:i/>
                <w:color w:val="000000" w:themeColor="text1"/>
                <w:sz w:val="20"/>
                <w:szCs w:val="20"/>
              </w:rPr>
              <w:t xml:space="preserve"> and Laboratory </w:t>
            </w:r>
            <w:r w:rsidRPr="00362895">
              <w:rPr>
                <w:b/>
                <w:i/>
                <w:color w:val="000000" w:themeColor="text1"/>
                <w:sz w:val="20"/>
                <w:szCs w:val="20"/>
              </w:rPr>
              <w:t>Characteristics</w:t>
            </w:r>
          </w:p>
        </w:tc>
      </w:tr>
      <w:tr w:rsidR="00B031DF" w:rsidRPr="00362895" w:rsidTr="0046402C">
        <w:tc>
          <w:tcPr>
            <w:tcW w:w="4320" w:type="dxa"/>
          </w:tcPr>
          <w:p w:rsidR="00B031DF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Plurality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†</w:t>
            </w:r>
          </w:p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Singleton pregnancy</w:t>
            </w:r>
          </w:p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     Twin pregnancy*</w:t>
            </w:r>
          </w:p>
        </w:tc>
        <w:tc>
          <w:tcPr>
            <w:tcW w:w="2313" w:type="dxa"/>
          </w:tcPr>
          <w:p w:rsidR="00B031DF" w:rsidRPr="00362895" w:rsidRDefault="00B031DF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32 (48)</w:t>
            </w:r>
          </w:p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 (5)</w:t>
            </w:r>
          </w:p>
        </w:tc>
        <w:tc>
          <w:tcPr>
            <w:tcW w:w="2645" w:type="dxa"/>
          </w:tcPr>
          <w:p w:rsidR="00B031DF" w:rsidRPr="00362895" w:rsidRDefault="00B031DF" w:rsidP="00B031DF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D7546D" w:rsidRPr="00362895" w:rsidRDefault="00D7546D" w:rsidP="00B031DF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29 (44)</w:t>
            </w:r>
          </w:p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 (3)</w:t>
            </w:r>
          </w:p>
        </w:tc>
        <w:tc>
          <w:tcPr>
            <w:tcW w:w="1162" w:type="dxa"/>
          </w:tcPr>
          <w:p w:rsidR="00B031DF" w:rsidRPr="00362895" w:rsidRDefault="00D7546D" w:rsidP="00B031DF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0.667</w:t>
            </w:r>
          </w:p>
        </w:tc>
      </w:tr>
      <w:tr w:rsidR="00D7546D" w:rsidRPr="00362895" w:rsidTr="0046402C">
        <w:tc>
          <w:tcPr>
            <w:tcW w:w="4320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GA at PPROM,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 xml:space="preserve">weeks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34 [33 – 34]</w:t>
            </w:r>
          </w:p>
        </w:tc>
        <w:tc>
          <w:tcPr>
            <w:tcW w:w="2645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28 [24 – 32]</w:t>
            </w:r>
          </w:p>
        </w:tc>
        <w:tc>
          <w:tcPr>
            <w:tcW w:w="1162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7546D" w:rsidRPr="00362895" w:rsidTr="0046402C">
        <w:tc>
          <w:tcPr>
            <w:tcW w:w="4320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GA at delivery,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 xml:space="preserve">weeks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34 [33- 35] </w:t>
            </w:r>
          </w:p>
        </w:tc>
        <w:tc>
          <w:tcPr>
            <w:tcW w:w="2645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30 [27 – 33] </w:t>
            </w:r>
          </w:p>
        </w:tc>
        <w:tc>
          <w:tcPr>
            <w:tcW w:w="1162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7546D" w:rsidRPr="00362895" w:rsidTr="0046402C">
        <w:tc>
          <w:tcPr>
            <w:tcW w:w="4320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Latency,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 xml:space="preserve">days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 [0 – 4]</w:t>
            </w:r>
          </w:p>
        </w:tc>
        <w:tc>
          <w:tcPr>
            <w:tcW w:w="2645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5 [2 -12]</w:t>
            </w:r>
          </w:p>
        </w:tc>
        <w:tc>
          <w:tcPr>
            <w:tcW w:w="1162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7546D" w:rsidRPr="00362895" w:rsidTr="0046402C">
        <w:tc>
          <w:tcPr>
            <w:tcW w:w="4320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Cesarean delivery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†</w:t>
            </w:r>
          </w:p>
        </w:tc>
        <w:tc>
          <w:tcPr>
            <w:tcW w:w="2313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12 (34)</w:t>
            </w:r>
          </w:p>
        </w:tc>
        <w:tc>
          <w:tcPr>
            <w:tcW w:w="2645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11 (35)</w:t>
            </w:r>
          </w:p>
        </w:tc>
        <w:tc>
          <w:tcPr>
            <w:tcW w:w="1162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D7546D" w:rsidRPr="00362895" w:rsidTr="0046402C">
        <w:tc>
          <w:tcPr>
            <w:tcW w:w="4320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Admission WBC count,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>cells x 1,000/mm</w:t>
            </w:r>
            <w:r w:rsidRPr="00362895">
              <w:rPr>
                <w:i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D40CF7" w:rsidRPr="00362895">
              <w:rPr>
                <w:i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12.4 [8.8 – 14.3]</w:t>
            </w:r>
          </w:p>
        </w:tc>
        <w:tc>
          <w:tcPr>
            <w:tcW w:w="2645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13.1 [10.9 – 17.3]</w:t>
            </w:r>
          </w:p>
        </w:tc>
        <w:tc>
          <w:tcPr>
            <w:tcW w:w="1162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0.072</w:t>
            </w:r>
          </w:p>
        </w:tc>
      </w:tr>
      <w:tr w:rsidR="00D7546D" w:rsidRPr="00362895" w:rsidTr="0046402C">
        <w:tc>
          <w:tcPr>
            <w:tcW w:w="4320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Pre-delivery WBC count,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>cells x 1,000/mm</w:t>
            </w:r>
            <w:r w:rsidRPr="00362895">
              <w:rPr>
                <w:i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D40CF7" w:rsidRPr="00362895">
              <w:rPr>
                <w:i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12.1 [9.3 – 14.6]</w:t>
            </w:r>
          </w:p>
        </w:tc>
        <w:tc>
          <w:tcPr>
            <w:tcW w:w="2645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15.7 [12.8 – 19.3]</w:t>
            </w:r>
          </w:p>
        </w:tc>
        <w:tc>
          <w:tcPr>
            <w:tcW w:w="1162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D7546D" w:rsidRPr="00362895" w:rsidTr="0046402C">
        <w:tc>
          <w:tcPr>
            <w:tcW w:w="4320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sz w:val="20"/>
                <w:szCs w:val="20"/>
              </w:rPr>
              <w:t xml:space="preserve">Post-partum WBC count,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>cells x 1,000/mm</w:t>
            </w:r>
            <w:r w:rsidRPr="00362895">
              <w:rPr>
                <w:i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D40CF7" w:rsidRPr="00362895">
              <w:rPr>
                <w:i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sz w:val="20"/>
                <w:szCs w:val="20"/>
              </w:rPr>
              <w:t>14.7 [11.1 – 18.7]</w:t>
            </w:r>
          </w:p>
        </w:tc>
        <w:tc>
          <w:tcPr>
            <w:tcW w:w="2645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sz w:val="20"/>
                <w:szCs w:val="20"/>
              </w:rPr>
              <w:t>15.5 [13.6 – 21.6]</w:t>
            </w:r>
          </w:p>
        </w:tc>
        <w:tc>
          <w:tcPr>
            <w:tcW w:w="1162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sz w:val="20"/>
                <w:szCs w:val="20"/>
              </w:rPr>
              <w:t>0.128</w:t>
            </w:r>
          </w:p>
        </w:tc>
      </w:tr>
      <w:tr w:rsidR="00D7546D" w:rsidRPr="00362895" w:rsidTr="0046402C">
        <w:tc>
          <w:tcPr>
            <w:tcW w:w="4320" w:type="dxa"/>
          </w:tcPr>
          <w:p w:rsidR="00D7546D" w:rsidRPr="00362895" w:rsidRDefault="00D7546D" w:rsidP="00D7546D">
            <w:pPr>
              <w:contextualSpacing/>
              <w:rPr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Abdominal pain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†</w:t>
            </w:r>
          </w:p>
        </w:tc>
        <w:tc>
          <w:tcPr>
            <w:tcW w:w="2313" w:type="dxa"/>
          </w:tcPr>
          <w:p w:rsidR="00D7546D" w:rsidRPr="00362895" w:rsidRDefault="00D7546D" w:rsidP="00D7546D">
            <w:pPr>
              <w:contextualSpacing/>
              <w:rPr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5 (15)</w:t>
            </w:r>
          </w:p>
        </w:tc>
        <w:tc>
          <w:tcPr>
            <w:tcW w:w="2645" w:type="dxa"/>
          </w:tcPr>
          <w:p w:rsidR="00D7546D" w:rsidRPr="00362895" w:rsidRDefault="00D7546D" w:rsidP="00D7546D">
            <w:pPr>
              <w:contextualSpacing/>
              <w:rPr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13 (42)</w:t>
            </w:r>
          </w:p>
        </w:tc>
        <w:tc>
          <w:tcPr>
            <w:tcW w:w="1162" w:type="dxa"/>
          </w:tcPr>
          <w:p w:rsidR="00D7546D" w:rsidRPr="00362895" w:rsidRDefault="00D7546D" w:rsidP="00D7546D">
            <w:pPr>
              <w:contextualSpacing/>
              <w:rPr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0.025</w:t>
            </w:r>
          </w:p>
        </w:tc>
      </w:tr>
      <w:tr w:rsidR="00D7546D" w:rsidRPr="00362895" w:rsidTr="0046402C">
        <w:tc>
          <w:tcPr>
            <w:tcW w:w="4320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Chills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†</w:t>
            </w:r>
          </w:p>
        </w:tc>
        <w:tc>
          <w:tcPr>
            <w:tcW w:w="2313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 (3)</w:t>
            </w:r>
          </w:p>
        </w:tc>
        <w:tc>
          <w:tcPr>
            <w:tcW w:w="2645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 (3)</w:t>
            </w:r>
          </w:p>
        </w:tc>
        <w:tc>
          <w:tcPr>
            <w:tcW w:w="1162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D7546D" w:rsidRPr="00362895" w:rsidTr="0046402C">
        <w:tc>
          <w:tcPr>
            <w:tcW w:w="4320" w:type="dxa"/>
          </w:tcPr>
          <w:p w:rsidR="00D7546D" w:rsidRPr="00362895" w:rsidRDefault="00D7546D" w:rsidP="002B4E7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Diagnosis of clinical </w:t>
            </w:r>
            <w:r w:rsidR="002B4E70" w:rsidRPr="00362895">
              <w:rPr>
                <w:color w:val="000000" w:themeColor="text1"/>
                <w:sz w:val="20"/>
                <w:szCs w:val="20"/>
              </w:rPr>
              <w:t>chorioamnionitis</w:t>
            </w:r>
            <w:r w:rsidRPr="00362895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0CF7" w:rsidRPr="00362895">
              <w:rPr>
                <w:color w:val="000000" w:themeColor="text1"/>
                <w:sz w:val="20"/>
                <w:szCs w:val="20"/>
              </w:rPr>
              <w:t>†</w:t>
            </w:r>
          </w:p>
        </w:tc>
        <w:tc>
          <w:tcPr>
            <w:tcW w:w="2313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 (9)</w:t>
            </w:r>
          </w:p>
        </w:tc>
        <w:tc>
          <w:tcPr>
            <w:tcW w:w="2645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6 (19)</w:t>
            </w:r>
          </w:p>
        </w:tc>
        <w:tc>
          <w:tcPr>
            <w:tcW w:w="1162" w:type="dxa"/>
          </w:tcPr>
          <w:p w:rsidR="00D7546D" w:rsidRPr="00362895" w:rsidRDefault="00D7546D" w:rsidP="00D754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0.290</w:t>
            </w:r>
          </w:p>
        </w:tc>
      </w:tr>
      <w:tr w:rsidR="00D7546D" w:rsidRPr="00362895" w:rsidTr="005E3A19">
        <w:tc>
          <w:tcPr>
            <w:tcW w:w="4320" w:type="dxa"/>
            <w:shd w:val="clear" w:color="auto" w:fill="BFBFBF" w:themeFill="background1" w:themeFillShade="BF"/>
          </w:tcPr>
          <w:p w:rsidR="00D7546D" w:rsidRPr="00362895" w:rsidRDefault="00363458" w:rsidP="008B6ED7">
            <w:pPr>
              <w:contextualSpacing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>P</w:t>
            </w:r>
            <w:r w:rsidR="008B6ED7" w:rsidRPr="00362895">
              <w:rPr>
                <w:b/>
                <w:color w:val="000000" w:themeColor="text1"/>
                <w:sz w:val="20"/>
                <w:szCs w:val="20"/>
              </w:rPr>
              <w:t>lacenta-</w:t>
            </w:r>
            <w:r w:rsidR="00D7546D" w:rsidRPr="00362895">
              <w:rPr>
                <w:b/>
                <w:color w:val="000000" w:themeColor="text1"/>
                <w:sz w:val="20"/>
                <w:szCs w:val="20"/>
              </w:rPr>
              <w:t>related variables</w:t>
            </w:r>
            <w:r w:rsidR="002B4E70" w:rsidRPr="0036289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B4E70" w:rsidRPr="00362895">
              <w:rPr>
                <w:color w:val="000000" w:themeColor="text1"/>
                <w:sz w:val="20"/>
                <w:szCs w:val="20"/>
              </w:rPr>
              <w:t>¶</w:t>
            </w:r>
          </w:p>
        </w:tc>
        <w:tc>
          <w:tcPr>
            <w:tcW w:w="2313" w:type="dxa"/>
            <w:shd w:val="clear" w:color="auto" w:fill="BFBFBF" w:themeFill="background1" w:themeFillShade="BF"/>
          </w:tcPr>
          <w:p w:rsidR="00D7546D" w:rsidRPr="00362895" w:rsidRDefault="00D7546D" w:rsidP="002B4E7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 xml:space="preserve">NEXP = </w:t>
            </w:r>
            <w:r w:rsidR="002B4E70" w:rsidRPr="00362895">
              <w:rPr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645" w:type="dxa"/>
            <w:shd w:val="clear" w:color="auto" w:fill="BFBFBF" w:themeFill="background1" w:themeFillShade="BF"/>
          </w:tcPr>
          <w:p w:rsidR="00D7546D" w:rsidRPr="00362895" w:rsidRDefault="00D7546D" w:rsidP="002B4E70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 xml:space="preserve">EXP = </w:t>
            </w:r>
            <w:r w:rsidR="002B4E70" w:rsidRPr="00362895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D7546D" w:rsidRPr="00362895" w:rsidRDefault="00362895" w:rsidP="00D7546D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i/>
                <w:color w:val="000000" w:themeColor="text1"/>
                <w:sz w:val="20"/>
                <w:szCs w:val="20"/>
              </w:rPr>
              <w:t>p</w:t>
            </w:r>
            <w:r w:rsidR="00D7546D" w:rsidRPr="00362895">
              <w:rPr>
                <w:b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D7546D" w:rsidRPr="00362895" w:rsidTr="00184965">
        <w:trPr>
          <w:trHeight w:val="143"/>
        </w:trPr>
        <w:tc>
          <w:tcPr>
            <w:tcW w:w="10440" w:type="dxa"/>
            <w:gridSpan w:val="4"/>
          </w:tcPr>
          <w:p w:rsidR="00D7546D" w:rsidRPr="00362895" w:rsidRDefault="008B6ED7" w:rsidP="002B4E7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i/>
                <w:color w:val="000000" w:themeColor="text1"/>
                <w:sz w:val="20"/>
                <w:szCs w:val="20"/>
              </w:rPr>
              <w:t xml:space="preserve">Placental Pathology Results </w:t>
            </w:r>
          </w:p>
        </w:tc>
      </w:tr>
      <w:tr w:rsidR="008B6ED7" w:rsidRPr="00362895" w:rsidTr="005E3A19">
        <w:trPr>
          <w:trHeight w:val="143"/>
        </w:trPr>
        <w:tc>
          <w:tcPr>
            <w:tcW w:w="4320" w:type="dxa"/>
          </w:tcPr>
          <w:p w:rsidR="008B6ED7" w:rsidRPr="00362895" w:rsidRDefault="00362895" w:rsidP="008B6ED7">
            <w:pPr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Fetal membrane</w:t>
            </w:r>
            <w:r w:rsidR="008B6ED7" w:rsidRPr="00362895">
              <w:rPr>
                <w:color w:val="000000" w:themeColor="text1"/>
                <w:sz w:val="20"/>
                <w:szCs w:val="20"/>
              </w:rPr>
              <w:t xml:space="preserve"> inflammation (histologic chorioamnionitis) †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1 (3) 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26 (93) 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8B6ED7" w:rsidRPr="00362895" w:rsidTr="005E3A19">
        <w:trPr>
          <w:trHeight w:val="143"/>
        </w:trPr>
        <w:tc>
          <w:tcPr>
            <w:tcW w:w="4320" w:type="dxa"/>
          </w:tcPr>
          <w:p w:rsidR="008B6ED7" w:rsidRPr="00362895" w:rsidRDefault="008B6ED7" w:rsidP="008B6ED7">
            <w:pPr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Umbilical cord inflammation (</w:t>
            </w:r>
            <w:proofErr w:type="spellStart"/>
            <w:r w:rsidRPr="00362895">
              <w:rPr>
                <w:color w:val="000000" w:themeColor="text1"/>
                <w:sz w:val="20"/>
                <w:szCs w:val="20"/>
              </w:rPr>
              <w:t>funisits</w:t>
            </w:r>
            <w:proofErr w:type="spellEnd"/>
            <w:r w:rsidRPr="00362895">
              <w:rPr>
                <w:color w:val="000000" w:themeColor="text1"/>
                <w:sz w:val="20"/>
                <w:szCs w:val="20"/>
              </w:rPr>
              <w:t>) †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1 (3) 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15 (54) 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8B6ED7" w:rsidRPr="00362895" w:rsidTr="005E3A19">
        <w:trPr>
          <w:trHeight w:val="143"/>
        </w:trPr>
        <w:tc>
          <w:tcPr>
            <w:tcW w:w="4320" w:type="dxa"/>
          </w:tcPr>
          <w:p w:rsidR="008B6ED7" w:rsidRPr="00362895" w:rsidRDefault="008B6ED7" w:rsidP="008B6ED7">
            <w:pPr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Placental disc inflammation (</w:t>
            </w:r>
            <w:proofErr w:type="spellStart"/>
            <w:r w:rsidRPr="00362895">
              <w:rPr>
                <w:color w:val="000000" w:themeColor="text1"/>
                <w:sz w:val="20"/>
                <w:szCs w:val="20"/>
              </w:rPr>
              <w:t>villitis</w:t>
            </w:r>
            <w:proofErr w:type="spellEnd"/>
            <w:r w:rsidRPr="00362895">
              <w:rPr>
                <w:color w:val="000000" w:themeColor="text1"/>
                <w:sz w:val="20"/>
                <w:szCs w:val="20"/>
              </w:rPr>
              <w:t>) †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1 (3) 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5 (18) 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0.080</w:t>
            </w:r>
          </w:p>
        </w:tc>
      </w:tr>
      <w:tr w:rsidR="008B6ED7" w:rsidRPr="00362895" w:rsidTr="005E3A19">
        <w:trPr>
          <w:trHeight w:val="143"/>
        </w:trPr>
        <w:tc>
          <w:tcPr>
            <w:tcW w:w="4320" w:type="dxa"/>
          </w:tcPr>
          <w:p w:rsidR="008B6ED7" w:rsidRPr="00362895" w:rsidRDefault="008B6ED7" w:rsidP="008B6ED7">
            <w:pPr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Placenta hemorrhage/abruption †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 (3)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 (11)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0.315</w:t>
            </w:r>
          </w:p>
        </w:tc>
      </w:tr>
      <w:tr w:rsidR="008B6ED7" w:rsidRPr="00362895" w:rsidTr="00362895">
        <w:trPr>
          <w:trHeight w:val="143"/>
        </w:trPr>
        <w:tc>
          <w:tcPr>
            <w:tcW w:w="4320" w:type="dxa"/>
            <w:shd w:val="clear" w:color="auto" w:fill="D9D9D9" w:themeFill="background1" w:themeFillShade="D9"/>
          </w:tcPr>
          <w:p w:rsidR="008B6ED7" w:rsidRPr="00362895" w:rsidRDefault="008B6ED7" w:rsidP="008B6ED7">
            <w:pPr>
              <w:contextualSpacing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>Newborn-related variables</w:t>
            </w:r>
          </w:p>
        </w:tc>
        <w:tc>
          <w:tcPr>
            <w:tcW w:w="2313" w:type="dxa"/>
            <w:shd w:val="clear" w:color="auto" w:fill="D9D9D9" w:themeFill="background1" w:themeFillShade="D9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>NEXP = 40</w:t>
            </w:r>
          </w:p>
        </w:tc>
        <w:tc>
          <w:tcPr>
            <w:tcW w:w="2645" w:type="dxa"/>
            <w:shd w:val="clear" w:color="auto" w:fill="D9D9D9" w:themeFill="background1" w:themeFillShade="D9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color w:val="000000" w:themeColor="text1"/>
                <w:sz w:val="20"/>
                <w:szCs w:val="20"/>
              </w:rPr>
              <w:t>EXP = 31</w:t>
            </w:r>
          </w:p>
        </w:tc>
        <w:tc>
          <w:tcPr>
            <w:tcW w:w="1162" w:type="dxa"/>
            <w:shd w:val="clear" w:color="auto" w:fill="D9D9D9" w:themeFill="background1" w:themeFillShade="D9"/>
          </w:tcPr>
          <w:p w:rsidR="008B6ED7" w:rsidRPr="00362895" w:rsidRDefault="00362895" w:rsidP="008B6ED7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i/>
                <w:color w:val="000000" w:themeColor="text1"/>
                <w:sz w:val="20"/>
                <w:szCs w:val="20"/>
              </w:rPr>
              <w:t>p</w:t>
            </w:r>
            <w:r w:rsidR="008B6ED7" w:rsidRPr="00362895">
              <w:rPr>
                <w:b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8B6ED7" w:rsidRPr="00362895" w:rsidTr="0047490C">
        <w:trPr>
          <w:trHeight w:val="143"/>
        </w:trPr>
        <w:tc>
          <w:tcPr>
            <w:tcW w:w="10440" w:type="dxa"/>
            <w:gridSpan w:val="4"/>
          </w:tcPr>
          <w:p w:rsidR="008B6ED7" w:rsidRPr="00362895" w:rsidRDefault="008B6ED7" w:rsidP="008B6ED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i/>
                <w:color w:val="000000" w:themeColor="text1"/>
                <w:sz w:val="20"/>
                <w:szCs w:val="20"/>
              </w:rPr>
              <w:t>Clinical and Laboratory Characteristics</w:t>
            </w:r>
          </w:p>
        </w:tc>
      </w:tr>
      <w:tr w:rsidR="008B6ED7" w:rsidRPr="00362895" w:rsidTr="005E3A19">
        <w:trPr>
          <w:trHeight w:val="143"/>
        </w:trPr>
        <w:tc>
          <w:tcPr>
            <w:tcW w:w="4320" w:type="dxa"/>
          </w:tcPr>
          <w:p w:rsidR="008B6ED7" w:rsidRPr="00362895" w:rsidRDefault="008B6ED7" w:rsidP="008B6ED7">
            <w:pPr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Birthweight,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 xml:space="preserve">grams </w:t>
            </w:r>
            <w:r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2,125 [1,760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2,572]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1,375 [961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1,987]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Newborn female sex †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16</w:t>
            </w:r>
            <w:r w:rsidR="00362895">
              <w:rPr>
                <w:color w:val="000000" w:themeColor="text1"/>
                <w:sz w:val="20"/>
                <w:szCs w:val="20"/>
              </w:rPr>
              <w:t xml:space="preserve"> (40)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13 (42)</w:t>
            </w:r>
          </w:p>
        </w:tc>
        <w:tc>
          <w:tcPr>
            <w:tcW w:w="1162" w:type="dxa"/>
          </w:tcPr>
          <w:p w:rsidR="008B6ED7" w:rsidRPr="00362895" w:rsidRDefault="00362895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1.000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1-min Apgar &lt;7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8 (20)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17 (55)</w:t>
            </w:r>
          </w:p>
        </w:tc>
        <w:tc>
          <w:tcPr>
            <w:tcW w:w="1162" w:type="dxa"/>
          </w:tcPr>
          <w:p w:rsidR="008B6ED7" w:rsidRPr="00362895" w:rsidRDefault="007252D8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5-min Apgar &lt;7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4 (10)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7 (23)</w:t>
            </w:r>
          </w:p>
        </w:tc>
        <w:tc>
          <w:tcPr>
            <w:tcW w:w="1162" w:type="dxa"/>
          </w:tcPr>
          <w:p w:rsidR="008B6ED7" w:rsidRPr="00362895" w:rsidRDefault="007252D8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0.192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WBC count,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>cells x 1,000/mm</w:t>
            </w:r>
            <w:r w:rsidRPr="00362895">
              <w:rPr>
                <w:i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r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11.1 [8.5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15.1]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14.2 [8.7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21.9]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0.204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Hemoglobin,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>g/</w:t>
            </w:r>
            <w:proofErr w:type="spellStart"/>
            <w:r w:rsidRPr="00362895">
              <w:rPr>
                <w:i/>
                <w:color w:val="000000" w:themeColor="text1"/>
                <w:sz w:val="20"/>
                <w:szCs w:val="20"/>
              </w:rPr>
              <w:t>dL</w:t>
            </w:r>
            <w:proofErr w:type="spellEnd"/>
            <w:r w:rsidRPr="00362895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16.2 [15.1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18.5]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15.7 [14.2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16.9]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0.116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Hematocrit,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>%</w:t>
            </w:r>
            <w:r w:rsidRPr="00362895">
              <w:rPr>
                <w:color w:val="000000" w:themeColor="text1"/>
                <w:sz w:val="20"/>
                <w:szCs w:val="20"/>
              </w:rPr>
              <w:t xml:space="preserve"> 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48.9 [44.7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54.8]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47.7 [43.3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51.6]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0.233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Bands,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>%</w:t>
            </w:r>
            <w:r w:rsidRPr="00362895">
              <w:rPr>
                <w:color w:val="000000" w:themeColor="text1"/>
                <w:sz w:val="20"/>
                <w:szCs w:val="20"/>
              </w:rPr>
              <w:t xml:space="preserve"> 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 [0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2]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 [1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4]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0.036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Segmented neutrophils, % 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43 [32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54]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38 [21 -52]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0.109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Monocytes,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>%</w:t>
            </w:r>
            <w:r w:rsidRPr="00362895">
              <w:rPr>
                <w:color w:val="000000" w:themeColor="text1"/>
                <w:sz w:val="20"/>
                <w:szCs w:val="20"/>
              </w:rPr>
              <w:t xml:space="preserve"> 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9 [5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12]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9 [6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13]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0.215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Lymphocytes,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>%</w:t>
            </w:r>
            <w:r w:rsidRPr="00362895">
              <w:rPr>
                <w:color w:val="000000" w:themeColor="text1"/>
                <w:sz w:val="20"/>
                <w:szCs w:val="20"/>
              </w:rPr>
              <w:t xml:space="preserve"> 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43 [30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54]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42 [30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58]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0.577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Nucleated RBCs,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>cells/mm</w:t>
            </w:r>
            <w:r w:rsidRPr="00362895">
              <w:rPr>
                <w:i/>
                <w:color w:val="000000" w:themeColor="text1"/>
                <w:sz w:val="20"/>
                <w:szCs w:val="20"/>
                <w:vertAlign w:val="superscript"/>
              </w:rPr>
              <w:t xml:space="preserve">3 </w:t>
            </w:r>
            <w:r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3 [2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8]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13 [4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20]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8B6ED7" w:rsidRPr="00362895" w:rsidTr="0038514E">
        <w:tc>
          <w:tcPr>
            <w:tcW w:w="10440" w:type="dxa"/>
            <w:gridSpan w:val="4"/>
            <w:shd w:val="clear" w:color="auto" w:fill="auto"/>
          </w:tcPr>
          <w:p w:rsidR="008B6ED7" w:rsidRPr="00362895" w:rsidRDefault="008B6ED7" w:rsidP="008B6ED7">
            <w:pPr>
              <w:contextualSpacing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362895">
              <w:rPr>
                <w:b/>
                <w:i/>
                <w:color w:val="000000" w:themeColor="text1"/>
                <w:sz w:val="20"/>
                <w:szCs w:val="20"/>
              </w:rPr>
              <w:t>Research Laboratory Cord Blood Markers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Cord blood interleukin-6, </w:t>
            </w:r>
            <w:proofErr w:type="spellStart"/>
            <w:r w:rsidRPr="00362895">
              <w:rPr>
                <w:i/>
                <w:color w:val="000000" w:themeColor="text1"/>
                <w:sz w:val="20"/>
                <w:szCs w:val="20"/>
              </w:rPr>
              <w:t>pg</w:t>
            </w:r>
            <w:proofErr w:type="spellEnd"/>
            <w:r w:rsidRPr="00362895">
              <w:rPr>
                <w:i/>
                <w:color w:val="000000" w:themeColor="text1"/>
                <w:sz w:val="20"/>
                <w:szCs w:val="20"/>
              </w:rPr>
              <w:t xml:space="preserve">/mL </w:t>
            </w:r>
            <w:r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1.3 [0.4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2.5]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83.3 [19.7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283.6]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Cord blood interleukin-6 &gt;100 </w:t>
            </w:r>
            <w:proofErr w:type="spellStart"/>
            <w:r w:rsidRPr="00362895">
              <w:rPr>
                <w:color w:val="000000" w:themeColor="text1"/>
                <w:sz w:val="20"/>
                <w:szCs w:val="20"/>
              </w:rPr>
              <w:t>pg</w:t>
            </w:r>
            <w:proofErr w:type="spellEnd"/>
            <w:r w:rsidRPr="00362895">
              <w:rPr>
                <w:color w:val="000000" w:themeColor="text1"/>
                <w:sz w:val="20"/>
                <w:szCs w:val="20"/>
              </w:rPr>
              <w:t>/mL †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12 (39)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 xml:space="preserve">Cord blood </w:t>
            </w:r>
            <w:proofErr w:type="spellStart"/>
            <w:r w:rsidRPr="00362895">
              <w:rPr>
                <w:color w:val="000000" w:themeColor="text1"/>
                <w:sz w:val="20"/>
                <w:szCs w:val="20"/>
              </w:rPr>
              <w:t>haptoglobin</w:t>
            </w:r>
            <w:proofErr w:type="spellEnd"/>
            <w:r w:rsidRPr="00362895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362895">
              <w:rPr>
                <w:i/>
                <w:color w:val="000000" w:themeColor="text1"/>
                <w:sz w:val="20"/>
                <w:szCs w:val="20"/>
              </w:rPr>
              <w:t xml:space="preserve">ng/mL </w:t>
            </w:r>
            <w:r w:rsidRPr="00362895">
              <w:rPr>
                <w:color w:val="000000" w:themeColor="text1"/>
                <w:sz w:val="20"/>
                <w:szCs w:val="20"/>
              </w:rPr>
              <w:t>‡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732 [355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1,478]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19,553 [10,196</w:t>
            </w:r>
            <w:r w:rsidRPr="00362895">
              <w:rPr>
                <w:sz w:val="20"/>
                <w:szCs w:val="20"/>
              </w:rPr>
              <w:t xml:space="preserve"> – </w:t>
            </w:r>
            <w:r w:rsidRPr="00362895">
              <w:rPr>
                <w:color w:val="000000" w:themeColor="text1"/>
                <w:sz w:val="20"/>
                <w:szCs w:val="20"/>
              </w:rPr>
              <w:t>37,307]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8B6ED7" w:rsidRPr="00362895" w:rsidTr="0046402C">
        <w:tc>
          <w:tcPr>
            <w:tcW w:w="4320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95">
              <w:rPr>
                <w:color w:val="000000" w:themeColor="text1"/>
                <w:sz w:val="20"/>
                <w:szCs w:val="20"/>
              </w:rPr>
              <w:t>Haptoglobin</w:t>
            </w:r>
            <w:proofErr w:type="spellEnd"/>
            <w:r w:rsidRPr="00362895">
              <w:rPr>
                <w:color w:val="000000" w:themeColor="text1"/>
                <w:sz w:val="20"/>
                <w:szCs w:val="20"/>
              </w:rPr>
              <w:t xml:space="preserve"> switch-on pattern †</w:t>
            </w:r>
          </w:p>
        </w:tc>
        <w:tc>
          <w:tcPr>
            <w:tcW w:w="2313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2645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28 (90)</w:t>
            </w:r>
          </w:p>
        </w:tc>
        <w:tc>
          <w:tcPr>
            <w:tcW w:w="1162" w:type="dxa"/>
          </w:tcPr>
          <w:p w:rsidR="008B6ED7" w:rsidRPr="00362895" w:rsidRDefault="008B6ED7" w:rsidP="008B6ED7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362895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</w:tbl>
    <w:p w:rsidR="00362895" w:rsidRDefault="00362895" w:rsidP="00BF6F4E">
      <w:pPr>
        <w:rPr>
          <w:color w:val="000000" w:themeColor="text1"/>
        </w:rPr>
      </w:pPr>
    </w:p>
    <w:p w:rsidR="00B12C64" w:rsidRPr="00362895" w:rsidRDefault="00BF6F4E" w:rsidP="00BF6F4E">
      <w:pPr>
        <w:rPr>
          <w:color w:val="000000" w:themeColor="text1"/>
        </w:rPr>
      </w:pPr>
      <w:r w:rsidRPr="00362895">
        <w:rPr>
          <w:color w:val="000000" w:themeColor="text1"/>
        </w:rPr>
        <w:t xml:space="preserve">* </w:t>
      </w:r>
      <w:r w:rsidR="0032267F" w:rsidRPr="00362895">
        <w:rPr>
          <w:color w:val="000000" w:themeColor="text1"/>
        </w:rPr>
        <w:t>Five di-chorionic-diamniotic pregnancies were included in the study. M</w:t>
      </w:r>
      <w:r w:rsidRPr="00362895">
        <w:rPr>
          <w:color w:val="000000" w:themeColor="text1"/>
        </w:rPr>
        <w:t xml:space="preserve">ultiple pregnancies </w:t>
      </w:r>
      <w:r w:rsidR="0032267F" w:rsidRPr="00362895">
        <w:rPr>
          <w:color w:val="000000" w:themeColor="text1"/>
        </w:rPr>
        <w:t xml:space="preserve">were </w:t>
      </w:r>
      <w:r w:rsidRPr="00362895">
        <w:rPr>
          <w:color w:val="000000" w:themeColor="text1"/>
        </w:rPr>
        <w:t>considered EXP if at least one newborn qualifies as EXP</w:t>
      </w:r>
      <w:r w:rsidR="00BE6BA2" w:rsidRPr="00362895">
        <w:rPr>
          <w:color w:val="000000" w:themeColor="text1"/>
        </w:rPr>
        <w:t xml:space="preserve"> based on research cord blood biomarkers</w:t>
      </w:r>
      <w:r w:rsidRPr="00362895">
        <w:rPr>
          <w:color w:val="000000" w:themeColor="text1"/>
        </w:rPr>
        <w:t>.</w:t>
      </w:r>
      <w:r w:rsidR="0032267F" w:rsidRPr="00362895">
        <w:rPr>
          <w:color w:val="000000" w:themeColor="text1"/>
        </w:rPr>
        <w:t xml:space="preserve"> </w:t>
      </w:r>
    </w:p>
    <w:p w:rsidR="00D40CF7" w:rsidRPr="00362895" w:rsidRDefault="00D40CF7" w:rsidP="0046402C">
      <w:pPr>
        <w:rPr>
          <w:color w:val="000000" w:themeColor="text1"/>
        </w:rPr>
      </w:pPr>
      <w:r w:rsidRPr="00362895">
        <w:rPr>
          <w:color w:val="000000" w:themeColor="text1"/>
        </w:rPr>
        <w:t xml:space="preserve">† Variable presented as n (%) and proportions compared by Fisher’s exact test </w:t>
      </w:r>
    </w:p>
    <w:p w:rsidR="0046402C" w:rsidRPr="00362895" w:rsidRDefault="00D40CF7" w:rsidP="0046402C">
      <w:pPr>
        <w:rPr>
          <w:color w:val="000000" w:themeColor="text1"/>
        </w:rPr>
      </w:pPr>
      <w:r w:rsidRPr="00362895">
        <w:rPr>
          <w:color w:val="000000" w:themeColor="text1"/>
        </w:rPr>
        <w:t>‡</w:t>
      </w:r>
      <w:r w:rsidR="0046402C" w:rsidRPr="00362895">
        <w:rPr>
          <w:color w:val="000000" w:themeColor="text1"/>
        </w:rPr>
        <w:t xml:space="preserve"> Variable presented as median [interquartile range] and compared by </w:t>
      </w:r>
      <w:r w:rsidR="00D7546D" w:rsidRPr="00362895">
        <w:rPr>
          <w:color w:val="000000" w:themeColor="text1"/>
        </w:rPr>
        <w:t xml:space="preserve">the </w:t>
      </w:r>
      <w:r w:rsidR="0046402C" w:rsidRPr="00362895">
        <w:rPr>
          <w:color w:val="000000" w:themeColor="text1"/>
        </w:rPr>
        <w:t>Mann-Whitney test</w:t>
      </w:r>
    </w:p>
    <w:p w:rsidR="0046402C" w:rsidRPr="00362895" w:rsidRDefault="0046402C" w:rsidP="0046402C">
      <w:pPr>
        <w:rPr>
          <w:color w:val="000000" w:themeColor="text1"/>
        </w:rPr>
      </w:pPr>
      <w:r w:rsidRPr="00362895">
        <w:rPr>
          <w:color w:val="000000" w:themeColor="text1"/>
        </w:rPr>
        <w:t>¶ Placent</w:t>
      </w:r>
      <w:r w:rsidR="008265F4" w:rsidRPr="00362895">
        <w:rPr>
          <w:color w:val="000000" w:themeColor="text1"/>
        </w:rPr>
        <w:t xml:space="preserve">al pathology results were missing in 3 EXP and </w:t>
      </w:r>
      <w:r w:rsidR="00625558" w:rsidRPr="00362895">
        <w:rPr>
          <w:color w:val="000000" w:themeColor="text1"/>
        </w:rPr>
        <w:t>5</w:t>
      </w:r>
      <w:r w:rsidR="008265F4" w:rsidRPr="00362895">
        <w:rPr>
          <w:color w:val="000000" w:themeColor="text1"/>
        </w:rPr>
        <w:t xml:space="preserve"> NEXP </w:t>
      </w:r>
      <w:r w:rsidR="00625558" w:rsidRPr="00362895">
        <w:rPr>
          <w:color w:val="000000" w:themeColor="text1"/>
        </w:rPr>
        <w:t>newborns</w:t>
      </w:r>
      <w:r w:rsidR="008265F4" w:rsidRPr="00362895">
        <w:rPr>
          <w:color w:val="000000" w:themeColor="text1"/>
        </w:rPr>
        <w:t>.</w:t>
      </w:r>
    </w:p>
    <w:p w:rsidR="00146F5D" w:rsidRPr="00362895" w:rsidRDefault="00146F5D" w:rsidP="0046402C">
      <w:pPr>
        <w:rPr>
          <w:color w:val="000000" w:themeColor="text1"/>
        </w:rPr>
      </w:pPr>
      <w:r w:rsidRPr="00362895">
        <w:rPr>
          <w:color w:val="000000" w:themeColor="text1"/>
          <w:u w:val="single"/>
        </w:rPr>
        <w:t>Abbreviations:</w:t>
      </w:r>
      <w:r w:rsidRPr="00362895">
        <w:rPr>
          <w:color w:val="000000" w:themeColor="text1"/>
        </w:rPr>
        <w:t xml:space="preserve"> </w:t>
      </w:r>
      <w:r w:rsidR="00871CA2" w:rsidRPr="00362895">
        <w:rPr>
          <w:color w:val="000000" w:themeColor="text1"/>
        </w:rPr>
        <w:t xml:space="preserve">NEXP, non-exposed </w:t>
      </w:r>
      <w:proofErr w:type="spellStart"/>
      <w:r w:rsidR="002B4E70" w:rsidRPr="00362895">
        <w:rPr>
          <w:color w:val="000000" w:themeColor="text1"/>
        </w:rPr>
        <w:t>antenatally</w:t>
      </w:r>
      <w:proofErr w:type="spellEnd"/>
      <w:r w:rsidR="00871CA2" w:rsidRPr="00362895">
        <w:rPr>
          <w:color w:val="000000" w:themeColor="text1"/>
        </w:rPr>
        <w:t xml:space="preserve"> to Triple I; EXP, exposed to Triple I; </w:t>
      </w:r>
      <w:r w:rsidRPr="00362895">
        <w:rPr>
          <w:color w:val="000000" w:themeColor="text1"/>
        </w:rPr>
        <w:t>PPROM, preterm premature rupture of membranes; WBC, white blood cell; RBC, red blood cell</w:t>
      </w:r>
    </w:p>
    <w:p w:rsidR="0046402C" w:rsidRPr="00362895" w:rsidRDefault="0046402C" w:rsidP="00BF6F4E">
      <w:pPr>
        <w:rPr>
          <w:color w:val="000000" w:themeColor="text1"/>
          <w:sz w:val="21"/>
          <w:szCs w:val="21"/>
        </w:rPr>
      </w:pPr>
    </w:p>
    <w:sectPr w:rsidR="0046402C" w:rsidRPr="0036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B70DD"/>
    <w:multiLevelType w:val="hybridMultilevel"/>
    <w:tmpl w:val="1B9EF170"/>
    <w:lvl w:ilvl="0" w:tplc="75E2F7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048AB"/>
    <w:multiLevelType w:val="hybridMultilevel"/>
    <w:tmpl w:val="721C271A"/>
    <w:lvl w:ilvl="0" w:tplc="1D98BC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64"/>
    <w:rsid w:val="000054D0"/>
    <w:rsid w:val="0004068C"/>
    <w:rsid w:val="0009635B"/>
    <w:rsid w:val="000B263D"/>
    <w:rsid w:val="000D5C2B"/>
    <w:rsid w:val="000E677B"/>
    <w:rsid w:val="00125270"/>
    <w:rsid w:val="00146F5D"/>
    <w:rsid w:val="00147C23"/>
    <w:rsid w:val="00150FD8"/>
    <w:rsid w:val="001E570F"/>
    <w:rsid w:val="001F278B"/>
    <w:rsid w:val="001F4C23"/>
    <w:rsid w:val="0021320E"/>
    <w:rsid w:val="002835E5"/>
    <w:rsid w:val="00291664"/>
    <w:rsid w:val="002B4E70"/>
    <w:rsid w:val="002E58CE"/>
    <w:rsid w:val="0032267F"/>
    <w:rsid w:val="00362895"/>
    <w:rsid w:val="00363458"/>
    <w:rsid w:val="003D1007"/>
    <w:rsid w:val="00436A65"/>
    <w:rsid w:val="00441EB0"/>
    <w:rsid w:val="0046402C"/>
    <w:rsid w:val="00490125"/>
    <w:rsid w:val="004B0E41"/>
    <w:rsid w:val="004B2BDE"/>
    <w:rsid w:val="004B5064"/>
    <w:rsid w:val="004E0A1B"/>
    <w:rsid w:val="004E0C87"/>
    <w:rsid w:val="004E45A0"/>
    <w:rsid w:val="004F2BD8"/>
    <w:rsid w:val="004F7924"/>
    <w:rsid w:val="0057190E"/>
    <w:rsid w:val="005E19EF"/>
    <w:rsid w:val="005E268C"/>
    <w:rsid w:val="005E3A19"/>
    <w:rsid w:val="00606B21"/>
    <w:rsid w:val="00625558"/>
    <w:rsid w:val="00687633"/>
    <w:rsid w:val="006C0B8D"/>
    <w:rsid w:val="006F31EB"/>
    <w:rsid w:val="007070BF"/>
    <w:rsid w:val="00723369"/>
    <w:rsid w:val="007252D8"/>
    <w:rsid w:val="00744839"/>
    <w:rsid w:val="00776083"/>
    <w:rsid w:val="007801BB"/>
    <w:rsid w:val="007A78A4"/>
    <w:rsid w:val="007B1516"/>
    <w:rsid w:val="007C7916"/>
    <w:rsid w:val="007E312E"/>
    <w:rsid w:val="0080587E"/>
    <w:rsid w:val="008265F4"/>
    <w:rsid w:val="00840582"/>
    <w:rsid w:val="00865D3D"/>
    <w:rsid w:val="00871CA2"/>
    <w:rsid w:val="00895307"/>
    <w:rsid w:val="00897D0F"/>
    <w:rsid w:val="008B6ED7"/>
    <w:rsid w:val="008D6AEA"/>
    <w:rsid w:val="008D7DE8"/>
    <w:rsid w:val="008F28A2"/>
    <w:rsid w:val="0091339F"/>
    <w:rsid w:val="009207A6"/>
    <w:rsid w:val="00993F77"/>
    <w:rsid w:val="009C6A02"/>
    <w:rsid w:val="009F52F1"/>
    <w:rsid w:val="00A16A72"/>
    <w:rsid w:val="00A173CE"/>
    <w:rsid w:val="00A20B0A"/>
    <w:rsid w:val="00A9508B"/>
    <w:rsid w:val="00A951D0"/>
    <w:rsid w:val="00AE768C"/>
    <w:rsid w:val="00AF3682"/>
    <w:rsid w:val="00B031DF"/>
    <w:rsid w:val="00B12C64"/>
    <w:rsid w:val="00B4110D"/>
    <w:rsid w:val="00B51E01"/>
    <w:rsid w:val="00BB1693"/>
    <w:rsid w:val="00BE4891"/>
    <w:rsid w:val="00BE6BA2"/>
    <w:rsid w:val="00BF6F4E"/>
    <w:rsid w:val="00C14D74"/>
    <w:rsid w:val="00C1678A"/>
    <w:rsid w:val="00C65B59"/>
    <w:rsid w:val="00CA253A"/>
    <w:rsid w:val="00D06D69"/>
    <w:rsid w:val="00D40CF7"/>
    <w:rsid w:val="00D7546D"/>
    <w:rsid w:val="00D92961"/>
    <w:rsid w:val="00DC0C40"/>
    <w:rsid w:val="00F1470E"/>
    <w:rsid w:val="00F30B69"/>
    <w:rsid w:val="00F62984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AB276"/>
  <w15:docId w15:val="{6EDAF5A8-6158-452E-A91A-E96F48AD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8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0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2447</Characters>
  <Application>Microsoft Office Word</Application>
  <DocSecurity>0</DocSecurity>
  <Lines>188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NCHRI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Buhimschi, Irina</dc:creator>
  <cp:lastModifiedBy>Buhimschi, Irina</cp:lastModifiedBy>
  <cp:revision>2</cp:revision>
  <cp:lastPrinted>2021-08-31T19:24:00Z</cp:lastPrinted>
  <dcterms:created xsi:type="dcterms:W3CDTF">2025-08-11T23:03:00Z</dcterms:created>
  <dcterms:modified xsi:type="dcterms:W3CDTF">2025-08-11T23:03:00Z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d324b7b1-0342-4b3f-af13-a9eb66324209</vt:lpwstr>
  </property>
</Properties>
</file>