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64" w:rsidRPr="008F28A2" w:rsidRDefault="00B12C64" w:rsidP="008F28A2">
      <w:pPr>
        <w:spacing w:line="480" w:lineRule="auto"/>
        <w:rPr>
          <w:bCs/>
          <w:sz w:val="24"/>
          <w:szCs w:val="24"/>
        </w:rPr>
      </w:pPr>
      <w:r w:rsidRPr="00FB35D0">
        <w:rPr>
          <w:b/>
          <w:color w:val="000000" w:themeColor="text1"/>
          <w:sz w:val="24"/>
          <w:szCs w:val="24"/>
        </w:rPr>
        <w:t xml:space="preserve">Table 1. Demographic </w:t>
      </w:r>
      <w:r w:rsidR="00BE4891">
        <w:rPr>
          <w:b/>
          <w:color w:val="000000" w:themeColor="text1"/>
          <w:sz w:val="24"/>
          <w:szCs w:val="24"/>
        </w:rPr>
        <w:t>and clinical characteristics of</w:t>
      </w:r>
      <w:r w:rsidR="00DC0C40">
        <w:rPr>
          <w:b/>
          <w:color w:val="000000" w:themeColor="text1"/>
          <w:sz w:val="24"/>
          <w:szCs w:val="24"/>
        </w:rPr>
        <w:t xml:space="preserve"> </w:t>
      </w:r>
      <w:r w:rsidR="00BE4891">
        <w:rPr>
          <w:b/>
          <w:color w:val="000000" w:themeColor="text1"/>
          <w:sz w:val="24"/>
          <w:szCs w:val="24"/>
        </w:rPr>
        <w:t>mothers and their newborns</w:t>
      </w:r>
      <w:r w:rsidR="007A78A4">
        <w:rPr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2493"/>
      </w:tblGrid>
      <w:tr w:rsidR="00FA4D38" w:rsidRPr="00362895" w:rsidTr="00147C23">
        <w:trPr>
          <w:trHeight w:val="253"/>
          <w:jc w:val="center"/>
        </w:trPr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D38" w:rsidRPr="00362895" w:rsidRDefault="00147C23" w:rsidP="006101EA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D38" w:rsidRPr="00362895" w:rsidRDefault="00147C23" w:rsidP="00147C23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>Median [IQR] or n (%)</w:t>
            </w:r>
          </w:p>
        </w:tc>
      </w:tr>
      <w:tr w:rsidR="00606B21" w:rsidRPr="00362895" w:rsidTr="00147C23">
        <w:trPr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:rsidR="00606B21" w:rsidRPr="00362895" w:rsidRDefault="00606B21" w:rsidP="006101EA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>Maternal characteristics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:rsidR="00606B21" w:rsidRPr="00362895" w:rsidRDefault="00147C23" w:rsidP="006101EA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 xml:space="preserve">n </w:t>
            </w:r>
            <w:r w:rsidR="00606B21" w:rsidRPr="00362895">
              <w:rPr>
                <w:b/>
                <w:color w:val="000000" w:themeColor="text1"/>
                <w:sz w:val="20"/>
                <w:szCs w:val="20"/>
              </w:rPr>
              <w:t>=</w:t>
            </w:r>
            <w:r w:rsidRPr="0036289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6B21" w:rsidRPr="00362895">
              <w:rPr>
                <w:b/>
                <w:color w:val="000000" w:themeColor="text1"/>
                <w:sz w:val="20"/>
                <w:szCs w:val="20"/>
              </w:rPr>
              <w:t>66</w:t>
            </w:r>
          </w:p>
        </w:tc>
      </w:tr>
      <w:tr w:rsidR="00FA4D38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FA4D38" w:rsidRPr="00362895" w:rsidRDefault="00FA4D38" w:rsidP="006101EA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Age, </w:t>
            </w:r>
            <w:r w:rsidRPr="00362895">
              <w:rPr>
                <w:i/>
                <w:iCs/>
                <w:color w:val="000000" w:themeColor="text1"/>
                <w:sz w:val="20"/>
                <w:szCs w:val="20"/>
              </w:rPr>
              <w:t>years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93" w:type="dxa"/>
            <w:shd w:val="clear" w:color="auto" w:fill="auto"/>
          </w:tcPr>
          <w:p w:rsidR="00FA4D38" w:rsidRPr="00362895" w:rsidRDefault="00DC0C40" w:rsidP="006101E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28 [23</w:t>
            </w:r>
            <w:r w:rsidR="00147C23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="00147C23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95">
              <w:rPr>
                <w:color w:val="000000" w:themeColor="text1"/>
                <w:sz w:val="20"/>
                <w:szCs w:val="20"/>
              </w:rPr>
              <w:t>32]</w:t>
            </w:r>
          </w:p>
        </w:tc>
      </w:tr>
      <w:tr w:rsidR="008D6AEA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8D6AEA" w:rsidRPr="00362895" w:rsidRDefault="008D6AEA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Race/ethnicity </w:t>
            </w:r>
          </w:p>
          <w:p w:rsidR="008D6AEA" w:rsidRPr="00362895" w:rsidRDefault="008D6AEA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 Non-Hispanic White</w:t>
            </w:r>
          </w:p>
          <w:p w:rsidR="008D6AEA" w:rsidRPr="00362895" w:rsidRDefault="008D6AEA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 Non-Hispanic Black</w:t>
            </w:r>
          </w:p>
          <w:p w:rsidR="008D6AEA" w:rsidRPr="00362895" w:rsidRDefault="008D6AEA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 Hispanic</w:t>
            </w:r>
          </w:p>
          <w:p w:rsidR="008D6AEA" w:rsidRPr="00362895" w:rsidRDefault="008D6AEA" w:rsidP="00DC0C40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 </w:t>
            </w:r>
            <w:r w:rsidR="00DC0C40" w:rsidRPr="00362895">
              <w:rPr>
                <w:color w:val="000000" w:themeColor="text1"/>
                <w:sz w:val="20"/>
                <w:szCs w:val="20"/>
              </w:rPr>
              <w:t>Asian</w:t>
            </w:r>
          </w:p>
        </w:tc>
        <w:tc>
          <w:tcPr>
            <w:tcW w:w="2493" w:type="dxa"/>
            <w:shd w:val="clear" w:color="auto" w:fill="auto"/>
          </w:tcPr>
          <w:p w:rsidR="008D6AEA" w:rsidRPr="00362895" w:rsidRDefault="008D6AEA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8D6AEA" w:rsidRPr="00362895" w:rsidRDefault="00DC0C40" w:rsidP="008D6AE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53</w:t>
            </w:r>
            <w:r w:rsidR="007A78A4" w:rsidRPr="00362895">
              <w:rPr>
                <w:color w:val="000000" w:themeColor="text1"/>
                <w:sz w:val="20"/>
                <w:szCs w:val="20"/>
              </w:rPr>
              <w:t xml:space="preserve"> (80)</w:t>
            </w:r>
          </w:p>
          <w:p w:rsidR="00DC0C40" w:rsidRPr="00362895" w:rsidRDefault="00DC0C40" w:rsidP="008D6AE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9</w:t>
            </w:r>
            <w:r w:rsidR="007A78A4" w:rsidRPr="00362895">
              <w:rPr>
                <w:color w:val="000000" w:themeColor="text1"/>
                <w:sz w:val="20"/>
                <w:szCs w:val="20"/>
              </w:rPr>
              <w:t xml:space="preserve"> (14)</w:t>
            </w:r>
          </w:p>
          <w:p w:rsidR="00DC0C40" w:rsidRPr="00362895" w:rsidRDefault="00DC0C40" w:rsidP="008D6AE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</w:t>
            </w:r>
            <w:r w:rsidR="007A78A4" w:rsidRPr="00362895">
              <w:rPr>
                <w:color w:val="000000" w:themeColor="text1"/>
                <w:sz w:val="20"/>
                <w:szCs w:val="20"/>
              </w:rPr>
              <w:t xml:space="preserve"> (5)</w:t>
            </w:r>
          </w:p>
          <w:p w:rsidR="00DC0C40" w:rsidRPr="00362895" w:rsidRDefault="00DC0C40" w:rsidP="008D6AE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</w:t>
            </w:r>
            <w:r w:rsidR="007A78A4" w:rsidRPr="00362895">
              <w:rPr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8D6AEA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8D6AEA" w:rsidRPr="00362895" w:rsidRDefault="008D6AEA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Parity </w:t>
            </w:r>
          </w:p>
          <w:p w:rsidR="008D6AEA" w:rsidRPr="00362895" w:rsidRDefault="008D6AEA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  Nulliparous</w:t>
            </w:r>
          </w:p>
          <w:p w:rsidR="008D6AEA" w:rsidRPr="00362895" w:rsidRDefault="008D6AEA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  Para 1</w:t>
            </w:r>
          </w:p>
          <w:p w:rsidR="008D6AEA" w:rsidRPr="00362895" w:rsidRDefault="008D6AEA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  Para  ≥2</w:t>
            </w:r>
          </w:p>
        </w:tc>
        <w:tc>
          <w:tcPr>
            <w:tcW w:w="2493" w:type="dxa"/>
            <w:shd w:val="clear" w:color="auto" w:fill="auto"/>
          </w:tcPr>
          <w:p w:rsidR="008D6AEA" w:rsidRPr="00362895" w:rsidRDefault="008D6AEA" w:rsidP="008D6AE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0C40" w:rsidRPr="00362895" w:rsidRDefault="00DC0C40" w:rsidP="008D6AE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29</w:t>
            </w:r>
            <w:r w:rsidR="007A78A4" w:rsidRPr="00362895">
              <w:rPr>
                <w:color w:val="000000" w:themeColor="text1"/>
                <w:sz w:val="20"/>
                <w:szCs w:val="20"/>
              </w:rPr>
              <w:t xml:space="preserve"> (44)</w:t>
            </w:r>
          </w:p>
          <w:p w:rsidR="00DC0C40" w:rsidRPr="00362895" w:rsidRDefault="00DC0C40" w:rsidP="008D6AE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20</w:t>
            </w:r>
            <w:r w:rsidR="007A78A4" w:rsidRPr="00362895">
              <w:rPr>
                <w:color w:val="000000" w:themeColor="text1"/>
                <w:sz w:val="20"/>
                <w:szCs w:val="20"/>
              </w:rPr>
              <w:t xml:space="preserve"> (30)</w:t>
            </w:r>
          </w:p>
          <w:p w:rsidR="008D6AEA" w:rsidRPr="00362895" w:rsidRDefault="00DC0C40" w:rsidP="00DC0C4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17</w:t>
            </w:r>
            <w:r w:rsidR="007A78A4" w:rsidRPr="00362895">
              <w:rPr>
                <w:color w:val="000000" w:themeColor="text1"/>
                <w:sz w:val="20"/>
                <w:szCs w:val="20"/>
              </w:rPr>
              <w:t xml:space="preserve"> (26)</w:t>
            </w:r>
          </w:p>
        </w:tc>
      </w:tr>
      <w:tr w:rsidR="008D6AEA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8D6AEA" w:rsidRPr="00362895" w:rsidRDefault="00DC0C40" w:rsidP="008D6AEA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>Multiple</w:t>
            </w:r>
            <w:r w:rsidR="00BE4891" w:rsidRPr="00362895">
              <w:rPr>
                <w:iCs/>
                <w:color w:val="000000" w:themeColor="text1"/>
                <w:sz w:val="20"/>
                <w:szCs w:val="20"/>
              </w:rPr>
              <w:t xml:space="preserve"> (twin)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gestation</w:t>
            </w:r>
          </w:p>
        </w:tc>
        <w:tc>
          <w:tcPr>
            <w:tcW w:w="2493" w:type="dxa"/>
            <w:shd w:val="clear" w:color="auto" w:fill="auto"/>
          </w:tcPr>
          <w:p w:rsidR="008D6AEA" w:rsidRPr="00362895" w:rsidRDefault="00DC0C40" w:rsidP="008D6AE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5</w:t>
            </w:r>
            <w:r w:rsidR="007A78A4" w:rsidRPr="00362895">
              <w:rPr>
                <w:color w:val="000000" w:themeColor="text1"/>
                <w:sz w:val="20"/>
                <w:szCs w:val="20"/>
              </w:rPr>
              <w:t xml:space="preserve"> (8)</w:t>
            </w:r>
          </w:p>
        </w:tc>
      </w:tr>
      <w:tr w:rsidR="008D6AEA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8D6AEA" w:rsidRPr="00362895" w:rsidRDefault="00BE4891" w:rsidP="008D6AEA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>Body Mass Index</w:t>
            </w:r>
            <w:r w:rsidR="00150FD8" w:rsidRPr="00362895">
              <w:rPr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150FD8" w:rsidRPr="00362895">
              <w:rPr>
                <w:i/>
                <w:sz w:val="20"/>
                <w:szCs w:val="20"/>
              </w:rPr>
              <w:t>kg/m</w:t>
            </w:r>
            <w:r w:rsidR="00150FD8" w:rsidRPr="00362895">
              <w:rPr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93" w:type="dxa"/>
            <w:shd w:val="clear" w:color="auto" w:fill="auto"/>
          </w:tcPr>
          <w:p w:rsidR="008D6AEA" w:rsidRPr="00362895" w:rsidRDefault="00DC0C40" w:rsidP="00DC0C4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30 [27</w:t>
            </w:r>
            <w:r w:rsidR="00147C23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="00147C23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95">
              <w:rPr>
                <w:color w:val="000000" w:themeColor="text1"/>
                <w:sz w:val="20"/>
                <w:szCs w:val="20"/>
              </w:rPr>
              <w:t>37]</w:t>
            </w:r>
          </w:p>
        </w:tc>
      </w:tr>
      <w:tr w:rsidR="007A78A4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7A78A4" w:rsidRPr="00362895" w:rsidRDefault="00BE4891" w:rsidP="007A78A4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History of preterm birth</w:t>
            </w:r>
          </w:p>
        </w:tc>
        <w:tc>
          <w:tcPr>
            <w:tcW w:w="2493" w:type="dxa"/>
            <w:shd w:val="clear" w:color="auto" w:fill="auto"/>
          </w:tcPr>
          <w:p w:rsidR="007A78A4" w:rsidRPr="00362895" w:rsidRDefault="00895307" w:rsidP="007A78A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 (5)</w:t>
            </w:r>
          </w:p>
        </w:tc>
      </w:tr>
      <w:tr w:rsidR="00A9508B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A9508B" w:rsidRPr="00362895" w:rsidRDefault="00A9508B" w:rsidP="004E45A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Gestational age at </w:t>
            </w:r>
            <w:r w:rsidR="004E45A0" w:rsidRPr="00362895">
              <w:rPr>
                <w:iCs/>
                <w:color w:val="000000" w:themeColor="text1"/>
                <w:sz w:val="20"/>
                <w:szCs w:val="20"/>
              </w:rPr>
              <w:t>PPROM</w:t>
            </w:r>
            <w:r w:rsidR="00147C23" w:rsidRPr="00362895">
              <w:rPr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147C23" w:rsidRPr="00362895">
              <w:rPr>
                <w:i/>
                <w:iCs/>
                <w:color w:val="000000" w:themeColor="text1"/>
                <w:sz w:val="20"/>
                <w:szCs w:val="20"/>
              </w:rPr>
              <w:t>weeks</w:t>
            </w:r>
          </w:p>
        </w:tc>
        <w:tc>
          <w:tcPr>
            <w:tcW w:w="2493" w:type="dxa"/>
            <w:shd w:val="clear" w:color="auto" w:fill="auto"/>
          </w:tcPr>
          <w:p w:rsidR="00A9508B" w:rsidRPr="00362895" w:rsidRDefault="00A9508B" w:rsidP="004E45A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</w:t>
            </w:r>
            <w:r w:rsidR="004E45A0" w:rsidRPr="00362895">
              <w:rPr>
                <w:color w:val="000000" w:themeColor="text1"/>
                <w:sz w:val="20"/>
                <w:szCs w:val="20"/>
              </w:rPr>
              <w:t>3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[28</w:t>
            </w:r>
            <w:r w:rsidR="00147C23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="00147C23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95">
              <w:rPr>
                <w:color w:val="000000" w:themeColor="text1"/>
                <w:sz w:val="20"/>
                <w:szCs w:val="20"/>
              </w:rPr>
              <w:t>34]</w:t>
            </w:r>
          </w:p>
        </w:tc>
      </w:tr>
      <w:tr w:rsidR="007A78A4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7A78A4" w:rsidRPr="00362895" w:rsidRDefault="007A78A4" w:rsidP="007A78A4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>Gestational age at PPROM</w:t>
            </w:r>
            <w:r w:rsidR="00A9508B" w:rsidRPr="00362895">
              <w:rPr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9508B" w:rsidRPr="00362895">
              <w:rPr>
                <w:i/>
                <w:iCs/>
                <w:color w:val="000000" w:themeColor="text1"/>
                <w:sz w:val="20"/>
                <w:szCs w:val="20"/>
              </w:rPr>
              <w:t>intervals</w:t>
            </w:r>
          </w:p>
          <w:p w:rsidR="007A78A4" w:rsidRPr="00362895" w:rsidRDefault="007A78A4" w:rsidP="007A78A4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&lt;25</w:t>
            </w:r>
            <w:r w:rsidR="00606B21"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weeks</w:t>
            </w:r>
          </w:p>
          <w:p w:rsidR="007A78A4" w:rsidRPr="00362895" w:rsidRDefault="007A78A4" w:rsidP="007A78A4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25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-27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weeks</w:t>
            </w:r>
          </w:p>
          <w:p w:rsidR="007A78A4" w:rsidRPr="00362895" w:rsidRDefault="007A78A4" w:rsidP="007A78A4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28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-31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weeks</w:t>
            </w:r>
          </w:p>
          <w:p w:rsidR="007A78A4" w:rsidRPr="00362895" w:rsidRDefault="007A78A4" w:rsidP="007A78A4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32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-33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weeks</w:t>
            </w:r>
          </w:p>
          <w:p w:rsidR="007A78A4" w:rsidRPr="00362895" w:rsidRDefault="007A78A4" w:rsidP="007A78A4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34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="00895307" w:rsidRPr="00362895">
              <w:rPr>
                <w:iCs/>
                <w:color w:val="000000" w:themeColor="text1"/>
                <w:sz w:val="20"/>
                <w:szCs w:val="20"/>
              </w:rPr>
              <w:t>-36</w:t>
            </w:r>
            <w:r w:rsidR="00895307"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weeks</w:t>
            </w:r>
          </w:p>
        </w:tc>
        <w:tc>
          <w:tcPr>
            <w:tcW w:w="2493" w:type="dxa"/>
            <w:shd w:val="clear" w:color="auto" w:fill="auto"/>
          </w:tcPr>
          <w:p w:rsidR="007A78A4" w:rsidRPr="00362895" w:rsidRDefault="007A78A4" w:rsidP="007A78A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5307" w:rsidRPr="00362895" w:rsidRDefault="00895307" w:rsidP="007A78A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</w:t>
            </w:r>
            <w:r w:rsidR="00C1678A" w:rsidRPr="00362895">
              <w:rPr>
                <w:color w:val="000000" w:themeColor="text1"/>
                <w:sz w:val="20"/>
                <w:szCs w:val="20"/>
              </w:rPr>
              <w:t>0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(1</w:t>
            </w:r>
            <w:r w:rsidR="00C1678A" w:rsidRPr="00362895">
              <w:rPr>
                <w:color w:val="000000" w:themeColor="text1"/>
                <w:sz w:val="20"/>
                <w:szCs w:val="20"/>
              </w:rPr>
              <w:t>5</w:t>
            </w:r>
            <w:r w:rsidRPr="00362895">
              <w:rPr>
                <w:color w:val="000000" w:themeColor="text1"/>
                <w:sz w:val="20"/>
                <w:szCs w:val="20"/>
              </w:rPr>
              <w:t>)</w:t>
            </w:r>
          </w:p>
          <w:p w:rsidR="00895307" w:rsidRPr="00362895" w:rsidRDefault="00895307" w:rsidP="007A78A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7 (</w:t>
            </w:r>
            <w:r w:rsidR="00A951D0" w:rsidRPr="00362895">
              <w:rPr>
                <w:color w:val="000000" w:themeColor="text1"/>
                <w:sz w:val="20"/>
                <w:szCs w:val="20"/>
              </w:rPr>
              <w:t>11)</w:t>
            </w:r>
          </w:p>
          <w:p w:rsidR="00895307" w:rsidRPr="00362895" w:rsidRDefault="00895307" w:rsidP="007A78A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14</w:t>
            </w:r>
            <w:r w:rsidR="00A951D0" w:rsidRPr="00362895">
              <w:rPr>
                <w:color w:val="000000" w:themeColor="text1"/>
                <w:sz w:val="20"/>
                <w:szCs w:val="20"/>
              </w:rPr>
              <w:t xml:space="preserve"> (21)</w:t>
            </w:r>
          </w:p>
          <w:p w:rsidR="00895307" w:rsidRPr="00362895" w:rsidRDefault="00895307" w:rsidP="007A78A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14</w:t>
            </w:r>
            <w:r w:rsidR="00A951D0" w:rsidRPr="00362895">
              <w:rPr>
                <w:color w:val="000000" w:themeColor="text1"/>
                <w:sz w:val="20"/>
                <w:szCs w:val="20"/>
              </w:rPr>
              <w:t xml:space="preserve"> (21)</w:t>
            </w:r>
          </w:p>
          <w:p w:rsidR="00895307" w:rsidRPr="00362895" w:rsidRDefault="00895307" w:rsidP="00C1678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</w:t>
            </w:r>
            <w:r w:rsidR="00C1678A" w:rsidRPr="00362895">
              <w:rPr>
                <w:color w:val="000000" w:themeColor="text1"/>
                <w:sz w:val="20"/>
                <w:szCs w:val="20"/>
              </w:rPr>
              <w:t>1</w:t>
            </w:r>
            <w:r w:rsidR="00A951D0" w:rsidRPr="00362895">
              <w:rPr>
                <w:color w:val="000000" w:themeColor="text1"/>
                <w:sz w:val="20"/>
                <w:szCs w:val="20"/>
              </w:rPr>
              <w:t xml:space="preserve"> (3</w:t>
            </w:r>
            <w:r w:rsidR="00C1678A" w:rsidRPr="00362895">
              <w:rPr>
                <w:color w:val="000000" w:themeColor="text1"/>
                <w:sz w:val="20"/>
                <w:szCs w:val="20"/>
              </w:rPr>
              <w:t>2</w:t>
            </w:r>
            <w:r w:rsidR="00A951D0" w:rsidRPr="00362895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7A78A4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7A78A4" w:rsidRPr="00362895" w:rsidRDefault="007A78A4" w:rsidP="00BE4891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Clinical chorioamnionitis </w:t>
            </w:r>
          </w:p>
        </w:tc>
        <w:tc>
          <w:tcPr>
            <w:tcW w:w="2493" w:type="dxa"/>
            <w:shd w:val="clear" w:color="auto" w:fill="auto"/>
          </w:tcPr>
          <w:p w:rsidR="007A78A4" w:rsidRPr="00362895" w:rsidRDefault="000054D0" w:rsidP="000054D0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10</w:t>
            </w:r>
            <w:r w:rsidR="002835E5" w:rsidRPr="00362895">
              <w:rPr>
                <w:color w:val="000000" w:themeColor="text1"/>
                <w:sz w:val="20"/>
                <w:szCs w:val="20"/>
              </w:rPr>
              <w:t xml:space="preserve"> (</w:t>
            </w:r>
            <w:r w:rsidR="00A951D0" w:rsidRPr="00362895">
              <w:rPr>
                <w:color w:val="000000" w:themeColor="text1"/>
                <w:sz w:val="20"/>
                <w:szCs w:val="20"/>
              </w:rPr>
              <w:t>1</w:t>
            </w:r>
            <w:r w:rsidRPr="00362895">
              <w:rPr>
                <w:color w:val="000000" w:themeColor="text1"/>
                <w:sz w:val="20"/>
                <w:szCs w:val="20"/>
              </w:rPr>
              <w:t>5</w:t>
            </w:r>
            <w:r w:rsidR="002835E5" w:rsidRPr="00362895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835E5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2835E5" w:rsidRPr="00362895" w:rsidRDefault="002835E5" w:rsidP="002835E5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>Progesterone treatment during pregnancy</w:t>
            </w:r>
          </w:p>
        </w:tc>
        <w:tc>
          <w:tcPr>
            <w:tcW w:w="2493" w:type="dxa"/>
            <w:shd w:val="clear" w:color="auto" w:fill="auto"/>
          </w:tcPr>
          <w:p w:rsidR="002835E5" w:rsidRPr="00362895" w:rsidRDefault="002835E5" w:rsidP="002835E5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12 (18)</w:t>
            </w:r>
          </w:p>
        </w:tc>
      </w:tr>
      <w:tr w:rsidR="002835E5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2835E5" w:rsidRPr="00362895" w:rsidRDefault="002835E5" w:rsidP="002835E5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62895">
              <w:rPr>
                <w:iCs/>
                <w:color w:val="000000" w:themeColor="text1"/>
                <w:sz w:val="20"/>
                <w:szCs w:val="20"/>
              </w:rPr>
              <w:t>Tocolytic</w:t>
            </w:r>
            <w:proofErr w:type="spellEnd"/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treatment</w:t>
            </w:r>
          </w:p>
        </w:tc>
        <w:tc>
          <w:tcPr>
            <w:tcW w:w="2493" w:type="dxa"/>
            <w:shd w:val="clear" w:color="auto" w:fill="auto"/>
          </w:tcPr>
          <w:p w:rsidR="002835E5" w:rsidRPr="00362895" w:rsidRDefault="002835E5" w:rsidP="002835E5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6 (9)</w:t>
            </w:r>
          </w:p>
        </w:tc>
      </w:tr>
      <w:tr w:rsidR="00A16A72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Antenatal magnesium sulfate</w:t>
            </w:r>
          </w:p>
        </w:tc>
        <w:tc>
          <w:tcPr>
            <w:tcW w:w="2493" w:type="dxa"/>
            <w:shd w:val="clear" w:color="auto" w:fill="auto"/>
          </w:tcPr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23 (35)</w:t>
            </w:r>
          </w:p>
        </w:tc>
      </w:tr>
      <w:tr w:rsidR="00A16A72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Antenatal steroid exposure </w:t>
            </w:r>
          </w:p>
        </w:tc>
        <w:tc>
          <w:tcPr>
            <w:tcW w:w="2493" w:type="dxa"/>
            <w:shd w:val="clear" w:color="auto" w:fill="auto"/>
          </w:tcPr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59 (89)</w:t>
            </w:r>
          </w:p>
        </w:tc>
      </w:tr>
      <w:tr w:rsidR="00A16A72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Antenatal antibiotic treatment</w:t>
            </w:r>
          </w:p>
        </w:tc>
        <w:tc>
          <w:tcPr>
            <w:tcW w:w="2493" w:type="dxa"/>
            <w:shd w:val="clear" w:color="auto" w:fill="auto"/>
          </w:tcPr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65 (98)</w:t>
            </w:r>
          </w:p>
        </w:tc>
      </w:tr>
      <w:tr w:rsidR="00A16A72" w:rsidRPr="00362895" w:rsidTr="00E07F3C">
        <w:trPr>
          <w:jc w:val="center"/>
        </w:trPr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>Latency</w:t>
            </w:r>
            <w:r w:rsidR="005E268C" w:rsidRPr="00362895">
              <w:rPr>
                <w:iCs/>
                <w:color w:val="000000" w:themeColor="text1"/>
                <w:sz w:val="20"/>
                <w:szCs w:val="20"/>
              </w:rPr>
              <w:t xml:space="preserve"> by gestational age periods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362895">
              <w:rPr>
                <w:i/>
                <w:iCs/>
                <w:color w:val="000000" w:themeColor="text1"/>
                <w:sz w:val="20"/>
                <w:szCs w:val="20"/>
              </w:rPr>
              <w:t>days</w:t>
            </w:r>
          </w:p>
          <w:p w:rsidR="005E268C" w:rsidRPr="00362895" w:rsidRDefault="005E268C" w:rsidP="005E268C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&lt;25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weeks</w:t>
            </w:r>
          </w:p>
          <w:p w:rsidR="005E268C" w:rsidRPr="00362895" w:rsidRDefault="005E268C" w:rsidP="005E268C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25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-27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weeks</w:t>
            </w:r>
          </w:p>
          <w:p w:rsidR="005E268C" w:rsidRPr="00362895" w:rsidRDefault="005E268C" w:rsidP="005E268C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28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-31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weeks</w:t>
            </w:r>
          </w:p>
          <w:p w:rsidR="005E268C" w:rsidRPr="00362895" w:rsidRDefault="005E268C" w:rsidP="005E268C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32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-33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weeks</w:t>
            </w:r>
          </w:p>
          <w:p w:rsidR="005E268C" w:rsidRPr="00362895" w:rsidRDefault="005E268C" w:rsidP="005E268C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34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-36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weeks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</w:tcPr>
          <w:p w:rsidR="005E268C" w:rsidRPr="00362895" w:rsidRDefault="005E268C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6A72" w:rsidRPr="00362895" w:rsidRDefault="004E45A0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13</w:t>
            </w:r>
            <w:r w:rsidR="00A16A72" w:rsidRPr="00362895">
              <w:rPr>
                <w:color w:val="000000" w:themeColor="text1"/>
                <w:sz w:val="20"/>
                <w:szCs w:val="20"/>
              </w:rPr>
              <w:t xml:space="preserve"> [</w:t>
            </w:r>
            <w:r w:rsidRPr="00362895">
              <w:rPr>
                <w:color w:val="000000" w:themeColor="text1"/>
                <w:sz w:val="20"/>
                <w:szCs w:val="20"/>
              </w:rPr>
              <w:t>3</w:t>
            </w:r>
            <w:r w:rsidR="00A16A72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="00A16A72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95">
              <w:rPr>
                <w:color w:val="000000" w:themeColor="text1"/>
                <w:sz w:val="20"/>
                <w:szCs w:val="20"/>
              </w:rPr>
              <w:t>25</w:t>
            </w:r>
            <w:r w:rsidR="00A16A72" w:rsidRPr="00362895">
              <w:rPr>
                <w:color w:val="000000" w:themeColor="text1"/>
                <w:sz w:val="20"/>
                <w:szCs w:val="20"/>
              </w:rPr>
              <w:t>]</w:t>
            </w:r>
          </w:p>
          <w:p w:rsidR="005E268C" w:rsidRPr="00362895" w:rsidRDefault="004E45A0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9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 xml:space="preserve"> [</w:t>
            </w:r>
            <w:r w:rsidRPr="00362895">
              <w:rPr>
                <w:color w:val="000000" w:themeColor="text1"/>
                <w:sz w:val="20"/>
                <w:szCs w:val="20"/>
              </w:rPr>
              <w:t>1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95">
              <w:rPr>
                <w:color w:val="000000" w:themeColor="text1"/>
                <w:sz w:val="20"/>
                <w:szCs w:val="20"/>
              </w:rPr>
              <w:t>17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>]</w:t>
            </w:r>
          </w:p>
          <w:p w:rsidR="005E268C" w:rsidRPr="00362895" w:rsidRDefault="004E45A0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6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 xml:space="preserve"> [</w:t>
            </w:r>
            <w:r w:rsidRPr="00362895">
              <w:rPr>
                <w:color w:val="000000" w:themeColor="text1"/>
                <w:sz w:val="20"/>
                <w:szCs w:val="20"/>
              </w:rPr>
              <w:t>3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95">
              <w:rPr>
                <w:color w:val="000000" w:themeColor="text1"/>
                <w:sz w:val="20"/>
                <w:szCs w:val="20"/>
              </w:rPr>
              <w:t>13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>]</w:t>
            </w:r>
          </w:p>
          <w:p w:rsidR="005E268C" w:rsidRPr="00362895" w:rsidRDefault="004E45A0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5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 xml:space="preserve"> [</w:t>
            </w:r>
            <w:r w:rsidRPr="00362895">
              <w:rPr>
                <w:color w:val="000000" w:themeColor="text1"/>
                <w:sz w:val="20"/>
                <w:szCs w:val="20"/>
              </w:rPr>
              <w:t>1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95">
              <w:rPr>
                <w:color w:val="000000" w:themeColor="text1"/>
                <w:sz w:val="20"/>
                <w:szCs w:val="20"/>
              </w:rPr>
              <w:t>6</w:t>
            </w:r>
            <w:r w:rsidR="005E268C" w:rsidRPr="00362895">
              <w:rPr>
                <w:color w:val="000000" w:themeColor="text1"/>
                <w:sz w:val="20"/>
                <w:szCs w:val="20"/>
              </w:rPr>
              <w:t>]</w:t>
            </w:r>
          </w:p>
          <w:p w:rsidR="005E268C" w:rsidRPr="00362895" w:rsidRDefault="005E268C" w:rsidP="004E45A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0 [0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4E45A0" w:rsidRPr="00362895">
              <w:rPr>
                <w:color w:val="000000" w:themeColor="text1"/>
                <w:sz w:val="20"/>
                <w:szCs w:val="20"/>
              </w:rPr>
              <w:t>1</w:t>
            </w:r>
            <w:r w:rsidRPr="00362895">
              <w:rPr>
                <w:color w:val="000000" w:themeColor="text1"/>
                <w:sz w:val="20"/>
                <w:szCs w:val="20"/>
              </w:rPr>
              <w:t>]</w:t>
            </w:r>
          </w:p>
        </w:tc>
      </w:tr>
      <w:tr w:rsidR="00A16A72" w:rsidRPr="00362895" w:rsidTr="00147C23">
        <w:trPr>
          <w:trHeight w:val="287"/>
          <w:jc w:val="center"/>
        </w:trPr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Gestational age at delivery, </w:t>
            </w:r>
            <w:r w:rsidRPr="00362895">
              <w:rPr>
                <w:i/>
                <w:iCs/>
                <w:color w:val="000000" w:themeColor="text1"/>
                <w:sz w:val="20"/>
                <w:szCs w:val="20"/>
              </w:rPr>
              <w:t>weeks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</w:tcPr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33 [30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34]</w:t>
            </w:r>
          </w:p>
        </w:tc>
      </w:tr>
      <w:tr w:rsidR="00A16A72" w:rsidRPr="00362895" w:rsidTr="00147C23">
        <w:trPr>
          <w:trHeight w:val="287"/>
          <w:jc w:val="center"/>
        </w:trPr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Gestational age at delivery, </w:t>
            </w:r>
            <w:r w:rsidRPr="00362895">
              <w:rPr>
                <w:i/>
                <w:iCs/>
                <w:color w:val="000000" w:themeColor="text1"/>
                <w:sz w:val="20"/>
                <w:szCs w:val="20"/>
              </w:rPr>
              <w:t>intervals</w:t>
            </w:r>
          </w:p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&lt;25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weeks</w:t>
            </w:r>
          </w:p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25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-27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weeks</w:t>
            </w:r>
          </w:p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28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-31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weeks</w:t>
            </w:r>
          </w:p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32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-33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weeks</w:t>
            </w:r>
          </w:p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        34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0/7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-36</w:t>
            </w:r>
            <w:r w:rsidRPr="00362895">
              <w:rPr>
                <w:iCs/>
                <w:color w:val="000000" w:themeColor="text1"/>
                <w:sz w:val="20"/>
                <w:szCs w:val="20"/>
                <w:vertAlign w:val="superscript"/>
              </w:rPr>
              <w:t>6/7</w:t>
            </w:r>
            <w:r w:rsidRPr="00362895">
              <w:rPr>
                <w:iCs/>
                <w:color w:val="000000" w:themeColor="text1"/>
                <w:sz w:val="20"/>
                <w:szCs w:val="20"/>
              </w:rPr>
              <w:t>weeks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</w:tcPr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 (5)</w:t>
            </w:r>
          </w:p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10 (15)</w:t>
            </w:r>
          </w:p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9 (13)</w:t>
            </w:r>
          </w:p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15 (23)</w:t>
            </w:r>
          </w:p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29 (44)</w:t>
            </w:r>
          </w:p>
        </w:tc>
      </w:tr>
      <w:tr w:rsidR="00A16A72" w:rsidRPr="00362895" w:rsidTr="00147C23">
        <w:trPr>
          <w:trHeight w:val="287"/>
          <w:jc w:val="center"/>
        </w:trPr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>Cesarean delivery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</w:tcPr>
          <w:p w:rsidR="00A16A72" w:rsidRPr="00362895" w:rsidRDefault="00A16A72" w:rsidP="000B263D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23 (</w:t>
            </w:r>
            <w:r w:rsidR="000B263D" w:rsidRPr="00362895">
              <w:rPr>
                <w:color w:val="000000" w:themeColor="text1"/>
                <w:sz w:val="20"/>
                <w:szCs w:val="20"/>
              </w:rPr>
              <w:t>35</w:t>
            </w:r>
            <w:r w:rsidRPr="00362895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A16A72" w:rsidRPr="00362895" w:rsidTr="00E07F3C">
        <w:trPr>
          <w:trHeight w:val="287"/>
          <w:jc w:val="center"/>
        </w:trPr>
        <w:tc>
          <w:tcPr>
            <w:tcW w:w="3870" w:type="dxa"/>
            <w:shd w:val="clear" w:color="auto" w:fill="D9D9D9" w:themeFill="background1" w:themeFillShade="D9"/>
          </w:tcPr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iCs/>
                <w:color w:val="000000" w:themeColor="text1"/>
                <w:sz w:val="20"/>
                <w:szCs w:val="20"/>
              </w:rPr>
              <w:t>Newborn characteristics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>n = 71</w:t>
            </w:r>
          </w:p>
        </w:tc>
      </w:tr>
      <w:tr w:rsidR="00A16A72" w:rsidRPr="00362895" w:rsidTr="00E07F3C">
        <w:trPr>
          <w:jc w:val="center"/>
        </w:trPr>
        <w:tc>
          <w:tcPr>
            <w:tcW w:w="3870" w:type="dxa"/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Birthweight, </w:t>
            </w:r>
            <w:r w:rsidRPr="00362895">
              <w:rPr>
                <w:i/>
                <w:iCs/>
                <w:color w:val="000000" w:themeColor="text1"/>
                <w:sz w:val="20"/>
                <w:szCs w:val="20"/>
              </w:rPr>
              <w:t xml:space="preserve">grams </w:t>
            </w:r>
          </w:p>
        </w:tc>
        <w:tc>
          <w:tcPr>
            <w:tcW w:w="2493" w:type="dxa"/>
            <w:shd w:val="clear" w:color="auto" w:fill="auto"/>
          </w:tcPr>
          <w:p w:rsidR="00A16A72" w:rsidRPr="00362895" w:rsidRDefault="00A16A72" w:rsidP="00A16A72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1,945 [1,316 </w:t>
            </w:r>
            <w:r w:rsidR="00362895" w:rsidRPr="00362895">
              <w:rPr>
                <w:color w:val="000000" w:themeColor="text1"/>
                <w:sz w:val="20"/>
                <w:szCs w:val="20"/>
              </w:rPr>
              <w:t>–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2,382]</w:t>
            </w:r>
          </w:p>
        </w:tc>
      </w:tr>
      <w:tr w:rsidR="00A16A72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Newborn sex</w:t>
            </w:r>
          </w:p>
          <w:p w:rsidR="00A16A72" w:rsidRPr="00362895" w:rsidRDefault="00A16A72" w:rsidP="00A16A7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     Female</w:t>
            </w:r>
          </w:p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     Male</w:t>
            </w:r>
          </w:p>
        </w:tc>
        <w:tc>
          <w:tcPr>
            <w:tcW w:w="2493" w:type="dxa"/>
            <w:shd w:val="clear" w:color="auto" w:fill="auto"/>
          </w:tcPr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29 (41)</w:t>
            </w:r>
          </w:p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42 (59)</w:t>
            </w:r>
          </w:p>
        </w:tc>
      </w:tr>
      <w:tr w:rsidR="00A16A72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iCs/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Apgar score at 1 minute &lt;7 </w:t>
            </w:r>
          </w:p>
        </w:tc>
        <w:tc>
          <w:tcPr>
            <w:tcW w:w="2493" w:type="dxa"/>
            <w:shd w:val="clear" w:color="auto" w:fill="auto"/>
          </w:tcPr>
          <w:p w:rsidR="00A16A72" w:rsidRPr="00362895" w:rsidRDefault="00A16A72" w:rsidP="00A16A72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25 (38)</w:t>
            </w:r>
          </w:p>
        </w:tc>
      </w:tr>
      <w:tr w:rsidR="00A16A72" w:rsidRPr="00362895" w:rsidTr="00147C23">
        <w:trPr>
          <w:jc w:val="center"/>
        </w:trPr>
        <w:tc>
          <w:tcPr>
            <w:tcW w:w="3870" w:type="dxa"/>
            <w:shd w:val="clear" w:color="auto" w:fill="auto"/>
          </w:tcPr>
          <w:p w:rsidR="00A16A72" w:rsidRPr="00362895" w:rsidRDefault="00A16A72" w:rsidP="00A16A7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iCs/>
                <w:color w:val="000000" w:themeColor="text1"/>
                <w:sz w:val="20"/>
                <w:szCs w:val="20"/>
              </w:rPr>
              <w:t xml:space="preserve">Apgar score at 5 minutes &lt;7 </w:t>
            </w:r>
          </w:p>
        </w:tc>
        <w:tc>
          <w:tcPr>
            <w:tcW w:w="2493" w:type="dxa"/>
            <w:shd w:val="clear" w:color="auto" w:fill="auto"/>
          </w:tcPr>
          <w:p w:rsidR="00A16A72" w:rsidRPr="00362895" w:rsidRDefault="00A16A72" w:rsidP="00A16A7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11 (17)</w:t>
            </w:r>
          </w:p>
        </w:tc>
      </w:tr>
    </w:tbl>
    <w:p w:rsidR="00B12C64" w:rsidRDefault="00B12C64" w:rsidP="005E268C">
      <w:pPr>
        <w:contextualSpacing/>
        <w:rPr>
          <w:color w:val="000000" w:themeColor="text1"/>
          <w:sz w:val="24"/>
          <w:szCs w:val="24"/>
        </w:rPr>
      </w:pPr>
    </w:p>
    <w:p w:rsidR="00D92961" w:rsidRPr="00362895" w:rsidRDefault="00B12C64">
      <w:pPr>
        <w:contextualSpacing/>
        <w:rPr>
          <w:color w:val="000000" w:themeColor="text1"/>
        </w:rPr>
      </w:pPr>
      <w:r w:rsidRPr="00362895">
        <w:rPr>
          <w:color w:val="000000" w:themeColor="text1"/>
          <w:u w:val="single"/>
        </w:rPr>
        <w:t>Abbreviations:</w:t>
      </w:r>
      <w:r w:rsidRPr="00362895">
        <w:rPr>
          <w:color w:val="000000" w:themeColor="text1"/>
        </w:rPr>
        <w:t xml:space="preserve"> PPROM, pre</w:t>
      </w:r>
      <w:r w:rsidR="00146F5D" w:rsidRPr="00362895">
        <w:rPr>
          <w:color w:val="000000" w:themeColor="text1"/>
        </w:rPr>
        <w:t>term</w:t>
      </w:r>
      <w:r w:rsidRPr="00362895">
        <w:rPr>
          <w:color w:val="000000" w:themeColor="text1"/>
        </w:rPr>
        <w:t xml:space="preserve"> </w:t>
      </w:r>
      <w:r w:rsidR="00146F5D" w:rsidRPr="00362895">
        <w:rPr>
          <w:color w:val="000000" w:themeColor="text1"/>
        </w:rPr>
        <w:t>premature rupture of membranes</w:t>
      </w:r>
      <w:bookmarkStart w:id="0" w:name="_GoBack"/>
      <w:bookmarkEnd w:id="0"/>
    </w:p>
    <w:sectPr w:rsidR="00D92961" w:rsidRPr="0036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B70DD"/>
    <w:multiLevelType w:val="hybridMultilevel"/>
    <w:tmpl w:val="1B9EF170"/>
    <w:lvl w:ilvl="0" w:tplc="75E2F7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48AB"/>
    <w:multiLevelType w:val="hybridMultilevel"/>
    <w:tmpl w:val="721C271A"/>
    <w:lvl w:ilvl="0" w:tplc="1D98BC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64"/>
    <w:rsid w:val="000054D0"/>
    <w:rsid w:val="0004068C"/>
    <w:rsid w:val="0009635B"/>
    <w:rsid w:val="000B263D"/>
    <w:rsid w:val="000D5C2B"/>
    <w:rsid w:val="000E677B"/>
    <w:rsid w:val="00125270"/>
    <w:rsid w:val="00146F5D"/>
    <w:rsid w:val="00147C23"/>
    <w:rsid w:val="00150FD8"/>
    <w:rsid w:val="001E570F"/>
    <w:rsid w:val="001F278B"/>
    <w:rsid w:val="001F4C23"/>
    <w:rsid w:val="0021320E"/>
    <w:rsid w:val="002835E5"/>
    <w:rsid w:val="00291664"/>
    <w:rsid w:val="002B4E70"/>
    <w:rsid w:val="002E58CE"/>
    <w:rsid w:val="0032267F"/>
    <w:rsid w:val="003620FB"/>
    <w:rsid w:val="00362895"/>
    <w:rsid w:val="00363458"/>
    <w:rsid w:val="003D1007"/>
    <w:rsid w:val="00436A65"/>
    <w:rsid w:val="00441EB0"/>
    <w:rsid w:val="0046402C"/>
    <w:rsid w:val="00490125"/>
    <w:rsid w:val="004B0E41"/>
    <w:rsid w:val="004B2BDE"/>
    <w:rsid w:val="004B5064"/>
    <w:rsid w:val="004E0A1B"/>
    <w:rsid w:val="004E0C87"/>
    <w:rsid w:val="004E45A0"/>
    <w:rsid w:val="004F2BD8"/>
    <w:rsid w:val="004F7924"/>
    <w:rsid w:val="0057190E"/>
    <w:rsid w:val="005E19EF"/>
    <w:rsid w:val="005E268C"/>
    <w:rsid w:val="005E3A19"/>
    <w:rsid w:val="00606B21"/>
    <w:rsid w:val="00625558"/>
    <w:rsid w:val="00687633"/>
    <w:rsid w:val="006C0B8D"/>
    <w:rsid w:val="006F31EB"/>
    <w:rsid w:val="007070BF"/>
    <w:rsid w:val="00723369"/>
    <w:rsid w:val="007252D8"/>
    <w:rsid w:val="00744839"/>
    <w:rsid w:val="00776083"/>
    <w:rsid w:val="007801BB"/>
    <w:rsid w:val="007A78A4"/>
    <w:rsid w:val="007B1516"/>
    <w:rsid w:val="007C7916"/>
    <w:rsid w:val="007E312E"/>
    <w:rsid w:val="0080587E"/>
    <w:rsid w:val="008265F4"/>
    <w:rsid w:val="00840582"/>
    <w:rsid w:val="00865D3D"/>
    <w:rsid w:val="00871CA2"/>
    <w:rsid w:val="00895307"/>
    <w:rsid w:val="00897D0F"/>
    <w:rsid w:val="008B6ED7"/>
    <w:rsid w:val="008D6AEA"/>
    <w:rsid w:val="008D7DE8"/>
    <w:rsid w:val="008F28A2"/>
    <w:rsid w:val="0091339F"/>
    <w:rsid w:val="009207A6"/>
    <w:rsid w:val="00993F77"/>
    <w:rsid w:val="009C6A02"/>
    <w:rsid w:val="009F52F1"/>
    <w:rsid w:val="00A16A72"/>
    <w:rsid w:val="00A173CE"/>
    <w:rsid w:val="00A20B0A"/>
    <w:rsid w:val="00A9508B"/>
    <w:rsid w:val="00A951D0"/>
    <w:rsid w:val="00AE768C"/>
    <w:rsid w:val="00AF3682"/>
    <w:rsid w:val="00B031DF"/>
    <w:rsid w:val="00B12C64"/>
    <w:rsid w:val="00B4110D"/>
    <w:rsid w:val="00B51E01"/>
    <w:rsid w:val="00BB1693"/>
    <w:rsid w:val="00BE4891"/>
    <w:rsid w:val="00BE6BA2"/>
    <w:rsid w:val="00BF6F4E"/>
    <w:rsid w:val="00C14D74"/>
    <w:rsid w:val="00C1678A"/>
    <w:rsid w:val="00C65B59"/>
    <w:rsid w:val="00CA253A"/>
    <w:rsid w:val="00D06D69"/>
    <w:rsid w:val="00D40CF7"/>
    <w:rsid w:val="00D7546D"/>
    <w:rsid w:val="00D92961"/>
    <w:rsid w:val="00DC0C40"/>
    <w:rsid w:val="00F1470E"/>
    <w:rsid w:val="00F30B69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7F4D2"/>
  <w15:docId w15:val="{6EDAF5A8-6158-452E-A91A-E96F48AD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0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1431</Characters>
  <Application>Microsoft Office Word</Application>
  <DocSecurity>0</DocSecurity>
  <Lines>110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NCHRI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Buhimschi, Irina</dc:creator>
  <cp:lastModifiedBy>Buhimschi, Irina</cp:lastModifiedBy>
  <cp:revision>3</cp:revision>
  <cp:lastPrinted>2021-08-31T19:24:00Z</cp:lastPrinted>
  <dcterms:created xsi:type="dcterms:W3CDTF">2025-08-11T23:02:00Z</dcterms:created>
  <dcterms:modified xsi:type="dcterms:W3CDTF">2025-08-11T23:03:00Z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d324b7b1-0342-4b3f-af13-a9eb66324209</vt:lpwstr>
  </property>
</Properties>
</file>