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2911E" w14:textId="77777777" w:rsidR="00C6083C" w:rsidRDefault="00C6083C" w:rsidP="00C6083C"/>
    <w:p w14:paraId="2325FC13" w14:textId="77777777" w:rsidR="00C6083C" w:rsidRDefault="00C6083C" w:rsidP="00C6083C">
      <w:r>
        <w:rPr>
          <w:noProof/>
        </w:rPr>
        <w:drawing>
          <wp:inline distT="0" distB="0" distL="0" distR="0" wp14:anchorId="68733B5F" wp14:editId="27B99624">
            <wp:extent cx="5943600" cy="4245428"/>
            <wp:effectExtent l="0" t="0" r="0" b="0"/>
            <wp:docPr id="7554047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404726" name="Picture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5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42605" w14:textId="77777777" w:rsidR="00C6083C" w:rsidRDefault="00C6083C" w:rsidP="00C6083C">
      <w:r w:rsidRPr="00904E78">
        <w:rPr>
          <w:b/>
          <w:bCs/>
        </w:rPr>
        <w:t>Suppl, Figure 1.</w:t>
      </w:r>
      <w:r>
        <w:t xml:space="preserve"> Scatter plot of plasma biomarkers with standardized centiloids on amyloid PET.</w:t>
      </w:r>
    </w:p>
    <w:p w14:paraId="3AE8A1FC" w14:textId="77777777" w:rsidR="00C6083C" w:rsidRDefault="00C6083C" w:rsidP="00C6083C">
      <w:r>
        <w:rPr>
          <w:noProof/>
        </w:rPr>
        <w:lastRenderedPageBreak/>
        <w:drawing>
          <wp:inline distT="0" distB="0" distL="0" distR="0" wp14:anchorId="1AFA600D" wp14:editId="12438215">
            <wp:extent cx="5486400" cy="3657600"/>
            <wp:effectExtent l="0" t="0" r="0" b="0"/>
            <wp:docPr id="20867768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776827" name="Picture 208677682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B0423" w14:textId="77777777" w:rsidR="00C6083C" w:rsidRDefault="00C6083C" w:rsidP="00C6083C">
      <w:r w:rsidRPr="00904E78">
        <w:rPr>
          <w:b/>
          <w:bCs/>
        </w:rPr>
        <w:t>Suppl, Figure 2.</w:t>
      </w:r>
      <w:r>
        <w:t xml:space="preserve"> </w:t>
      </w:r>
      <w:r w:rsidRPr="00F97993">
        <w:t xml:space="preserve">ROC curves for </w:t>
      </w:r>
      <w:r>
        <w:t>plasma</w:t>
      </w:r>
      <w:r w:rsidRPr="00F97993">
        <w:t xml:space="preserve"> biomarkers with amyloid status as </w:t>
      </w:r>
      <w:r>
        <w:t>the outcome</w:t>
      </w:r>
      <w:r w:rsidRPr="00F97993">
        <w:t xml:space="preserve"> variable</w:t>
      </w:r>
      <w:r>
        <w:t>.</w:t>
      </w:r>
      <w:r w:rsidRPr="00A10DE6">
        <w:t xml:space="preserve"> </w:t>
      </w:r>
    </w:p>
    <w:p w14:paraId="037D562F" w14:textId="77777777" w:rsidR="00C6083C" w:rsidRDefault="00C6083C" w:rsidP="00C6083C"/>
    <w:p w14:paraId="7A600C5C" w14:textId="77777777" w:rsidR="00C6083C" w:rsidRDefault="00C6083C" w:rsidP="00C6083C"/>
    <w:p w14:paraId="51C70F1A" w14:textId="77777777" w:rsidR="00C6083C" w:rsidRDefault="00C6083C" w:rsidP="00C6083C"/>
    <w:tbl>
      <w:tblPr>
        <w:tblStyle w:val="TableGrid"/>
        <w:tblW w:w="9561" w:type="dxa"/>
        <w:tblLayout w:type="fixed"/>
        <w:tblLook w:val="04A0" w:firstRow="1" w:lastRow="0" w:firstColumn="1" w:lastColumn="0" w:noHBand="0" w:noVBand="1"/>
      </w:tblPr>
      <w:tblGrid>
        <w:gridCol w:w="1345"/>
        <w:gridCol w:w="1080"/>
        <w:gridCol w:w="990"/>
        <w:gridCol w:w="1530"/>
        <w:gridCol w:w="1530"/>
        <w:gridCol w:w="1080"/>
        <w:gridCol w:w="810"/>
        <w:gridCol w:w="630"/>
        <w:gridCol w:w="566"/>
      </w:tblGrid>
      <w:tr w:rsidR="00C6083C" w14:paraId="49B45032" w14:textId="77777777" w:rsidTr="00A2674E">
        <w:trPr>
          <w:trHeight w:val="827"/>
        </w:trPr>
        <w:tc>
          <w:tcPr>
            <w:tcW w:w="1345" w:type="dxa"/>
          </w:tcPr>
          <w:p w14:paraId="5C9B45C4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4BD04A91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10C978C4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rFonts w:eastAsia="NimbusSanL-Regu" w:cs="NimbusSanL-Regu"/>
                <w:kern w:val="0"/>
                <w:sz w:val="18"/>
                <w:szCs w:val="18"/>
              </w:rPr>
              <w:t xml:space="preserve">Biomarkers </w:t>
            </w:r>
          </w:p>
        </w:tc>
        <w:tc>
          <w:tcPr>
            <w:tcW w:w="1080" w:type="dxa"/>
          </w:tcPr>
          <w:p w14:paraId="1C2AB3BF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2D3E773C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50711243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rFonts w:eastAsia="NimbusSanL-Regu" w:cs="NimbusSanL-Regu"/>
                <w:kern w:val="0"/>
                <w:sz w:val="18"/>
                <w:szCs w:val="18"/>
              </w:rPr>
              <w:t>Threshold</w:t>
            </w:r>
          </w:p>
        </w:tc>
        <w:tc>
          <w:tcPr>
            <w:tcW w:w="990" w:type="dxa"/>
          </w:tcPr>
          <w:p w14:paraId="1CD66989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689B7466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2ECD5FC5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  <w:r w:rsidRPr="00E9538C">
              <w:rPr>
                <w:rFonts w:eastAsia="NimbusSanL-Regu" w:cs="NimbusSanL-Regu"/>
                <w:kern w:val="0"/>
                <w:sz w:val="18"/>
                <w:szCs w:val="18"/>
              </w:rPr>
              <w:t>Accuracy</w:t>
            </w:r>
          </w:p>
          <w:p w14:paraId="17DFE5EE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rFonts w:eastAsia="NimbusSanL-Regu" w:cs="NimbusSanL-Regu"/>
                <w:kern w:val="0"/>
                <w:sz w:val="18"/>
                <w:szCs w:val="18"/>
              </w:rPr>
              <w:t>(95% CI)</w:t>
            </w:r>
          </w:p>
        </w:tc>
        <w:tc>
          <w:tcPr>
            <w:tcW w:w="1530" w:type="dxa"/>
          </w:tcPr>
          <w:p w14:paraId="03849B61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11498965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4D28A129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rFonts w:eastAsia="NimbusSanL-Regu" w:cs="NimbusSanL-Regu"/>
                <w:kern w:val="0"/>
                <w:sz w:val="18"/>
                <w:szCs w:val="18"/>
              </w:rPr>
              <w:t>AUC (95% CI)</w:t>
            </w:r>
          </w:p>
        </w:tc>
        <w:tc>
          <w:tcPr>
            <w:tcW w:w="1530" w:type="dxa"/>
          </w:tcPr>
          <w:p w14:paraId="2ABB87F3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775B37E3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017BEBAA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rFonts w:eastAsia="NimbusSanL-Regu" w:cs="NimbusSanL-Regu"/>
                <w:kern w:val="0"/>
                <w:sz w:val="18"/>
                <w:szCs w:val="18"/>
              </w:rPr>
              <w:t>Sens</w:t>
            </w:r>
            <w:r>
              <w:rPr>
                <w:rFonts w:eastAsia="NimbusSanL-Regu" w:cs="NimbusSanL-Regu"/>
                <w:kern w:val="0"/>
                <w:sz w:val="18"/>
                <w:szCs w:val="18"/>
              </w:rPr>
              <w:t>itivity (95% CI)</w:t>
            </w:r>
          </w:p>
        </w:tc>
        <w:tc>
          <w:tcPr>
            <w:tcW w:w="1080" w:type="dxa"/>
          </w:tcPr>
          <w:p w14:paraId="0A0C9754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20161855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0AB0374E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rFonts w:eastAsia="NimbusSanL-Regu" w:cs="NimbusSanL-Regu"/>
                <w:kern w:val="0"/>
                <w:sz w:val="18"/>
                <w:szCs w:val="18"/>
              </w:rPr>
              <w:t>Spec</w:t>
            </w:r>
            <w:r>
              <w:rPr>
                <w:rFonts w:eastAsia="NimbusSanL-Regu" w:cs="NimbusSanL-Regu"/>
                <w:kern w:val="0"/>
                <w:sz w:val="18"/>
                <w:szCs w:val="18"/>
              </w:rPr>
              <w:t>ificity (95% CI)</w:t>
            </w:r>
          </w:p>
        </w:tc>
        <w:tc>
          <w:tcPr>
            <w:tcW w:w="810" w:type="dxa"/>
          </w:tcPr>
          <w:p w14:paraId="254672EF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1AB3F083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041E9DD5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rFonts w:eastAsia="NimbusSanL-Regu" w:cs="NimbusSanL-Regu"/>
                <w:kern w:val="0"/>
                <w:sz w:val="18"/>
                <w:szCs w:val="18"/>
              </w:rPr>
              <w:t>Youden</w:t>
            </w:r>
          </w:p>
        </w:tc>
        <w:tc>
          <w:tcPr>
            <w:tcW w:w="630" w:type="dxa"/>
          </w:tcPr>
          <w:p w14:paraId="2599B41B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149F4917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3DC3A7F2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rFonts w:eastAsia="NimbusSanL-Regu" w:cs="NimbusSanL-Regu"/>
                <w:kern w:val="0"/>
                <w:sz w:val="18"/>
                <w:szCs w:val="18"/>
              </w:rPr>
              <w:t>PPV</w:t>
            </w:r>
            <w:r>
              <w:rPr>
                <w:rFonts w:eastAsia="NimbusSanL-Regu" w:cs="NimbusSanL-Regu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66" w:type="dxa"/>
          </w:tcPr>
          <w:p w14:paraId="160ED408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51E90249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73097A04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  <w:r w:rsidRPr="00E9538C">
              <w:rPr>
                <w:rFonts w:eastAsia="NimbusSanL-Regu" w:cs="NimbusSanL-Regu"/>
                <w:kern w:val="0"/>
                <w:sz w:val="18"/>
                <w:szCs w:val="18"/>
              </w:rPr>
              <w:t>NPV</w:t>
            </w:r>
          </w:p>
          <w:p w14:paraId="4D9AE0F1" w14:textId="77777777" w:rsidR="00C6083C" w:rsidRPr="00E9538C" w:rsidRDefault="00C6083C" w:rsidP="00A2674E">
            <w:pPr>
              <w:rPr>
                <w:sz w:val="18"/>
                <w:szCs w:val="18"/>
              </w:rPr>
            </w:pPr>
          </w:p>
        </w:tc>
      </w:tr>
      <w:tr w:rsidR="00C6083C" w14:paraId="72ADAE43" w14:textId="77777777" w:rsidTr="00A2674E">
        <w:trPr>
          <w:trHeight w:val="277"/>
        </w:trPr>
        <w:tc>
          <w:tcPr>
            <w:tcW w:w="1345" w:type="dxa"/>
          </w:tcPr>
          <w:p w14:paraId="2575756B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Np-t</w:t>
            </w:r>
            <w:r w:rsidRPr="00E9538C">
              <w:rPr>
                <w:sz w:val="18"/>
                <w:szCs w:val="18"/>
              </w:rPr>
              <w:t>au</w:t>
            </w:r>
            <w:r>
              <w:rPr>
                <w:sz w:val="18"/>
                <w:szCs w:val="18"/>
              </w:rPr>
              <w:t>217</w:t>
            </w:r>
          </w:p>
        </w:tc>
        <w:tc>
          <w:tcPr>
            <w:tcW w:w="1080" w:type="dxa"/>
          </w:tcPr>
          <w:p w14:paraId="262648E3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sz w:val="18"/>
                <w:szCs w:val="18"/>
              </w:rPr>
              <w:t>59.95</w:t>
            </w:r>
            <w:r>
              <w:rPr>
                <w:sz w:val="18"/>
                <w:szCs w:val="18"/>
              </w:rPr>
              <w:t xml:space="preserve"> pg/mL</w:t>
            </w:r>
          </w:p>
        </w:tc>
        <w:tc>
          <w:tcPr>
            <w:tcW w:w="990" w:type="dxa"/>
          </w:tcPr>
          <w:p w14:paraId="25C6FD17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sz w:val="18"/>
                <w:szCs w:val="18"/>
              </w:rPr>
              <w:t>0.79</w:t>
            </w:r>
            <w:r>
              <w:rPr>
                <w:sz w:val="18"/>
                <w:szCs w:val="18"/>
              </w:rPr>
              <w:t xml:space="preserve"> (0.67, 0.92)</w:t>
            </w:r>
          </w:p>
        </w:tc>
        <w:tc>
          <w:tcPr>
            <w:tcW w:w="1530" w:type="dxa"/>
          </w:tcPr>
          <w:p w14:paraId="5DE81FEA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0.76 (0.53,0.99)</w:t>
            </w:r>
          </w:p>
        </w:tc>
        <w:tc>
          <w:tcPr>
            <w:tcW w:w="1530" w:type="dxa"/>
          </w:tcPr>
          <w:p w14:paraId="2D1D3591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0.75 (0.38, 1.00)</w:t>
            </w:r>
          </w:p>
        </w:tc>
        <w:tc>
          <w:tcPr>
            <w:tcW w:w="1080" w:type="dxa"/>
          </w:tcPr>
          <w:p w14:paraId="549CC22F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0.81 (0.65, 0.94)</w:t>
            </w:r>
          </w:p>
        </w:tc>
        <w:tc>
          <w:tcPr>
            <w:tcW w:w="810" w:type="dxa"/>
          </w:tcPr>
          <w:p w14:paraId="1CD25BFE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0.56</w:t>
            </w:r>
          </w:p>
        </w:tc>
        <w:tc>
          <w:tcPr>
            <w:tcW w:w="630" w:type="dxa"/>
          </w:tcPr>
          <w:p w14:paraId="4D1FEDB9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0.50</w:t>
            </w:r>
          </w:p>
        </w:tc>
        <w:tc>
          <w:tcPr>
            <w:tcW w:w="566" w:type="dxa"/>
          </w:tcPr>
          <w:p w14:paraId="5CEFB2DD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0.93</w:t>
            </w:r>
          </w:p>
        </w:tc>
      </w:tr>
      <w:tr w:rsidR="00C6083C" w14:paraId="551689EF" w14:textId="77777777" w:rsidTr="00A2674E">
        <w:trPr>
          <w:trHeight w:val="271"/>
        </w:trPr>
        <w:tc>
          <w:tcPr>
            <w:tcW w:w="1345" w:type="dxa"/>
          </w:tcPr>
          <w:p w14:paraId="0C032259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A10DE6">
              <w:rPr>
                <w:sz w:val="18"/>
                <w:szCs w:val="18"/>
              </w:rPr>
              <w:t>Aβ42</w:t>
            </w:r>
            <w:r w:rsidRPr="00E9538C" w:rsidDel="00A10D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</w:tcPr>
          <w:p w14:paraId="6F497A49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sz w:val="18"/>
                <w:szCs w:val="18"/>
              </w:rPr>
              <w:t>68.97</w:t>
            </w:r>
            <w:r>
              <w:rPr>
                <w:sz w:val="18"/>
                <w:szCs w:val="18"/>
              </w:rPr>
              <w:t xml:space="preserve"> pg/mL</w:t>
            </w:r>
          </w:p>
        </w:tc>
        <w:tc>
          <w:tcPr>
            <w:tcW w:w="990" w:type="dxa"/>
          </w:tcPr>
          <w:p w14:paraId="70E52712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sz w:val="18"/>
                <w:szCs w:val="18"/>
              </w:rPr>
              <w:t>0.67</w:t>
            </w:r>
            <w:r>
              <w:rPr>
                <w:sz w:val="18"/>
                <w:szCs w:val="18"/>
              </w:rPr>
              <w:t xml:space="preserve"> (0.51, 0.82)</w:t>
            </w:r>
          </w:p>
        </w:tc>
        <w:tc>
          <w:tcPr>
            <w:tcW w:w="1530" w:type="dxa"/>
          </w:tcPr>
          <w:p w14:paraId="2218D4C1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0.71 (0.52,0.90)</w:t>
            </w:r>
          </w:p>
        </w:tc>
        <w:tc>
          <w:tcPr>
            <w:tcW w:w="1530" w:type="dxa"/>
          </w:tcPr>
          <w:p w14:paraId="2DA6A34A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0.75 (0.38, 1.00)</w:t>
            </w:r>
          </w:p>
        </w:tc>
        <w:tc>
          <w:tcPr>
            <w:tcW w:w="1080" w:type="dxa"/>
          </w:tcPr>
          <w:p w14:paraId="6CD32A0B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0.65 (0.48, 0.81)</w:t>
            </w:r>
          </w:p>
        </w:tc>
        <w:tc>
          <w:tcPr>
            <w:tcW w:w="810" w:type="dxa"/>
          </w:tcPr>
          <w:p w14:paraId="7C00D1DE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0.40</w:t>
            </w:r>
          </w:p>
        </w:tc>
        <w:tc>
          <w:tcPr>
            <w:tcW w:w="630" w:type="dxa"/>
          </w:tcPr>
          <w:p w14:paraId="468024D0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566" w:type="dxa"/>
          </w:tcPr>
          <w:p w14:paraId="3D112072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0.91</w:t>
            </w:r>
          </w:p>
        </w:tc>
      </w:tr>
      <w:tr w:rsidR="00C6083C" w14:paraId="5D264EA2" w14:textId="77777777" w:rsidTr="00A2674E">
        <w:trPr>
          <w:trHeight w:val="271"/>
        </w:trPr>
        <w:tc>
          <w:tcPr>
            <w:tcW w:w="1345" w:type="dxa"/>
          </w:tcPr>
          <w:p w14:paraId="5CB66B77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A10DE6">
              <w:rPr>
                <w:sz w:val="18"/>
                <w:szCs w:val="18"/>
              </w:rPr>
              <w:t>Aβ4</w:t>
            </w:r>
            <w:r>
              <w:rPr>
                <w:sz w:val="18"/>
                <w:szCs w:val="18"/>
              </w:rPr>
              <w:t>0</w:t>
            </w:r>
            <w:r w:rsidRPr="00E9538C" w:rsidDel="00A10D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</w:tcPr>
          <w:p w14:paraId="5D45A5AC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sz w:val="18"/>
                <w:szCs w:val="18"/>
              </w:rPr>
              <w:t>690.34</w:t>
            </w:r>
            <w:r>
              <w:rPr>
                <w:sz w:val="18"/>
                <w:szCs w:val="18"/>
              </w:rPr>
              <w:t xml:space="preserve"> pg/mL</w:t>
            </w:r>
          </w:p>
        </w:tc>
        <w:tc>
          <w:tcPr>
            <w:tcW w:w="990" w:type="dxa"/>
          </w:tcPr>
          <w:p w14:paraId="53F19179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sz w:val="18"/>
                <w:szCs w:val="18"/>
              </w:rPr>
              <w:t>0.59</w:t>
            </w:r>
            <w:r>
              <w:rPr>
                <w:sz w:val="18"/>
                <w:szCs w:val="18"/>
              </w:rPr>
              <w:t xml:space="preserve"> (0.44, 0.74)</w:t>
            </w:r>
          </w:p>
        </w:tc>
        <w:tc>
          <w:tcPr>
            <w:tcW w:w="1530" w:type="dxa"/>
          </w:tcPr>
          <w:p w14:paraId="7566AE90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0.67 (0.47,0.87)</w:t>
            </w:r>
          </w:p>
        </w:tc>
        <w:tc>
          <w:tcPr>
            <w:tcW w:w="1530" w:type="dxa"/>
          </w:tcPr>
          <w:p w14:paraId="7F43C1D2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0.88 (0.62, 1.00)</w:t>
            </w:r>
          </w:p>
        </w:tc>
        <w:tc>
          <w:tcPr>
            <w:tcW w:w="1080" w:type="dxa"/>
          </w:tcPr>
          <w:p w14:paraId="656F8AB3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0.52 (0.35, 0.68)</w:t>
            </w:r>
          </w:p>
        </w:tc>
        <w:tc>
          <w:tcPr>
            <w:tcW w:w="810" w:type="dxa"/>
          </w:tcPr>
          <w:p w14:paraId="0328E726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  <w:tc>
          <w:tcPr>
            <w:tcW w:w="630" w:type="dxa"/>
          </w:tcPr>
          <w:p w14:paraId="5338426B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566" w:type="dxa"/>
          </w:tcPr>
          <w:p w14:paraId="3058E3C2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0.94</w:t>
            </w:r>
          </w:p>
        </w:tc>
      </w:tr>
    </w:tbl>
    <w:p w14:paraId="21A38FCB" w14:textId="77777777" w:rsidR="00C6083C" w:rsidRDefault="00C6083C" w:rsidP="00C6083C">
      <w:pPr>
        <w:rPr>
          <w:b/>
          <w:bCs/>
        </w:rPr>
      </w:pPr>
    </w:p>
    <w:p w14:paraId="1AD02AA7" w14:textId="77777777" w:rsidR="00C6083C" w:rsidRDefault="00C6083C" w:rsidP="00C6083C">
      <w:r w:rsidRPr="00904E78">
        <w:rPr>
          <w:b/>
          <w:bCs/>
        </w:rPr>
        <w:t>Suppl, Table 1.</w:t>
      </w:r>
      <w:r>
        <w:t xml:space="preserve"> Summary statistics on the diagnostic ability of the biomarkers using maximized Youden index cutpoints for predicting amyloid status.</w:t>
      </w:r>
    </w:p>
    <w:p w14:paraId="3F00FC38" w14:textId="77777777" w:rsidR="00C6083C" w:rsidRDefault="00C6083C" w:rsidP="00C6083C"/>
    <w:p w14:paraId="23D8C8FC" w14:textId="77777777" w:rsidR="00C6083C" w:rsidRDefault="00C6083C" w:rsidP="00C6083C"/>
    <w:p w14:paraId="4EA340D1" w14:textId="77777777" w:rsidR="00C6083C" w:rsidRDefault="00C6083C" w:rsidP="00C6083C"/>
    <w:p w14:paraId="67FA6086" w14:textId="77777777" w:rsidR="00C6083C" w:rsidRDefault="00C6083C" w:rsidP="00C6083C"/>
    <w:p w14:paraId="0B55E347" w14:textId="77777777" w:rsidR="00C6083C" w:rsidRDefault="00C6083C" w:rsidP="00C6083C"/>
    <w:tbl>
      <w:tblPr>
        <w:tblStyle w:val="TableGrid"/>
        <w:tblW w:w="9561" w:type="dxa"/>
        <w:tblLayout w:type="fixed"/>
        <w:tblLook w:val="04A0" w:firstRow="1" w:lastRow="0" w:firstColumn="1" w:lastColumn="0" w:noHBand="0" w:noVBand="1"/>
      </w:tblPr>
      <w:tblGrid>
        <w:gridCol w:w="1559"/>
        <w:gridCol w:w="1046"/>
        <w:gridCol w:w="990"/>
        <w:gridCol w:w="990"/>
        <w:gridCol w:w="1800"/>
        <w:gridCol w:w="810"/>
        <w:gridCol w:w="1021"/>
        <w:gridCol w:w="659"/>
        <w:gridCol w:w="686"/>
      </w:tblGrid>
      <w:tr w:rsidR="00C6083C" w14:paraId="3807E426" w14:textId="77777777" w:rsidTr="00A2674E">
        <w:trPr>
          <w:trHeight w:val="827"/>
        </w:trPr>
        <w:tc>
          <w:tcPr>
            <w:tcW w:w="1559" w:type="dxa"/>
          </w:tcPr>
          <w:p w14:paraId="78FCD229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16177804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1D63F484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rFonts w:eastAsia="NimbusSanL-Regu" w:cs="NimbusSanL-Regu"/>
                <w:kern w:val="0"/>
                <w:sz w:val="18"/>
                <w:szCs w:val="18"/>
              </w:rPr>
              <w:t xml:space="preserve">Biomarkers </w:t>
            </w:r>
          </w:p>
        </w:tc>
        <w:tc>
          <w:tcPr>
            <w:tcW w:w="1046" w:type="dxa"/>
          </w:tcPr>
          <w:p w14:paraId="1EA8353C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360F0B00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7A25CE6C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rFonts w:eastAsia="NimbusSanL-Regu" w:cs="NimbusSanL-Regu"/>
                <w:kern w:val="0"/>
                <w:sz w:val="18"/>
                <w:szCs w:val="18"/>
              </w:rPr>
              <w:t>Threshold</w:t>
            </w:r>
          </w:p>
        </w:tc>
        <w:tc>
          <w:tcPr>
            <w:tcW w:w="990" w:type="dxa"/>
          </w:tcPr>
          <w:p w14:paraId="176CF3C2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49D009F4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4D1AC37C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  <w:r w:rsidRPr="00E9538C">
              <w:rPr>
                <w:rFonts w:eastAsia="NimbusSanL-Regu" w:cs="NimbusSanL-Regu"/>
                <w:kern w:val="0"/>
                <w:sz w:val="18"/>
                <w:szCs w:val="18"/>
              </w:rPr>
              <w:t>Accuracy</w:t>
            </w:r>
          </w:p>
          <w:p w14:paraId="16CA50D4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rFonts w:eastAsia="NimbusSanL-Regu" w:cs="NimbusSanL-Regu"/>
                <w:kern w:val="0"/>
                <w:sz w:val="18"/>
                <w:szCs w:val="18"/>
              </w:rPr>
              <w:t>(95% CI)</w:t>
            </w:r>
          </w:p>
        </w:tc>
        <w:tc>
          <w:tcPr>
            <w:tcW w:w="990" w:type="dxa"/>
          </w:tcPr>
          <w:p w14:paraId="6A8B9441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07C36725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6E58AEA3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rFonts w:eastAsia="NimbusSanL-Regu" w:cs="NimbusSanL-Regu"/>
                <w:kern w:val="0"/>
                <w:sz w:val="18"/>
                <w:szCs w:val="18"/>
              </w:rPr>
              <w:t>AUC (95% CI)</w:t>
            </w:r>
          </w:p>
        </w:tc>
        <w:tc>
          <w:tcPr>
            <w:tcW w:w="1800" w:type="dxa"/>
          </w:tcPr>
          <w:p w14:paraId="5B3085E5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6F8D8492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2323C1D6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rFonts w:eastAsia="NimbusSanL-Regu" w:cs="NimbusSanL-Regu"/>
                <w:kern w:val="0"/>
                <w:sz w:val="18"/>
                <w:szCs w:val="18"/>
              </w:rPr>
              <w:t>Sens</w:t>
            </w:r>
            <w:r>
              <w:rPr>
                <w:rFonts w:eastAsia="NimbusSanL-Regu" w:cs="NimbusSanL-Regu"/>
                <w:kern w:val="0"/>
                <w:sz w:val="18"/>
                <w:szCs w:val="18"/>
              </w:rPr>
              <w:t>itivity (95% CI)</w:t>
            </w:r>
          </w:p>
        </w:tc>
        <w:tc>
          <w:tcPr>
            <w:tcW w:w="810" w:type="dxa"/>
          </w:tcPr>
          <w:p w14:paraId="2DCFFEB1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1F6A9EE0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585DB14B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rFonts w:eastAsia="NimbusSanL-Regu" w:cs="NimbusSanL-Regu"/>
                <w:kern w:val="0"/>
                <w:sz w:val="18"/>
                <w:szCs w:val="18"/>
              </w:rPr>
              <w:t>Spec</w:t>
            </w:r>
            <w:r>
              <w:rPr>
                <w:rFonts w:eastAsia="NimbusSanL-Regu" w:cs="NimbusSanL-Regu"/>
                <w:kern w:val="0"/>
                <w:sz w:val="18"/>
                <w:szCs w:val="18"/>
              </w:rPr>
              <w:t xml:space="preserve">ificity (95% CI) </w:t>
            </w:r>
          </w:p>
        </w:tc>
        <w:tc>
          <w:tcPr>
            <w:tcW w:w="1021" w:type="dxa"/>
          </w:tcPr>
          <w:p w14:paraId="1D6773BF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24D036A3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62CCD34B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rFonts w:eastAsia="NimbusSanL-Regu" w:cs="NimbusSanL-Regu"/>
                <w:kern w:val="0"/>
                <w:sz w:val="18"/>
                <w:szCs w:val="18"/>
              </w:rPr>
              <w:t>Youden</w:t>
            </w:r>
          </w:p>
        </w:tc>
        <w:tc>
          <w:tcPr>
            <w:tcW w:w="659" w:type="dxa"/>
          </w:tcPr>
          <w:p w14:paraId="66D2DA68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4211B2C7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3C0464D2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rFonts w:eastAsia="NimbusSanL-Regu" w:cs="NimbusSanL-Regu"/>
                <w:kern w:val="0"/>
                <w:sz w:val="18"/>
                <w:szCs w:val="18"/>
              </w:rPr>
              <w:t>PPV</w:t>
            </w:r>
            <w:r>
              <w:rPr>
                <w:rFonts w:eastAsia="NimbusSanL-Regu" w:cs="NimbusSanL-Regu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86" w:type="dxa"/>
          </w:tcPr>
          <w:p w14:paraId="0F9C8EAE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041A5A25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</w:p>
          <w:p w14:paraId="0200E203" w14:textId="77777777" w:rsidR="00C6083C" w:rsidRDefault="00C6083C" w:rsidP="00A2674E">
            <w:pPr>
              <w:rPr>
                <w:rFonts w:eastAsia="NimbusSanL-Regu" w:cs="NimbusSanL-Regu"/>
                <w:kern w:val="0"/>
                <w:sz w:val="18"/>
                <w:szCs w:val="18"/>
              </w:rPr>
            </w:pPr>
            <w:r w:rsidRPr="00E9538C">
              <w:rPr>
                <w:rFonts w:eastAsia="NimbusSanL-Regu" w:cs="NimbusSanL-Regu"/>
                <w:kern w:val="0"/>
                <w:sz w:val="18"/>
                <w:szCs w:val="18"/>
              </w:rPr>
              <w:t>NPV</w:t>
            </w:r>
          </w:p>
          <w:p w14:paraId="76EB32C7" w14:textId="77777777" w:rsidR="00C6083C" w:rsidRPr="00E9538C" w:rsidRDefault="00C6083C" w:rsidP="00A2674E">
            <w:pPr>
              <w:rPr>
                <w:sz w:val="18"/>
                <w:szCs w:val="18"/>
              </w:rPr>
            </w:pPr>
          </w:p>
        </w:tc>
      </w:tr>
      <w:tr w:rsidR="00C6083C" w14:paraId="01406B70" w14:textId="77777777" w:rsidTr="00A2674E">
        <w:trPr>
          <w:trHeight w:val="271"/>
        </w:trPr>
        <w:tc>
          <w:tcPr>
            <w:tcW w:w="1559" w:type="dxa"/>
          </w:tcPr>
          <w:p w14:paraId="21C846EB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p-</w:t>
            </w:r>
            <w:r w:rsidRPr="00E9538C">
              <w:rPr>
                <w:sz w:val="18"/>
                <w:szCs w:val="18"/>
              </w:rPr>
              <w:t>tau217</w:t>
            </w:r>
            <w:r>
              <w:rPr>
                <w:sz w:val="18"/>
                <w:szCs w:val="18"/>
              </w:rPr>
              <w:t>/Np-tau217</w:t>
            </w:r>
          </w:p>
        </w:tc>
        <w:tc>
          <w:tcPr>
            <w:tcW w:w="1046" w:type="dxa"/>
          </w:tcPr>
          <w:p w14:paraId="1B55794B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4.2 </w:t>
            </w:r>
          </w:p>
        </w:tc>
        <w:tc>
          <w:tcPr>
            <w:tcW w:w="990" w:type="dxa"/>
          </w:tcPr>
          <w:p w14:paraId="391AF682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sz w:val="18"/>
                <w:szCs w:val="18"/>
              </w:rPr>
              <w:t>0.9</w:t>
            </w:r>
            <w:r>
              <w:rPr>
                <w:sz w:val="18"/>
                <w:szCs w:val="18"/>
              </w:rPr>
              <w:t>5 (0.87, 1.00)</w:t>
            </w:r>
          </w:p>
        </w:tc>
        <w:tc>
          <w:tcPr>
            <w:tcW w:w="990" w:type="dxa"/>
          </w:tcPr>
          <w:p w14:paraId="5A6F9EE9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89</w:t>
            </w:r>
            <w:r w:rsidRPr="00E9538C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69</w:t>
            </w:r>
            <w:r w:rsidRPr="00E9538C">
              <w:rPr>
                <w:sz w:val="18"/>
                <w:szCs w:val="18"/>
              </w:rPr>
              <w:t>, 1.00)</w:t>
            </w:r>
          </w:p>
        </w:tc>
        <w:tc>
          <w:tcPr>
            <w:tcW w:w="1800" w:type="dxa"/>
          </w:tcPr>
          <w:p w14:paraId="073027A4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0.75 (0.38, 1.00)</w:t>
            </w:r>
          </w:p>
        </w:tc>
        <w:tc>
          <w:tcPr>
            <w:tcW w:w="810" w:type="dxa"/>
          </w:tcPr>
          <w:p w14:paraId="5D6D6DA2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 (1.00, 1.00)</w:t>
            </w:r>
          </w:p>
        </w:tc>
        <w:tc>
          <w:tcPr>
            <w:tcW w:w="1021" w:type="dxa"/>
          </w:tcPr>
          <w:p w14:paraId="4A13BC63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0.75</w:t>
            </w:r>
          </w:p>
        </w:tc>
        <w:tc>
          <w:tcPr>
            <w:tcW w:w="659" w:type="dxa"/>
          </w:tcPr>
          <w:p w14:paraId="722F0850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86" w:type="dxa"/>
          </w:tcPr>
          <w:p w14:paraId="115EE9EA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0.94</w:t>
            </w:r>
          </w:p>
        </w:tc>
      </w:tr>
      <w:tr w:rsidR="00C6083C" w14:paraId="1CB2581A" w14:textId="77777777" w:rsidTr="00A2674E">
        <w:trPr>
          <w:trHeight w:val="278"/>
        </w:trPr>
        <w:tc>
          <w:tcPr>
            <w:tcW w:w="1559" w:type="dxa"/>
          </w:tcPr>
          <w:p w14:paraId="1F66485C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APS2</w:t>
            </w:r>
          </w:p>
        </w:tc>
        <w:tc>
          <w:tcPr>
            <w:tcW w:w="1046" w:type="dxa"/>
          </w:tcPr>
          <w:p w14:paraId="31F2AC65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47.5</w:t>
            </w:r>
          </w:p>
        </w:tc>
        <w:tc>
          <w:tcPr>
            <w:tcW w:w="990" w:type="dxa"/>
          </w:tcPr>
          <w:p w14:paraId="45CC5BCC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sz w:val="18"/>
                <w:szCs w:val="18"/>
              </w:rPr>
              <w:t>0.9</w:t>
            </w:r>
            <w:r>
              <w:rPr>
                <w:sz w:val="18"/>
                <w:szCs w:val="18"/>
              </w:rPr>
              <w:t>0 (0.82, 0.97)</w:t>
            </w:r>
          </w:p>
        </w:tc>
        <w:tc>
          <w:tcPr>
            <w:tcW w:w="990" w:type="dxa"/>
          </w:tcPr>
          <w:p w14:paraId="4BEA6CAD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 w:rsidRPr="00E9538C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90</w:t>
            </w:r>
            <w:r w:rsidRPr="00E9538C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74</w:t>
            </w:r>
            <w:r w:rsidRPr="00E9538C">
              <w:rPr>
                <w:sz w:val="18"/>
                <w:szCs w:val="18"/>
              </w:rPr>
              <w:t>,1.00)</w:t>
            </w:r>
          </w:p>
        </w:tc>
        <w:tc>
          <w:tcPr>
            <w:tcW w:w="1800" w:type="dxa"/>
          </w:tcPr>
          <w:p w14:paraId="7B57F69F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0.50 (0.12, 0.88)</w:t>
            </w:r>
          </w:p>
        </w:tc>
        <w:tc>
          <w:tcPr>
            <w:tcW w:w="810" w:type="dxa"/>
          </w:tcPr>
          <w:p w14:paraId="789D206D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 (1.00, 1.00)</w:t>
            </w:r>
          </w:p>
        </w:tc>
        <w:tc>
          <w:tcPr>
            <w:tcW w:w="1021" w:type="dxa"/>
          </w:tcPr>
          <w:p w14:paraId="3EF200BD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0.50</w:t>
            </w:r>
          </w:p>
        </w:tc>
        <w:tc>
          <w:tcPr>
            <w:tcW w:w="659" w:type="dxa"/>
          </w:tcPr>
          <w:p w14:paraId="65133856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86" w:type="dxa"/>
          </w:tcPr>
          <w:p w14:paraId="2D6527BD" w14:textId="77777777" w:rsidR="00C6083C" w:rsidRPr="00E9538C" w:rsidRDefault="00C6083C" w:rsidP="00A267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0.89</w:t>
            </w:r>
          </w:p>
        </w:tc>
      </w:tr>
    </w:tbl>
    <w:p w14:paraId="00EA9A24" w14:textId="77777777" w:rsidR="00C6083C" w:rsidRDefault="00C6083C" w:rsidP="00C6083C"/>
    <w:p w14:paraId="43280F80" w14:textId="77777777" w:rsidR="00C6083C" w:rsidRDefault="00C6083C" w:rsidP="00C6083C">
      <w:r w:rsidRPr="00904E78">
        <w:rPr>
          <w:b/>
          <w:bCs/>
        </w:rPr>
        <w:t>Suppl. Table 2</w:t>
      </w:r>
      <w:r>
        <w:t>. Diagnostic performance of APS2 and ptau217 for predicting amyloid-PET status using pre-specified CLIA thresholds (PrecivityAD2), ranked by descending order of Youden index.</w:t>
      </w:r>
    </w:p>
    <w:p w14:paraId="72E772B8" w14:textId="77777777" w:rsidR="00C6083C" w:rsidRDefault="00C6083C" w:rsidP="00C6083C">
      <w:r w:rsidRPr="00CF3171">
        <w:rPr>
          <w:noProof/>
        </w:rPr>
        <w:lastRenderedPageBreak/>
        <w:drawing>
          <wp:inline distT="0" distB="0" distL="0" distR="0" wp14:anchorId="4EAB3150" wp14:editId="188FB1C4">
            <wp:extent cx="4892922" cy="4892922"/>
            <wp:effectExtent l="0" t="0" r="0" b="0"/>
            <wp:docPr id="12499885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988548" name="Picture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92922" cy="4892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9049D" w14:textId="77777777" w:rsidR="00C6083C" w:rsidRDefault="00C6083C" w:rsidP="00C6083C">
      <w:r w:rsidRPr="00904E78">
        <w:rPr>
          <w:b/>
          <w:bCs/>
        </w:rPr>
        <w:t>Suppl. Figure 3.</w:t>
      </w:r>
      <w:r w:rsidRPr="00CF3171">
        <w:t xml:space="preserve"> </w:t>
      </w:r>
      <w:r>
        <w:t>P-tau217 levels in TRC-DS participants were measured by MS (C2N) and Lumipulse. MS p-tau217 below the minimum detectable threshold of 1.3 is set to be 0.65. Note the accumulation of points on the left-hand side due to C2N values determined to be below the level of quantitation. This occurred for N=26 (67%) samples, for which the value 1.3 pg/ml was imputed.</w:t>
      </w:r>
    </w:p>
    <w:p w14:paraId="24A2D9F9" w14:textId="77777777" w:rsidR="00C6083C" w:rsidRDefault="00C6083C" w:rsidP="00C6083C">
      <w:r w:rsidRPr="00FD4FE4">
        <w:rPr>
          <w:noProof/>
        </w:rPr>
        <w:lastRenderedPageBreak/>
        <w:drawing>
          <wp:inline distT="0" distB="0" distL="0" distR="0" wp14:anchorId="5BA36EAA" wp14:editId="27D94E05">
            <wp:extent cx="5695065" cy="3796710"/>
            <wp:effectExtent l="0" t="0" r="0" b="0"/>
            <wp:docPr id="11077923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792395" name="Picture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95065" cy="379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0DE41" w14:textId="77777777" w:rsidR="00C6083C" w:rsidRDefault="00C6083C" w:rsidP="00C6083C">
      <w:pPr>
        <w:sectPr w:rsidR="00C6083C" w:rsidSect="00C6083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904E78">
        <w:rPr>
          <w:b/>
          <w:bCs/>
        </w:rPr>
        <w:t>Suppl. Figure 4.</w:t>
      </w:r>
      <w:r>
        <w:t xml:space="preserve"> Correlation plot of all measured biomarkers and their composite measures. </w:t>
      </w:r>
    </w:p>
    <w:p w14:paraId="1D247119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imbusSanL-Regu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83C"/>
    <w:rsid w:val="00077510"/>
    <w:rsid w:val="002978F5"/>
    <w:rsid w:val="003852CF"/>
    <w:rsid w:val="004E780C"/>
    <w:rsid w:val="00C6083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F11F4"/>
  <w15:chartTrackingRefBased/>
  <w15:docId w15:val="{A8B23296-365E-4724-B837-2B0F5366D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83C"/>
  </w:style>
  <w:style w:type="paragraph" w:styleId="Heading1">
    <w:name w:val="heading 1"/>
    <w:basedOn w:val="Normal"/>
    <w:next w:val="Normal"/>
    <w:link w:val="Heading1Char"/>
    <w:uiPriority w:val="9"/>
    <w:qFormat/>
    <w:rsid w:val="00C608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08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08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08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08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08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08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08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08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08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08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08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08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08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08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08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08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08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08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08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08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08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08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08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08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08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08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08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083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608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2025-09-01T07:08:00Z</dcterms:created>
  <dcterms:modified xsi:type="dcterms:W3CDTF">2025-09-01T07:09:00Z</dcterms:modified>
</cp:coreProperties>
</file>