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60FFA" w14:textId="4A64F98B" w:rsidR="00820ECB" w:rsidRPr="00974E52" w:rsidRDefault="00820ECB" w:rsidP="00820ECB">
      <w:pPr>
        <w:rPr>
          <w:lang w:val="en-GB"/>
        </w:rPr>
      </w:pPr>
      <w:r w:rsidRPr="00974E52">
        <w:rPr>
          <w:lang w:val="en-GB"/>
        </w:rPr>
        <w:t xml:space="preserve">Appendix 3 Categories and sub-categories of </w:t>
      </w:r>
      <w:r w:rsidR="001A6DD3">
        <w:rPr>
          <w:lang w:val="en-GB"/>
        </w:rPr>
        <w:t>barriers</w:t>
      </w:r>
    </w:p>
    <w:tbl>
      <w:tblPr>
        <w:tblStyle w:val="TableGrid"/>
        <w:tblW w:w="0" w:type="auto"/>
        <w:tblLook w:val="04A0" w:firstRow="1" w:lastRow="0" w:firstColumn="1" w:lastColumn="0" w:noHBand="0" w:noVBand="1"/>
      </w:tblPr>
      <w:tblGrid>
        <w:gridCol w:w="1272"/>
        <w:gridCol w:w="3338"/>
        <w:gridCol w:w="4406"/>
      </w:tblGrid>
      <w:tr w:rsidR="002269B2" w:rsidRPr="008A4CE9" w14:paraId="2165FA33" w14:textId="77777777" w:rsidTr="00D142EE">
        <w:tc>
          <w:tcPr>
            <w:tcW w:w="1155" w:type="dxa"/>
            <w:tcBorders>
              <w:bottom w:val="single" w:sz="4" w:space="0" w:color="auto"/>
            </w:tcBorders>
          </w:tcPr>
          <w:p w14:paraId="6D08EF17" w14:textId="0A9AA872" w:rsidR="002269B2" w:rsidRPr="008A4CE9" w:rsidRDefault="002269B2">
            <w:pPr>
              <w:rPr>
                <w:sz w:val="18"/>
                <w:szCs w:val="18"/>
                <w:lang w:val="en-GB"/>
              </w:rPr>
            </w:pPr>
            <w:r w:rsidRPr="008A4CE9">
              <w:rPr>
                <w:sz w:val="18"/>
                <w:szCs w:val="18"/>
                <w:lang w:val="en-GB"/>
              </w:rPr>
              <w:t>CATEGORIES</w:t>
            </w:r>
          </w:p>
        </w:tc>
        <w:tc>
          <w:tcPr>
            <w:tcW w:w="3387" w:type="dxa"/>
            <w:tcBorders>
              <w:bottom w:val="single" w:sz="4" w:space="0" w:color="auto"/>
            </w:tcBorders>
          </w:tcPr>
          <w:p w14:paraId="0AC92C16" w14:textId="3FB6D53C" w:rsidR="002269B2" w:rsidRPr="008A4CE9" w:rsidRDefault="002269B2">
            <w:pPr>
              <w:rPr>
                <w:sz w:val="18"/>
                <w:szCs w:val="18"/>
                <w:lang w:val="en-GB"/>
              </w:rPr>
            </w:pPr>
            <w:r w:rsidRPr="008A4CE9">
              <w:rPr>
                <w:sz w:val="18"/>
                <w:szCs w:val="18"/>
                <w:lang w:val="en-GB"/>
              </w:rPr>
              <w:t>SUB-CATEGORIES</w:t>
            </w:r>
          </w:p>
        </w:tc>
        <w:tc>
          <w:tcPr>
            <w:tcW w:w="4474" w:type="dxa"/>
          </w:tcPr>
          <w:p w14:paraId="62ACFCAA" w14:textId="3E2FD2F7" w:rsidR="002269B2" w:rsidRPr="008A4CE9" w:rsidRDefault="002269B2">
            <w:pPr>
              <w:rPr>
                <w:sz w:val="18"/>
                <w:szCs w:val="18"/>
                <w:lang w:val="en-GB"/>
              </w:rPr>
            </w:pPr>
            <w:r w:rsidRPr="008A4CE9">
              <w:rPr>
                <w:sz w:val="18"/>
                <w:szCs w:val="18"/>
                <w:lang w:val="en-GB"/>
              </w:rPr>
              <w:t>Q</w:t>
            </w:r>
            <w:r w:rsidR="008E1B0D" w:rsidRPr="008A4CE9">
              <w:rPr>
                <w:sz w:val="18"/>
                <w:szCs w:val="18"/>
                <w:lang w:val="en-GB"/>
              </w:rPr>
              <w:t>U</w:t>
            </w:r>
            <w:r w:rsidRPr="008A4CE9">
              <w:rPr>
                <w:sz w:val="18"/>
                <w:szCs w:val="18"/>
                <w:lang w:val="en-GB"/>
              </w:rPr>
              <w:t>OTES</w:t>
            </w:r>
          </w:p>
        </w:tc>
      </w:tr>
      <w:tr w:rsidR="00910D01" w:rsidRPr="008A4CE9" w14:paraId="5EB06F1C" w14:textId="77777777" w:rsidTr="00D142EE">
        <w:tc>
          <w:tcPr>
            <w:tcW w:w="1155" w:type="dxa"/>
            <w:tcBorders>
              <w:top w:val="nil"/>
              <w:bottom w:val="nil"/>
              <w:right w:val="nil"/>
            </w:tcBorders>
          </w:tcPr>
          <w:p w14:paraId="46180F0B" w14:textId="211F146D" w:rsidR="00910D01" w:rsidRPr="008A4CE9" w:rsidRDefault="00820ECB">
            <w:pPr>
              <w:rPr>
                <w:sz w:val="18"/>
                <w:szCs w:val="18"/>
                <w:lang w:val="en-GB"/>
              </w:rPr>
            </w:pPr>
            <w:r w:rsidRPr="008A4CE9">
              <w:rPr>
                <w:sz w:val="18"/>
                <w:szCs w:val="18"/>
                <w:lang w:val="en-GB"/>
              </w:rPr>
              <w:t>Healthcare professionals</w:t>
            </w:r>
          </w:p>
        </w:tc>
        <w:tc>
          <w:tcPr>
            <w:tcW w:w="3387" w:type="dxa"/>
            <w:tcBorders>
              <w:top w:val="nil"/>
              <w:left w:val="nil"/>
              <w:bottom w:val="nil"/>
            </w:tcBorders>
          </w:tcPr>
          <w:p w14:paraId="2405E919" w14:textId="5C52067D" w:rsidR="00910D01" w:rsidRPr="008A4CE9" w:rsidRDefault="00A12407">
            <w:pPr>
              <w:rPr>
                <w:sz w:val="18"/>
                <w:szCs w:val="18"/>
                <w:lang w:val="en-GB"/>
              </w:rPr>
            </w:pPr>
            <w:r w:rsidRPr="008A4CE9">
              <w:rPr>
                <w:sz w:val="18"/>
                <w:szCs w:val="18"/>
                <w:lang w:val="en-GB"/>
              </w:rPr>
              <w:t>Attitudinal</w:t>
            </w:r>
          </w:p>
        </w:tc>
        <w:tc>
          <w:tcPr>
            <w:tcW w:w="4474" w:type="dxa"/>
          </w:tcPr>
          <w:p w14:paraId="11CC1E3B" w14:textId="1C04A9EC" w:rsidR="00910D01" w:rsidRPr="008A4CE9" w:rsidRDefault="00A12407" w:rsidP="00A12407">
            <w:pPr>
              <w:rPr>
                <w:sz w:val="18"/>
                <w:szCs w:val="18"/>
                <w:vertAlign w:val="superscript"/>
                <w:lang w:val="en-GB"/>
              </w:rPr>
            </w:pPr>
            <w:r w:rsidRPr="008A4CE9">
              <w:rPr>
                <w:sz w:val="18"/>
                <w:szCs w:val="18"/>
                <w:lang w:val="en-GB"/>
              </w:rPr>
              <w:t>“…they may have less opportunity to convene team members for regular discussion of how to overcome any barriers to implementation, which may lead to attitudes to the intervention becoming more negative over time.”</w:t>
            </w:r>
            <w:r w:rsidRPr="008A4CE9">
              <w:rPr>
                <w:sz w:val="18"/>
                <w:szCs w:val="18"/>
                <w:vertAlign w:val="superscript"/>
                <w:lang w:val="en-GB"/>
              </w:rPr>
              <w:t>4</w:t>
            </w:r>
            <w:r w:rsidR="002D10B0" w:rsidRPr="008A4CE9">
              <w:rPr>
                <w:sz w:val="18"/>
                <w:szCs w:val="18"/>
                <w:vertAlign w:val="superscript"/>
                <w:lang w:val="en-GB"/>
              </w:rPr>
              <w:t>3</w:t>
            </w:r>
          </w:p>
        </w:tc>
      </w:tr>
      <w:tr w:rsidR="00910D01" w:rsidRPr="008A4CE9" w14:paraId="365A0B11" w14:textId="77777777" w:rsidTr="00D142EE">
        <w:tc>
          <w:tcPr>
            <w:tcW w:w="1155" w:type="dxa"/>
            <w:tcBorders>
              <w:top w:val="nil"/>
              <w:bottom w:val="nil"/>
              <w:right w:val="nil"/>
            </w:tcBorders>
          </w:tcPr>
          <w:p w14:paraId="31A36F6C" w14:textId="77777777" w:rsidR="00910D01" w:rsidRPr="008A4CE9" w:rsidRDefault="00910D01">
            <w:pPr>
              <w:rPr>
                <w:sz w:val="18"/>
                <w:szCs w:val="18"/>
                <w:lang w:val="en-GB"/>
              </w:rPr>
            </w:pPr>
          </w:p>
        </w:tc>
        <w:tc>
          <w:tcPr>
            <w:tcW w:w="3387" w:type="dxa"/>
            <w:tcBorders>
              <w:top w:val="nil"/>
              <w:left w:val="nil"/>
              <w:bottom w:val="nil"/>
            </w:tcBorders>
          </w:tcPr>
          <w:p w14:paraId="57BF861D" w14:textId="77777777" w:rsidR="00910D01" w:rsidRPr="008A4CE9" w:rsidRDefault="00820ECB">
            <w:pPr>
              <w:rPr>
                <w:sz w:val="18"/>
                <w:szCs w:val="18"/>
                <w:lang w:val="en-GB"/>
              </w:rPr>
            </w:pPr>
            <w:r w:rsidRPr="008A4CE9">
              <w:rPr>
                <w:sz w:val="18"/>
                <w:szCs w:val="18"/>
                <w:lang w:val="en-GB"/>
              </w:rPr>
              <w:t>Fatigue</w:t>
            </w:r>
          </w:p>
          <w:p w14:paraId="65F64B70" w14:textId="6335E346" w:rsidR="00820ECB" w:rsidRPr="008A4CE9" w:rsidRDefault="00820ECB">
            <w:pPr>
              <w:rPr>
                <w:sz w:val="18"/>
                <w:szCs w:val="18"/>
                <w:lang w:val="en-GB"/>
              </w:rPr>
            </w:pPr>
          </w:p>
        </w:tc>
        <w:tc>
          <w:tcPr>
            <w:tcW w:w="4474" w:type="dxa"/>
          </w:tcPr>
          <w:p w14:paraId="34B8F349" w14:textId="60ED8713" w:rsidR="00910D01" w:rsidRPr="008A4CE9" w:rsidRDefault="009806A1">
            <w:pPr>
              <w:rPr>
                <w:sz w:val="18"/>
                <w:szCs w:val="18"/>
                <w:vertAlign w:val="superscript"/>
                <w:lang w:val="en-GB"/>
              </w:rPr>
            </w:pPr>
            <w:r w:rsidRPr="008A4CE9">
              <w:rPr>
                <w:sz w:val="18"/>
                <w:szCs w:val="18"/>
                <w:lang w:val="en-GB"/>
              </w:rPr>
              <w:t>“Outcome measures were introduced step by step in the participating organisations, and this may have led to a more protracted adoption process or implementation fatigue; influencing professional views.”</w:t>
            </w:r>
            <w:r w:rsidRPr="008A4CE9">
              <w:rPr>
                <w:sz w:val="18"/>
                <w:szCs w:val="18"/>
                <w:vertAlign w:val="superscript"/>
                <w:lang w:val="en-GB"/>
              </w:rPr>
              <w:t>13</w:t>
            </w:r>
          </w:p>
        </w:tc>
      </w:tr>
      <w:tr w:rsidR="00910D01" w:rsidRPr="008A4CE9" w14:paraId="0991D3D1" w14:textId="77777777" w:rsidTr="00D142EE">
        <w:tc>
          <w:tcPr>
            <w:tcW w:w="1155" w:type="dxa"/>
            <w:tcBorders>
              <w:top w:val="nil"/>
              <w:bottom w:val="nil"/>
              <w:right w:val="nil"/>
            </w:tcBorders>
          </w:tcPr>
          <w:p w14:paraId="376752F5" w14:textId="77777777" w:rsidR="00910D01" w:rsidRPr="008A4CE9" w:rsidRDefault="00910D01">
            <w:pPr>
              <w:rPr>
                <w:sz w:val="18"/>
                <w:szCs w:val="18"/>
                <w:lang w:val="en-GB"/>
              </w:rPr>
            </w:pPr>
          </w:p>
        </w:tc>
        <w:tc>
          <w:tcPr>
            <w:tcW w:w="3387" w:type="dxa"/>
            <w:tcBorders>
              <w:top w:val="nil"/>
              <w:left w:val="nil"/>
              <w:bottom w:val="nil"/>
            </w:tcBorders>
          </w:tcPr>
          <w:p w14:paraId="28080F3C" w14:textId="62FC6F4E" w:rsidR="00751C78" w:rsidRPr="008A4CE9" w:rsidRDefault="00820ECB">
            <w:pPr>
              <w:rPr>
                <w:sz w:val="18"/>
                <w:szCs w:val="18"/>
                <w:lang w:val="en-GB"/>
              </w:rPr>
            </w:pPr>
            <w:r w:rsidRPr="008A4CE9">
              <w:rPr>
                <w:sz w:val="18"/>
                <w:szCs w:val="18"/>
                <w:lang w:val="en-GB"/>
              </w:rPr>
              <w:t>Training</w:t>
            </w:r>
            <w:r w:rsidR="00910D01" w:rsidRPr="008A4CE9">
              <w:rPr>
                <w:sz w:val="18"/>
                <w:szCs w:val="18"/>
                <w:lang w:val="en-GB"/>
              </w:rPr>
              <w:t xml:space="preserve">                    </w:t>
            </w:r>
          </w:p>
          <w:p w14:paraId="42064528" w14:textId="77777777" w:rsidR="00751C78" w:rsidRPr="008A4CE9" w:rsidRDefault="00751C78">
            <w:pPr>
              <w:rPr>
                <w:sz w:val="18"/>
                <w:szCs w:val="18"/>
                <w:lang w:val="en-GB"/>
              </w:rPr>
            </w:pPr>
          </w:p>
          <w:p w14:paraId="79376F4A" w14:textId="3085B841" w:rsidR="00751C78" w:rsidRPr="008A4CE9" w:rsidRDefault="00820ECB">
            <w:pPr>
              <w:rPr>
                <w:sz w:val="18"/>
                <w:szCs w:val="18"/>
                <w:lang w:val="en-GB"/>
              </w:rPr>
            </w:pPr>
            <w:r w:rsidRPr="008A4CE9">
              <w:rPr>
                <w:sz w:val="18"/>
                <w:szCs w:val="18"/>
                <w:lang w:val="en-GB"/>
              </w:rPr>
              <w:t>High workload</w:t>
            </w:r>
          </w:p>
          <w:p w14:paraId="0F16749A" w14:textId="17679553" w:rsidR="00751C78" w:rsidRPr="008A4CE9" w:rsidRDefault="00751C78" w:rsidP="00820ECB">
            <w:pPr>
              <w:rPr>
                <w:sz w:val="18"/>
                <w:szCs w:val="18"/>
                <w:lang w:val="en-GB"/>
              </w:rPr>
            </w:pPr>
          </w:p>
          <w:p w14:paraId="15212D15" w14:textId="77777777" w:rsidR="0022419E" w:rsidRPr="008A4CE9" w:rsidRDefault="0022419E">
            <w:pPr>
              <w:rPr>
                <w:sz w:val="18"/>
                <w:szCs w:val="18"/>
                <w:lang w:val="en-GB"/>
              </w:rPr>
            </w:pPr>
          </w:p>
          <w:p w14:paraId="6F9D98EF" w14:textId="584AC25B" w:rsidR="00751C78" w:rsidRPr="008A4CE9" w:rsidRDefault="00820ECB">
            <w:pPr>
              <w:rPr>
                <w:sz w:val="18"/>
                <w:szCs w:val="18"/>
                <w:lang w:val="en-GB"/>
              </w:rPr>
            </w:pPr>
            <w:r w:rsidRPr="008A4CE9">
              <w:rPr>
                <w:sz w:val="18"/>
                <w:szCs w:val="18"/>
                <w:lang w:val="en-GB"/>
              </w:rPr>
              <w:t>Reluctance to use</w:t>
            </w:r>
            <w:r w:rsidR="00751C78" w:rsidRPr="008A4CE9">
              <w:rPr>
                <w:sz w:val="18"/>
                <w:szCs w:val="18"/>
                <w:lang w:val="en-GB"/>
              </w:rPr>
              <w:t xml:space="preserve">                 </w:t>
            </w:r>
            <w:r w:rsidR="00910D01" w:rsidRPr="008A4CE9">
              <w:rPr>
                <w:sz w:val="18"/>
                <w:szCs w:val="18"/>
                <w:lang w:val="en-GB"/>
              </w:rPr>
              <w:t xml:space="preserve">  </w:t>
            </w:r>
          </w:p>
          <w:p w14:paraId="798F2919" w14:textId="77777777" w:rsidR="00910D01" w:rsidRPr="008A4CE9" w:rsidRDefault="00910D01">
            <w:pPr>
              <w:rPr>
                <w:sz w:val="18"/>
                <w:szCs w:val="18"/>
                <w:lang w:val="en-GB"/>
              </w:rPr>
            </w:pPr>
          </w:p>
          <w:p w14:paraId="5D3D725B" w14:textId="77777777" w:rsidR="0022419E" w:rsidRPr="008A4CE9" w:rsidRDefault="0022419E">
            <w:pPr>
              <w:rPr>
                <w:sz w:val="18"/>
                <w:szCs w:val="18"/>
                <w:lang w:val="en-GB"/>
              </w:rPr>
            </w:pPr>
          </w:p>
          <w:p w14:paraId="6498ECCC" w14:textId="1628E5DF" w:rsidR="00820ECB" w:rsidRPr="008A4CE9" w:rsidRDefault="0022419E">
            <w:pPr>
              <w:rPr>
                <w:sz w:val="18"/>
                <w:szCs w:val="18"/>
                <w:lang w:val="en-GB"/>
              </w:rPr>
            </w:pPr>
            <w:r w:rsidRPr="008A4CE9">
              <w:rPr>
                <w:sz w:val="18"/>
                <w:szCs w:val="18"/>
                <w:lang w:val="en-GB"/>
              </w:rPr>
              <w:t>Perceived interference</w:t>
            </w:r>
          </w:p>
          <w:p w14:paraId="644B6E3F" w14:textId="77777777" w:rsidR="00820ECB" w:rsidRPr="008A4CE9" w:rsidRDefault="00820ECB">
            <w:pPr>
              <w:rPr>
                <w:sz w:val="18"/>
                <w:szCs w:val="18"/>
                <w:lang w:val="en-GB"/>
              </w:rPr>
            </w:pPr>
          </w:p>
          <w:p w14:paraId="4561B213" w14:textId="77777777" w:rsidR="00820ECB" w:rsidRPr="008A4CE9" w:rsidRDefault="00820ECB">
            <w:pPr>
              <w:rPr>
                <w:sz w:val="18"/>
                <w:szCs w:val="18"/>
                <w:lang w:val="en-GB"/>
              </w:rPr>
            </w:pPr>
          </w:p>
          <w:p w14:paraId="11E65B4C" w14:textId="46132A4E" w:rsidR="00820ECB" w:rsidRPr="008A4CE9" w:rsidRDefault="00820ECB">
            <w:pPr>
              <w:rPr>
                <w:sz w:val="18"/>
                <w:szCs w:val="18"/>
                <w:lang w:val="en-GB"/>
              </w:rPr>
            </w:pPr>
          </w:p>
        </w:tc>
        <w:tc>
          <w:tcPr>
            <w:tcW w:w="4474" w:type="dxa"/>
          </w:tcPr>
          <w:p w14:paraId="01C9428F" w14:textId="27B39DE1" w:rsidR="00820ECB" w:rsidRPr="008A4CE9" w:rsidRDefault="00820ECB" w:rsidP="003E4399">
            <w:pPr>
              <w:rPr>
                <w:sz w:val="18"/>
                <w:szCs w:val="18"/>
                <w:highlight w:val="yellow"/>
                <w:vertAlign w:val="superscript"/>
                <w:lang w:val="en-GB"/>
              </w:rPr>
            </w:pPr>
            <w:r w:rsidRPr="008A4CE9">
              <w:rPr>
                <w:sz w:val="18"/>
                <w:szCs w:val="18"/>
                <w:lang w:val="en-GB"/>
              </w:rPr>
              <w:t>"Many participants admitted not fully understanding the ESAS tool, indicating a need for better training and education."</w:t>
            </w:r>
            <w:r w:rsidRPr="008A4CE9">
              <w:rPr>
                <w:sz w:val="18"/>
                <w:szCs w:val="18"/>
                <w:vertAlign w:val="superscript"/>
                <w:lang w:val="en-GB"/>
              </w:rPr>
              <w:t>3</w:t>
            </w:r>
            <w:r w:rsidR="002D10B0" w:rsidRPr="008A4CE9">
              <w:rPr>
                <w:sz w:val="18"/>
                <w:szCs w:val="18"/>
                <w:vertAlign w:val="superscript"/>
                <w:lang w:val="en-GB"/>
              </w:rPr>
              <w:t>7</w:t>
            </w:r>
          </w:p>
          <w:p w14:paraId="3386FD5C" w14:textId="4AF69A4E" w:rsidR="00820ECB" w:rsidRPr="008A4CE9" w:rsidRDefault="0022419E" w:rsidP="003E4399">
            <w:pPr>
              <w:rPr>
                <w:sz w:val="18"/>
                <w:szCs w:val="18"/>
                <w:lang w:val="en-GB"/>
              </w:rPr>
            </w:pPr>
            <w:r w:rsidRPr="008A4CE9">
              <w:rPr>
                <w:sz w:val="18"/>
                <w:szCs w:val="18"/>
                <w:lang w:val="en-GB"/>
              </w:rPr>
              <w:t>"Staff were concerned about the increased workload associated with collecting and acting on outcome data, particularly within already time-pressured environments."</w:t>
            </w:r>
            <w:r w:rsidRPr="008A4CE9">
              <w:rPr>
                <w:sz w:val="18"/>
                <w:szCs w:val="18"/>
                <w:vertAlign w:val="superscript"/>
                <w:lang w:val="en-GB"/>
              </w:rPr>
              <w:t>3</w:t>
            </w:r>
            <w:r w:rsidR="002D10B0" w:rsidRPr="008A4CE9">
              <w:rPr>
                <w:sz w:val="18"/>
                <w:szCs w:val="18"/>
                <w:vertAlign w:val="superscript"/>
                <w:lang w:val="en-GB"/>
              </w:rPr>
              <w:t>4</w:t>
            </w:r>
          </w:p>
          <w:p w14:paraId="1F2252C6" w14:textId="43D92996" w:rsidR="0022419E" w:rsidRPr="008A4CE9" w:rsidRDefault="0022419E" w:rsidP="003E4399">
            <w:pPr>
              <w:rPr>
                <w:sz w:val="18"/>
                <w:szCs w:val="18"/>
                <w:lang w:val="en-GB"/>
              </w:rPr>
            </w:pPr>
            <w:r w:rsidRPr="008A4CE9">
              <w:rPr>
                <w:sz w:val="18"/>
                <w:szCs w:val="18"/>
                <w:lang w:val="en-GB"/>
              </w:rPr>
              <w:t>"There was uncertainty among professionals about how outcome measures could actually benefit practice, leading to low motivation to use them."</w:t>
            </w:r>
            <w:r w:rsidR="002D10B0" w:rsidRPr="008A4CE9">
              <w:rPr>
                <w:sz w:val="18"/>
                <w:szCs w:val="18"/>
                <w:vertAlign w:val="superscript"/>
                <w:lang w:val="en-GB"/>
              </w:rPr>
              <w:t>70</w:t>
            </w:r>
          </w:p>
          <w:p w14:paraId="4D49215D" w14:textId="63C313D8" w:rsidR="0022419E" w:rsidRPr="008A4CE9" w:rsidRDefault="0022419E" w:rsidP="003E4399">
            <w:pPr>
              <w:rPr>
                <w:sz w:val="18"/>
                <w:szCs w:val="18"/>
                <w:highlight w:val="yellow"/>
                <w:vertAlign w:val="superscript"/>
                <w:lang w:val="en-GB"/>
              </w:rPr>
            </w:pPr>
            <w:r w:rsidRPr="008A4CE9">
              <w:rPr>
                <w:sz w:val="18"/>
                <w:szCs w:val="18"/>
                <w:lang w:val="en-GB"/>
              </w:rPr>
              <w:t>"Some clinicians viewed outcome measurement as a bureaucratic intrusion into their clinical autonomy and professional judgement."</w:t>
            </w:r>
            <w:r w:rsidRPr="008A4CE9">
              <w:rPr>
                <w:sz w:val="18"/>
                <w:szCs w:val="18"/>
                <w:vertAlign w:val="superscript"/>
                <w:lang w:val="en-GB"/>
              </w:rPr>
              <w:t>12</w:t>
            </w:r>
            <w:r w:rsidR="002D10B0" w:rsidRPr="008A4CE9">
              <w:rPr>
                <w:sz w:val="18"/>
                <w:szCs w:val="18"/>
                <w:vertAlign w:val="superscript"/>
                <w:lang w:val="en-GB"/>
              </w:rPr>
              <w:t>6</w:t>
            </w:r>
          </w:p>
        </w:tc>
      </w:tr>
      <w:tr w:rsidR="00F25402" w:rsidRPr="008A4CE9" w14:paraId="49D5E844" w14:textId="77777777" w:rsidTr="00D142EE">
        <w:tc>
          <w:tcPr>
            <w:tcW w:w="1155" w:type="dxa"/>
            <w:tcBorders>
              <w:top w:val="nil"/>
              <w:bottom w:val="nil"/>
              <w:right w:val="nil"/>
            </w:tcBorders>
          </w:tcPr>
          <w:p w14:paraId="3A77A309" w14:textId="1D7DAAD4" w:rsidR="00F25402" w:rsidRPr="008A4CE9" w:rsidRDefault="00F25402">
            <w:pPr>
              <w:rPr>
                <w:sz w:val="18"/>
                <w:szCs w:val="18"/>
                <w:lang w:val="en-GB"/>
              </w:rPr>
            </w:pPr>
            <w:r w:rsidRPr="008A4CE9">
              <w:rPr>
                <w:sz w:val="18"/>
                <w:szCs w:val="18"/>
                <w:lang w:val="en-GB"/>
              </w:rPr>
              <w:t>Patients</w:t>
            </w:r>
          </w:p>
        </w:tc>
        <w:tc>
          <w:tcPr>
            <w:tcW w:w="3387" w:type="dxa"/>
            <w:tcBorders>
              <w:top w:val="nil"/>
              <w:left w:val="nil"/>
              <w:bottom w:val="nil"/>
            </w:tcBorders>
          </w:tcPr>
          <w:p w14:paraId="1AB66D42" w14:textId="28BF4D01" w:rsidR="00F25402" w:rsidRPr="008A4CE9" w:rsidRDefault="00F25402">
            <w:pPr>
              <w:rPr>
                <w:sz w:val="18"/>
                <w:szCs w:val="18"/>
                <w:lang w:val="en-GB"/>
              </w:rPr>
            </w:pPr>
            <w:r w:rsidRPr="008A4CE9">
              <w:rPr>
                <w:sz w:val="18"/>
                <w:szCs w:val="18"/>
                <w:lang w:val="en-GB"/>
              </w:rPr>
              <w:t>Too unwell</w:t>
            </w:r>
          </w:p>
        </w:tc>
        <w:tc>
          <w:tcPr>
            <w:tcW w:w="4474" w:type="dxa"/>
            <w:vMerge w:val="restart"/>
          </w:tcPr>
          <w:p w14:paraId="350D32B1" w14:textId="3A0948B6" w:rsidR="00F25402" w:rsidRPr="008A4CE9" w:rsidRDefault="00F25402">
            <w:pPr>
              <w:rPr>
                <w:sz w:val="18"/>
                <w:szCs w:val="18"/>
                <w:vertAlign w:val="superscript"/>
                <w:lang w:val="en-GB"/>
              </w:rPr>
            </w:pPr>
            <w:r w:rsidRPr="008A4CE9">
              <w:rPr>
                <w:sz w:val="18"/>
                <w:szCs w:val="18"/>
                <w:lang w:val="en-GB"/>
              </w:rPr>
              <w:t>“Some patients were too ill to complete the questionnaires, which made data collection inconsistent and added burden to clinicians."</w:t>
            </w:r>
            <w:r w:rsidRPr="008A4CE9">
              <w:rPr>
                <w:sz w:val="18"/>
                <w:szCs w:val="18"/>
                <w:vertAlign w:val="superscript"/>
                <w:lang w:val="en-GB"/>
              </w:rPr>
              <w:t>2</w:t>
            </w:r>
            <w:r w:rsidR="002D10B0" w:rsidRPr="008A4CE9">
              <w:rPr>
                <w:sz w:val="18"/>
                <w:szCs w:val="18"/>
                <w:vertAlign w:val="superscript"/>
                <w:lang w:val="en-GB"/>
              </w:rPr>
              <w:t>8</w:t>
            </w:r>
          </w:p>
          <w:p w14:paraId="565E8A10" w14:textId="11F5867D" w:rsidR="00F25402" w:rsidRPr="008A4CE9" w:rsidRDefault="00F25402">
            <w:pPr>
              <w:rPr>
                <w:sz w:val="18"/>
                <w:szCs w:val="18"/>
                <w:vertAlign w:val="superscript"/>
                <w:lang w:val="en-GB"/>
              </w:rPr>
            </w:pPr>
            <w:r w:rsidRPr="008A4CE9">
              <w:rPr>
                <w:sz w:val="18"/>
                <w:szCs w:val="18"/>
                <w:lang w:val="en-GB"/>
              </w:rPr>
              <w:t>“Patients nearing the end of life may find it challenging to relate to abstract quality of life concepts embedded in outcome measures”</w:t>
            </w:r>
            <w:r w:rsidRPr="008A4CE9">
              <w:rPr>
                <w:sz w:val="18"/>
                <w:szCs w:val="18"/>
                <w:vertAlign w:val="superscript"/>
                <w:lang w:val="en-GB"/>
              </w:rPr>
              <w:t>3</w:t>
            </w:r>
            <w:r w:rsidR="002D10B0" w:rsidRPr="008A4CE9">
              <w:rPr>
                <w:sz w:val="18"/>
                <w:szCs w:val="18"/>
                <w:vertAlign w:val="superscript"/>
                <w:lang w:val="en-GB"/>
              </w:rPr>
              <w:t>8</w:t>
            </w:r>
          </w:p>
          <w:p w14:paraId="638A4069" w14:textId="77D00010" w:rsidR="00F25402" w:rsidRPr="008A4CE9" w:rsidRDefault="00F25402" w:rsidP="00337D26">
            <w:pPr>
              <w:rPr>
                <w:sz w:val="18"/>
                <w:szCs w:val="18"/>
                <w:vertAlign w:val="superscript"/>
                <w:lang w:val="en-GB"/>
              </w:rPr>
            </w:pPr>
            <w:r w:rsidRPr="008A4CE9">
              <w:rPr>
                <w:sz w:val="18"/>
                <w:szCs w:val="18"/>
                <w:lang w:val="en-GB"/>
              </w:rPr>
              <w:t>“Patients often experience difficulty understanding the scales or may not be willing to report symptoms honestly."</w:t>
            </w:r>
            <w:r w:rsidRPr="008A4CE9">
              <w:rPr>
                <w:sz w:val="18"/>
                <w:szCs w:val="18"/>
                <w:vertAlign w:val="superscript"/>
                <w:lang w:val="en-GB"/>
              </w:rPr>
              <w:t>3</w:t>
            </w:r>
            <w:r w:rsidR="002D10B0" w:rsidRPr="008A4CE9">
              <w:rPr>
                <w:sz w:val="18"/>
                <w:szCs w:val="18"/>
                <w:vertAlign w:val="superscript"/>
                <w:lang w:val="en-GB"/>
              </w:rPr>
              <w:t>7</w:t>
            </w:r>
            <w:r w:rsidRPr="008A4CE9">
              <w:rPr>
                <w:sz w:val="18"/>
                <w:szCs w:val="18"/>
                <w:lang w:val="en-GB"/>
              </w:rPr>
              <w:t xml:space="preserve"> </w:t>
            </w:r>
          </w:p>
        </w:tc>
      </w:tr>
      <w:tr w:rsidR="00FB12E0" w:rsidRPr="008A4CE9" w14:paraId="1FCDAB78" w14:textId="77777777" w:rsidTr="00564D24">
        <w:tc>
          <w:tcPr>
            <w:tcW w:w="1155" w:type="dxa"/>
            <w:tcBorders>
              <w:top w:val="nil"/>
              <w:bottom w:val="nil"/>
              <w:right w:val="nil"/>
            </w:tcBorders>
          </w:tcPr>
          <w:p w14:paraId="2E3C56AA" w14:textId="77777777" w:rsidR="00FB12E0" w:rsidRPr="008A4CE9" w:rsidRDefault="00FB12E0">
            <w:pPr>
              <w:rPr>
                <w:sz w:val="18"/>
                <w:szCs w:val="18"/>
                <w:lang w:val="en-GB"/>
              </w:rPr>
            </w:pPr>
          </w:p>
        </w:tc>
        <w:tc>
          <w:tcPr>
            <w:tcW w:w="3387" w:type="dxa"/>
            <w:vMerge w:val="restart"/>
            <w:tcBorders>
              <w:top w:val="nil"/>
              <w:left w:val="nil"/>
            </w:tcBorders>
          </w:tcPr>
          <w:p w14:paraId="3F3E6E14" w14:textId="77777777" w:rsidR="00FB12E0" w:rsidRPr="008A4CE9" w:rsidRDefault="00FB12E0">
            <w:pPr>
              <w:rPr>
                <w:sz w:val="18"/>
                <w:szCs w:val="18"/>
                <w:lang w:val="en-GB"/>
              </w:rPr>
            </w:pPr>
          </w:p>
          <w:p w14:paraId="0066056E" w14:textId="77777777" w:rsidR="00FB12E0" w:rsidRPr="008A4CE9" w:rsidRDefault="00FB12E0">
            <w:pPr>
              <w:rPr>
                <w:sz w:val="18"/>
                <w:szCs w:val="18"/>
                <w:lang w:val="en-GB"/>
              </w:rPr>
            </w:pPr>
          </w:p>
          <w:p w14:paraId="33CECAFA" w14:textId="5CF6BAB8" w:rsidR="00FB12E0" w:rsidRPr="008A4CE9" w:rsidRDefault="00FB12E0">
            <w:pPr>
              <w:rPr>
                <w:sz w:val="18"/>
                <w:szCs w:val="18"/>
                <w:lang w:val="en-GB"/>
              </w:rPr>
            </w:pPr>
            <w:r w:rsidRPr="008A4CE9">
              <w:rPr>
                <w:sz w:val="18"/>
                <w:szCs w:val="18"/>
                <w:lang w:val="en-GB"/>
              </w:rPr>
              <w:t>Complexity of disease trajectory</w:t>
            </w:r>
          </w:p>
          <w:p w14:paraId="66A78032" w14:textId="77777777" w:rsidR="00FB12E0" w:rsidRPr="008A4CE9" w:rsidRDefault="00FB12E0">
            <w:pPr>
              <w:rPr>
                <w:sz w:val="18"/>
                <w:szCs w:val="18"/>
                <w:lang w:val="en-GB"/>
              </w:rPr>
            </w:pPr>
          </w:p>
          <w:p w14:paraId="3F8A2F1D" w14:textId="77777777" w:rsidR="00FB12E0" w:rsidRPr="008A4CE9" w:rsidRDefault="00FB12E0">
            <w:pPr>
              <w:rPr>
                <w:sz w:val="18"/>
                <w:szCs w:val="18"/>
                <w:lang w:val="en-GB"/>
              </w:rPr>
            </w:pPr>
          </w:p>
          <w:p w14:paraId="313005AB" w14:textId="028B92C5" w:rsidR="00FB12E0" w:rsidRPr="008A4CE9" w:rsidRDefault="00FB12E0">
            <w:pPr>
              <w:rPr>
                <w:sz w:val="18"/>
                <w:szCs w:val="18"/>
                <w:lang w:val="en-GB"/>
              </w:rPr>
            </w:pPr>
            <w:r w:rsidRPr="008A4CE9">
              <w:rPr>
                <w:sz w:val="18"/>
                <w:szCs w:val="18"/>
                <w:lang w:val="en-GB"/>
              </w:rPr>
              <w:t xml:space="preserve">Need for clarity            </w:t>
            </w:r>
          </w:p>
          <w:p w14:paraId="7833B751" w14:textId="77777777" w:rsidR="00FB12E0" w:rsidRPr="008A4CE9" w:rsidRDefault="00FB12E0">
            <w:pPr>
              <w:rPr>
                <w:sz w:val="18"/>
                <w:szCs w:val="18"/>
                <w:lang w:val="en-GB"/>
              </w:rPr>
            </w:pPr>
          </w:p>
          <w:p w14:paraId="5BD5890E" w14:textId="023AABE9" w:rsidR="00FB12E0" w:rsidRPr="008A4CE9" w:rsidRDefault="00FB12E0" w:rsidP="00F25402">
            <w:pPr>
              <w:rPr>
                <w:sz w:val="18"/>
                <w:szCs w:val="18"/>
                <w:lang w:val="en-GB"/>
              </w:rPr>
            </w:pPr>
            <w:r w:rsidRPr="008A4CE9">
              <w:rPr>
                <w:sz w:val="18"/>
                <w:szCs w:val="18"/>
                <w:lang w:val="en-GB"/>
              </w:rPr>
              <w:t xml:space="preserve">Lack of reminders                  </w:t>
            </w:r>
          </w:p>
        </w:tc>
        <w:tc>
          <w:tcPr>
            <w:tcW w:w="4474" w:type="dxa"/>
            <w:vMerge/>
          </w:tcPr>
          <w:p w14:paraId="29F7BB00" w14:textId="4A54DF74" w:rsidR="00FB12E0" w:rsidRPr="008A4CE9" w:rsidRDefault="00FB12E0">
            <w:pPr>
              <w:rPr>
                <w:sz w:val="18"/>
                <w:szCs w:val="18"/>
                <w:lang w:val="en-GB"/>
              </w:rPr>
            </w:pPr>
          </w:p>
        </w:tc>
      </w:tr>
      <w:tr w:rsidR="00FB12E0" w:rsidRPr="008A4CE9" w14:paraId="6B39FE94" w14:textId="77777777" w:rsidTr="00564D24">
        <w:trPr>
          <w:trHeight w:val="50"/>
        </w:trPr>
        <w:tc>
          <w:tcPr>
            <w:tcW w:w="1155" w:type="dxa"/>
            <w:tcBorders>
              <w:top w:val="nil"/>
              <w:bottom w:val="nil"/>
              <w:right w:val="nil"/>
            </w:tcBorders>
          </w:tcPr>
          <w:p w14:paraId="3037E479" w14:textId="77777777" w:rsidR="00FB12E0" w:rsidRPr="008A4CE9" w:rsidRDefault="00FB12E0">
            <w:pPr>
              <w:rPr>
                <w:sz w:val="18"/>
                <w:szCs w:val="18"/>
                <w:lang w:val="en-GB"/>
              </w:rPr>
            </w:pPr>
          </w:p>
        </w:tc>
        <w:tc>
          <w:tcPr>
            <w:tcW w:w="3387" w:type="dxa"/>
            <w:vMerge/>
            <w:tcBorders>
              <w:left w:val="nil"/>
            </w:tcBorders>
          </w:tcPr>
          <w:p w14:paraId="6B44D38A" w14:textId="01DEB314" w:rsidR="00FB12E0" w:rsidRPr="008A4CE9" w:rsidRDefault="00FB12E0">
            <w:pPr>
              <w:rPr>
                <w:sz w:val="18"/>
                <w:szCs w:val="18"/>
                <w:lang w:val="en-GB"/>
              </w:rPr>
            </w:pPr>
          </w:p>
        </w:tc>
        <w:tc>
          <w:tcPr>
            <w:tcW w:w="4474" w:type="dxa"/>
            <w:vMerge/>
          </w:tcPr>
          <w:p w14:paraId="4A745051" w14:textId="1027ED4A" w:rsidR="00FB12E0" w:rsidRPr="008A4CE9" w:rsidRDefault="00FB12E0">
            <w:pPr>
              <w:rPr>
                <w:sz w:val="18"/>
                <w:szCs w:val="18"/>
                <w:highlight w:val="yellow"/>
                <w:lang w:val="en-GB"/>
              </w:rPr>
            </w:pPr>
          </w:p>
        </w:tc>
      </w:tr>
      <w:tr w:rsidR="00FB12E0" w:rsidRPr="008A4CE9" w14:paraId="77628604" w14:textId="77777777" w:rsidTr="00564D24">
        <w:tc>
          <w:tcPr>
            <w:tcW w:w="1155" w:type="dxa"/>
            <w:tcBorders>
              <w:top w:val="nil"/>
              <w:bottom w:val="nil"/>
              <w:right w:val="nil"/>
            </w:tcBorders>
          </w:tcPr>
          <w:p w14:paraId="7E20F06E" w14:textId="77777777" w:rsidR="00FB12E0" w:rsidRPr="008A4CE9" w:rsidRDefault="00FB12E0">
            <w:pPr>
              <w:rPr>
                <w:sz w:val="18"/>
                <w:szCs w:val="18"/>
                <w:lang w:val="en-GB"/>
              </w:rPr>
            </w:pPr>
          </w:p>
        </w:tc>
        <w:tc>
          <w:tcPr>
            <w:tcW w:w="3387" w:type="dxa"/>
            <w:vMerge/>
            <w:tcBorders>
              <w:left w:val="nil"/>
            </w:tcBorders>
          </w:tcPr>
          <w:p w14:paraId="50B4B993" w14:textId="5788AEA7" w:rsidR="00FB12E0" w:rsidRPr="008A4CE9" w:rsidRDefault="00FB12E0">
            <w:pPr>
              <w:rPr>
                <w:sz w:val="18"/>
                <w:szCs w:val="18"/>
                <w:lang w:val="en-GB"/>
              </w:rPr>
            </w:pPr>
          </w:p>
        </w:tc>
        <w:tc>
          <w:tcPr>
            <w:tcW w:w="4474" w:type="dxa"/>
            <w:vMerge/>
          </w:tcPr>
          <w:p w14:paraId="404021EE" w14:textId="44BC5604" w:rsidR="00FB12E0" w:rsidRPr="008A4CE9" w:rsidRDefault="00FB12E0">
            <w:pPr>
              <w:rPr>
                <w:sz w:val="18"/>
                <w:szCs w:val="18"/>
                <w:highlight w:val="yellow"/>
                <w:lang w:val="en-GB"/>
              </w:rPr>
            </w:pPr>
          </w:p>
        </w:tc>
      </w:tr>
      <w:tr w:rsidR="00FB12E0" w:rsidRPr="008A4CE9" w14:paraId="1D55ABD3" w14:textId="77777777" w:rsidTr="00564D24">
        <w:tc>
          <w:tcPr>
            <w:tcW w:w="1155" w:type="dxa"/>
            <w:tcBorders>
              <w:top w:val="nil"/>
              <w:bottom w:val="single" w:sz="4" w:space="0" w:color="auto"/>
              <w:right w:val="nil"/>
            </w:tcBorders>
          </w:tcPr>
          <w:p w14:paraId="1E6F87ED" w14:textId="77777777" w:rsidR="00FB12E0" w:rsidRPr="008A4CE9" w:rsidRDefault="00FB12E0">
            <w:pPr>
              <w:rPr>
                <w:sz w:val="18"/>
                <w:szCs w:val="18"/>
                <w:lang w:val="en-GB"/>
              </w:rPr>
            </w:pPr>
          </w:p>
        </w:tc>
        <w:tc>
          <w:tcPr>
            <w:tcW w:w="3387" w:type="dxa"/>
            <w:vMerge/>
            <w:tcBorders>
              <w:left w:val="nil"/>
              <w:bottom w:val="single" w:sz="4" w:space="0" w:color="auto"/>
            </w:tcBorders>
          </w:tcPr>
          <w:p w14:paraId="37BE5DA0" w14:textId="31A112D7" w:rsidR="00FB12E0" w:rsidRPr="008A4CE9" w:rsidRDefault="00FB12E0">
            <w:pPr>
              <w:rPr>
                <w:sz w:val="18"/>
                <w:szCs w:val="18"/>
                <w:lang w:val="en-GB"/>
              </w:rPr>
            </w:pPr>
          </w:p>
        </w:tc>
        <w:tc>
          <w:tcPr>
            <w:tcW w:w="4474" w:type="dxa"/>
            <w:vMerge/>
          </w:tcPr>
          <w:p w14:paraId="1D1A8464" w14:textId="083CBE42" w:rsidR="00FB12E0" w:rsidRPr="008A4CE9" w:rsidRDefault="00FB12E0">
            <w:pPr>
              <w:rPr>
                <w:sz w:val="18"/>
                <w:szCs w:val="18"/>
                <w:highlight w:val="yellow"/>
                <w:lang w:val="en-GB"/>
              </w:rPr>
            </w:pPr>
          </w:p>
        </w:tc>
      </w:tr>
      <w:tr w:rsidR="00910D01" w:rsidRPr="008A4CE9" w14:paraId="0D68F8B6" w14:textId="77777777" w:rsidTr="00D142EE">
        <w:tc>
          <w:tcPr>
            <w:tcW w:w="1155" w:type="dxa"/>
            <w:tcBorders>
              <w:top w:val="nil"/>
              <w:bottom w:val="nil"/>
              <w:right w:val="nil"/>
            </w:tcBorders>
          </w:tcPr>
          <w:p w14:paraId="0AA61BD1" w14:textId="18AEA5A5" w:rsidR="00910D01" w:rsidRPr="008A4CE9" w:rsidRDefault="00337A71">
            <w:pPr>
              <w:rPr>
                <w:sz w:val="18"/>
                <w:szCs w:val="18"/>
                <w:lang w:val="en-GB"/>
              </w:rPr>
            </w:pPr>
            <w:r w:rsidRPr="008A4CE9">
              <w:rPr>
                <w:sz w:val="18"/>
                <w:szCs w:val="18"/>
                <w:lang w:val="en-GB"/>
              </w:rPr>
              <w:t>Resources</w:t>
            </w:r>
          </w:p>
        </w:tc>
        <w:tc>
          <w:tcPr>
            <w:tcW w:w="3387" w:type="dxa"/>
            <w:tcBorders>
              <w:top w:val="nil"/>
              <w:left w:val="nil"/>
              <w:bottom w:val="nil"/>
            </w:tcBorders>
          </w:tcPr>
          <w:p w14:paraId="7A1EB50E" w14:textId="77777777" w:rsidR="00910D01" w:rsidRPr="008A4CE9" w:rsidRDefault="00910D01">
            <w:pPr>
              <w:rPr>
                <w:sz w:val="18"/>
                <w:szCs w:val="18"/>
                <w:lang w:val="en-GB"/>
              </w:rPr>
            </w:pPr>
            <w:r w:rsidRPr="008A4CE9">
              <w:rPr>
                <w:sz w:val="18"/>
                <w:szCs w:val="18"/>
                <w:lang w:val="en-GB"/>
              </w:rPr>
              <w:t>Time</w:t>
            </w:r>
            <w:r w:rsidR="00820ECB" w:rsidRPr="008A4CE9">
              <w:rPr>
                <w:sz w:val="18"/>
                <w:szCs w:val="18"/>
                <w:lang w:val="en-GB"/>
              </w:rPr>
              <w:t xml:space="preserve"> constraints</w:t>
            </w:r>
          </w:p>
          <w:p w14:paraId="2185C977" w14:textId="56899B2B" w:rsidR="00820ECB" w:rsidRPr="008A4CE9" w:rsidRDefault="00820ECB">
            <w:pPr>
              <w:rPr>
                <w:sz w:val="18"/>
                <w:szCs w:val="18"/>
                <w:lang w:val="en-GB"/>
              </w:rPr>
            </w:pPr>
          </w:p>
        </w:tc>
        <w:tc>
          <w:tcPr>
            <w:tcW w:w="4474" w:type="dxa"/>
          </w:tcPr>
          <w:p w14:paraId="248E97F9" w14:textId="5CA6275A" w:rsidR="00910D01" w:rsidRPr="008A4CE9" w:rsidRDefault="00337A71" w:rsidP="00337A71">
            <w:pPr>
              <w:rPr>
                <w:sz w:val="18"/>
                <w:szCs w:val="18"/>
                <w:vertAlign w:val="superscript"/>
                <w:lang w:val="en-GB"/>
              </w:rPr>
            </w:pPr>
            <w:r w:rsidRPr="008A4CE9">
              <w:rPr>
                <w:sz w:val="18"/>
                <w:szCs w:val="18"/>
                <w:lang w:val="en-GB"/>
              </w:rPr>
              <w:t>“… participants spent time deliberating over, as opposed to efficiently using, the measures.”</w:t>
            </w:r>
            <w:r w:rsidRPr="008A4CE9">
              <w:rPr>
                <w:sz w:val="18"/>
                <w:szCs w:val="18"/>
                <w:vertAlign w:val="superscript"/>
                <w:lang w:val="en-GB"/>
              </w:rPr>
              <w:t>3</w:t>
            </w:r>
            <w:r w:rsidR="002D10B0" w:rsidRPr="008A4CE9">
              <w:rPr>
                <w:sz w:val="18"/>
                <w:szCs w:val="18"/>
                <w:vertAlign w:val="superscript"/>
                <w:lang w:val="en-GB"/>
              </w:rPr>
              <w:t>4</w:t>
            </w:r>
          </w:p>
        </w:tc>
      </w:tr>
      <w:tr w:rsidR="00910D01" w:rsidRPr="008A4CE9" w14:paraId="4779303C" w14:textId="77777777" w:rsidTr="00D142EE">
        <w:tc>
          <w:tcPr>
            <w:tcW w:w="1155" w:type="dxa"/>
            <w:tcBorders>
              <w:top w:val="nil"/>
              <w:bottom w:val="nil"/>
              <w:right w:val="nil"/>
            </w:tcBorders>
          </w:tcPr>
          <w:p w14:paraId="79446BE5" w14:textId="77777777" w:rsidR="00910D01" w:rsidRPr="008A4CE9" w:rsidRDefault="00910D01">
            <w:pPr>
              <w:rPr>
                <w:sz w:val="18"/>
                <w:szCs w:val="18"/>
                <w:lang w:val="en-GB"/>
              </w:rPr>
            </w:pPr>
          </w:p>
        </w:tc>
        <w:tc>
          <w:tcPr>
            <w:tcW w:w="3387" w:type="dxa"/>
            <w:tcBorders>
              <w:top w:val="nil"/>
              <w:left w:val="nil"/>
              <w:bottom w:val="nil"/>
            </w:tcBorders>
          </w:tcPr>
          <w:p w14:paraId="464937BB" w14:textId="77777777" w:rsidR="00910D01" w:rsidRPr="008A4CE9" w:rsidRDefault="00910D01">
            <w:pPr>
              <w:rPr>
                <w:sz w:val="18"/>
                <w:szCs w:val="18"/>
                <w:lang w:val="en-GB"/>
              </w:rPr>
            </w:pPr>
            <w:r w:rsidRPr="008A4CE9">
              <w:rPr>
                <w:sz w:val="18"/>
                <w:szCs w:val="18"/>
                <w:lang w:val="en-GB"/>
              </w:rPr>
              <w:t>Costs</w:t>
            </w:r>
          </w:p>
          <w:p w14:paraId="50EC33B1" w14:textId="313AFA31" w:rsidR="00820ECB" w:rsidRPr="008A4CE9" w:rsidRDefault="00820ECB">
            <w:pPr>
              <w:rPr>
                <w:sz w:val="18"/>
                <w:szCs w:val="18"/>
                <w:lang w:val="en-GB"/>
              </w:rPr>
            </w:pPr>
          </w:p>
        </w:tc>
        <w:tc>
          <w:tcPr>
            <w:tcW w:w="4474" w:type="dxa"/>
          </w:tcPr>
          <w:p w14:paraId="1087DEC0" w14:textId="60B30B03" w:rsidR="00910D01" w:rsidRPr="008A4CE9" w:rsidRDefault="00337A71">
            <w:pPr>
              <w:rPr>
                <w:sz w:val="18"/>
                <w:szCs w:val="18"/>
                <w:highlight w:val="yellow"/>
                <w:vertAlign w:val="superscript"/>
                <w:lang w:val="en-GB"/>
              </w:rPr>
            </w:pPr>
            <w:r w:rsidRPr="008A4CE9">
              <w:rPr>
                <w:sz w:val="18"/>
                <w:szCs w:val="18"/>
                <w:lang w:val="en-GB"/>
              </w:rPr>
              <w:t>“</w:t>
            </w:r>
            <w:r w:rsidR="00C73159" w:rsidRPr="008A4CE9">
              <w:rPr>
                <w:sz w:val="18"/>
                <w:szCs w:val="18"/>
                <w:lang w:val="en-GB"/>
              </w:rPr>
              <w:t>The cost of implementation was also a concern, particularly when considering integration with the electronic health record and the resources needed for training and support.”</w:t>
            </w:r>
            <w:r w:rsidR="00C73159" w:rsidRPr="008A4CE9">
              <w:rPr>
                <w:sz w:val="18"/>
                <w:szCs w:val="18"/>
                <w:vertAlign w:val="superscript"/>
                <w:lang w:val="en-GB"/>
              </w:rPr>
              <w:t>5</w:t>
            </w:r>
            <w:r w:rsidR="002D10B0" w:rsidRPr="008A4CE9">
              <w:rPr>
                <w:sz w:val="18"/>
                <w:szCs w:val="18"/>
                <w:vertAlign w:val="superscript"/>
                <w:lang w:val="en-GB"/>
              </w:rPr>
              <w:t>6</w:t>
            </w:r>
          </w:p>
        </w:tc>
      </w:tr>
      <w:tr w:rsidR="00910D01" w:rsidRPr="008A4CE9" w14:paraId="18BFB594" w14:textId="77777777" w:rsidTr="00D142EE">
        <w:tc>
          <w:tcPr>
            <w:tcW w:w="1155" w:type="dxa"/>
            <w:tcBorders>
              <w:top w:val="nil"/>
              <w:bottom w:val="single" w:sz="4" w:space="0" w:color="auto"/>
              <w:right w:val="nil"/>
            </w:tcBorders>
          </w:tcPr>
          <w:p w14:paraId="0C84D2A3" w14:textId="77777777" w:rsidR="00910D01" w:rsidRPr="008A4CE9" w:rsidRDefault="00910D01">
            <w:pPr>
              <w:rPr>
                <w:sz w:val="18"/>
                <w:szCs w:val="18"/>
                <w:lang w:val="en-GB"/>
              </w:rPr>
            </w:pPr>
          </w:p>
        </w:tc>
        <w:tc>
          <w:tcPr>
            <w:tcW w:w="3387" w:type="dxa"/>
            <w:tcBorders>
              <w:top w:val="nil"/>
              <w:left w:val="nil"/>
              <w:bottom w:val="single" w:sz="4" w:space="0" w:color="auto"/>
            </w:tcBorders>
          </w:tcPr>
          <w:p w14:paraId="4F85577D" w14:textId="77777777" w:rsidR="00910D01" w:rsidRPr="008A4CE9" w:rsidRDefault="00820ECB">
            <w:pPr>
              <w:rPr>
                <w:sz w:val="18"/>
                <w:szCs w:val="18"/>
                <w:lang w:val="en-GB"/>
              </w:rPr>
            </w:pPr>
            <w:r w:rsidRPr="008A4CE9">
              <w:rPr>
                <w:sz w:val="18"/>
                <w:szCs w:val="18"/>
                <w:lang w:val="en-GB"/>
              </w:rPr>
              <w:t>Equipment</w:t>
            </w:r>
          </w:p>
          <w:p w14:paraId="72B62C19" w14:textId="77777777" w:rsidR="00820ECB" w:rsidRPr="008A4CE9" w:rsidRDefault="00820ECB">
            <w:pPr>
              <w:rPr>
                <w:sz w:val="18"/>
                <w:szCs w:val="18"/>
                <w:lang w:val="en-GB"/>
              </w:rPr>
            </w:pPr>
          </w:p>
          <w:p w14:paraId="6F6711E7" w14:textId="77777777" w:rsidR="00F84278" w:rsidRPr="008A4CE9" w:rsidRDefault="00F84278">
            <w:pPr>
              <w:rPr>
                <w:sz w:val="18"/>
                <w:szCs w:val="18"/>
                <w:lang w:val="en-GB"/>
              </w:rPr>
            </w:pPr>
          </w:p>
          <w:p w14:paraId="0E023A5C" w14:textId="4A7B187B" w:rsidR="00820ECB" w:rsidRPr="008A4CE9" w:rsidRDefault="00974E52">
            <w:pPr>
              <w:rPr>
                <w:sz w:val="18"/>
                <w:szCs w:val="18"/>
                <w:lang w:val="en-GB"/>
              </w:rPr>
            </w:pPr>
            <w:r w:rsidRPr="008A4CE9">
              <w:rPr>
                <w:sz w:val="18"/>
                <w:szCs w:val="18"/>
                <w:lang w:val="en-GB"/>
              </w:rPr>
              <w:t>Access to tool</w:t>
            </w:r>
          </w:p>
          <w:p w14:paraId="4B608F64" w14:textId="77777777" w:rsidR="00974E52" w:rsidRPr="008A4CE9" w:rsidRDefault="00974E52">
            <w:pPr>
              <w:rPr>
                <w:sz w:val="18"/>
                <w:szCs w:val="18"/>
                <w:lang w:val="en-GB"/>
              </w:rPr>
            </w:pPr>
          </w:p>
          <w:p w14:paraId="5E915F3A" w14:textId="4B56A3C2" w:rsidR="00974E52" w:rsidRPr="008A4CE9" w:rsidRDefault="00F84278">
            <w:pPr>
              <w:rPr>
                <w:sz w:val="18"/>
                <w:szCs w:val="18"/>
                <w:lang w:val="en-GB"/>
              </w:rPr>
            </w:pPr>
            <w:r w:rsidRPr="008A4CE9">
              <w:rPr>
                <w:sz w:val="18"/>
                <w:szCs w:val="18"/>
                <w:lang w:val="en-GB"/>
              </w:rPr>
              <w:t>Sustainability issues</w:t>
            </w:r>
          </w:p>
        </w:tc>
        <w:tc>
          <w:tcPr>
            <w:tcW w:w="4474" w:type="dxa"/>
          </w:tcPr>
          <w:p w14:paraId="6E22DBCD" w14:textId="3D668870" w:rsidR="00910D01" w:rsidRPr="008A4CE9" w:rsidRDefault="00C73159">
            <w:pPr>
              <w:rPr>
                <w:sz w:val="18"/>
                <w:szCs w:val="18"/>
                <w:lang w:val="en-GB"/>
              </w:rPr>
            </w:pPr>
            <w:r w:rsidRPr="008A4CE9">
              <w:rPr>
                <w:sz w:val="18"/>
                <w:szCs w:val="18"/>
                <w:lang w:val="en-GB"/>
              </w:rPr>
              <w:t>“…failure of electronic devices (e.g. dead tablet batteries), lack of space for the device on mobile treatment carts, and device software issues.”</w:t>
            </w:r>
            <w:r w:rsidRPr="008A4CE9">
              <w:rPr>
                <w:sz w:val="18"/>
                <w:szCs w:val="18"/>
                <w:vertAlign w:val="superscript"/>
                <w:lang w:val="en-GB"/>
              </w:rPr>
              <w:t>6</w:t>
            </w:r>
            <w:r w:rsidR="002D10B0" w:rsidRPr="008A4CE9">
              <w:rPr>
                <w:sz w:val="18"/>
                <w:szCs w:val="18"/>
                <w:vertAlign w:val="superscript"/>
                <w:lang w:val="en-GB"/>
              </w:rPr>
              <w:t>9</w:t>
            </w:r>
          </w:p>
          <w:p w14:paraId="0E40ADCF" w14:textId="62F17BAA" w:rsidR="00F84278" w:rsidRPr="008A4CE9" w:rsidRDefault="00F84278">
            <w:pPr>
              <w:rPr>
                <w:sz w:val="18"/>
                <w:szCs w:val="18"/>
                <w:vertAlign w:val="superscript"/>
                <w:lang w:val="en-GB"/>
              </w:rPr>
            </w:pPr>
            <w:r w:rsidRPr="008A4CE9">
              <w:rPr>
                <w:sz w:val="18"/>
                <w:szCs w:val="18"/>
                <w:lang w:val="en-GB"/>
              </w:rPr>
              <w:t>“</w:t>
            </w:r>
            <w:proofErr w:type="gramStart"/>
            <w:r w:rsidRPr="008A4CE9">
              <w:rPr>
                <w:sz w:val="18"/>
                <w:szCs w:val="18"/>
                <w:lang w:val="en-GB"/>
              </w:rPr>
              <w:t>…“</w:t>
            </w:r>
            <w:proofErr w:type="gramEnd"/>
            <w:r w:rsidRPr="008A4CE9">
              <w:rPr>
                <w:sz w:val="18"/>
                <w:szCs w:val="18"/>
                <w:lang w:val="en-GB"/>
              </w:rPr>
              <w:t>...staff in the care homes did not have access to the original version of the IPOS-Dem guidance document…”</w:t>
            </w:r>
            <w:r w:rsidR="002D10B0" w:rsidRPr="008A4CE9">
              <w:rPr>
                <w:sz w:val="18"/>
                <w:szCs w:val="18"/>
                <w:vertAlign w:val="superscript"/>
                <w:lang w:val="en-GB"/>
              </w:rPr>
              <w:t>50</w:t>
            </w:r>
          </w:p>
          <w:p w14:paraId="09FF0DC3" w14:textId="5575D23F" w:rsidR="00F84278" w:rsidRPr="008A4CE9" w:rsidRDefault="00F84278">
            <w:pPr>
              <w:rPr>
                <w:sz w:val="18"/>
                <w:szCs w:val="18"/>
                <w:highlight w:val="yellow"/>
                <w:vertAlign w:val="superscript"/>
                <w:lang w:val="en-GB"/>
              </w:rPr>
            </w:pPr>
            <w:r w:rsidRPr="008A4CE9">
              <w:rPr>
                <w:sz w:val="18"/>
                <w:szCs w:val="18"/>
                <w:lang w:val="en-GB"/>
              </w:rPr>
              <w:t>“Challenges to sustainability included lack of funding and inadequate staffing”</w:t>
            </w:r>
            <w:r w:rsidR="002D10B0" w:rsidRPr="008A4CE9">
              <w:rPr>
                <w:sz w:val="18"/>
                <w:szCs w:val="18"/>
                <w:vertAlign w:val="superscript"/>
                <w:lang w:val="en-GB"/>
              </w:rPr>
              <w:t>50</w:t>
            </w:r>
          </w:p>
        </w:tc>
      </w:tr>
      <w:tr w:rsidR="00756804" w:rsidRPr="008A4CE9" w14:paraId="76BB23E2" w14:textId="77777777" w:rsidTr="00AD6DC7">
        <w:tc>
          <w:tcPr>
            <w:tcW w:w="1155" w:type="dxa"/>
            <w:tcBorders>
              <w:bottom w:val="nil"/>
              <w:right w:val="nil"/>
            </w:tcBorders>
          </w:tcPr>
          <w:p w14:paraId="717F9259" w14:textId="5AEA599E" w:rsidR="00756804" w:rsidRPr="008A4CE9" w:rsidRDefault="00756804">
            <w:pPr>
              <w:rPr>
                <w:sz w:val="18"/>
                <w:szCs w:val="18"/>
                <w:lang w:val="en-GB"/>
              </w:rPr>
            </w:pPr>
            <w:r w:rsidRPr="008A4CE9">
              <w:rPr>
                <w:sz w:val="18"/>
                <w:szCs w:val="18"/>
                <w:lang w:val="en-GB"/>
              </w:rPr>
              <w:t>PCOMs</w:t>
            </w:r>
          </w:p>
        </w:tc>
        <w:tc>
          <w:tcPr>
            <w:tcW w:w="7861" w:type="dxa"/>
            <w:gridSpan w:val="2"/>
            <w:vMerge w:val="restart"/>
            <w:tcBorders>
              <w:left w:val="nil"/>
            </w:tcBorders>
          </w:tcPr>
          <w:p w14:paraId="10370119" w14:textId="77777777" w:rsidR="00756804" w:rsidRPr="008A4CE9" w:rsidRDefault="00756804" w:rsidP="00D142EE">
            <w:pPr>
              <w:rPr>
                <w:sz w:val="18"/>
                <w:szCs w:val="18"/>
                <w:lang w:val="en-GB"/>
              </w:rPr>
            </w:pPr>
            <w:r w:rsidRPr="008A4CE9">
              <w:rPr>
                <w:sz w:val="18"/>
                <w:szCs w:val="18"/>
                <w:lang w:val="en-GB"/>
              </w:rPr>
              <w:t>Outcomes complexity</w:t>
            </w:r>
          </w:p>
          <w:p w14:paraId="7630FB6A" w14:textId="2D933D9D" w:rsidR="00756804" w:rsidRPr="008A4CE9" w:rsidRDefault="00756804" w:rsidP="00D142EE">
            <w:pPr>
              <w:rPr>
                <w:sz w:val="18"/>
                <w:szCs w:val="18"/>
                <w:lang w:val="en-GB"/>
              </w:rPr>
            </w:pPr>
            <w:r w:rsidRPr="008A4CE9">
              <w:rPr>
                <w:sz w:val="18"/>
                <w:szCs w:val="18"/>
                <w:lang w:val="en-GB"/>
              </w:rPr>
              <w:t>Measure complexity</w:t>
            </w:r>
            <w:r w:rsidR="00D51CE2" w:rsidRPr="008A4CE9">
              <w:rPr>
                <w:sz w:val="18"/>
                <w:szCs w:val="18"/>
                <w:lang w:val="en-GB"/>
              </w:rPr>
              <w:t>, namely issues with</w:t>
            </w:r>
            <w:r w:rsidRPr="008A4CE9">
              <w:rPr>
                <w:sz w:val="18"/>
                <w:szCs w:val="18"/>
                <w:lang w:val="en-GB"/>
              </w:rPr>
              <w:t xml:space="preserve"> adaptability; interpretation; individualisation; comprehensibility; timing; numerical scoring; user experience; acceptability; consensus on what tool to use; does not reflect reality; psychometric properties; burden </w:t>
            </w:r>
          </w:p>
          <w:p w14:paraId="1450B1A1" w14:textId="7D8B6939" w:rsidR="00756804" w:rsidRPr="008A4CE9" w:rsidRDefault="00756804">
            <w:pPr>
              <w:rPr>
                <w:sz w:val="18"/>
                <w:szCs w:val="18"/>
                <w:vertAlign w:val="superscript"/>
                <w:lang w:val="en-GB"/>
              </w:rPr>
            </w:pPr>
          </w:p>
        </w:tc>
      </w:tr>
      <w:tr w:rsidR="00756804" w:rsidRPr="008A4CE9" w14:paraId="54B5A5C3" w14:textId="77777777" w:rsidTr="00AD6DC7">
        <w:tc>
          <w:tcPr>
            <w:tcW w:w="1155" w:type="dxa"/>
            <w:tcBorders>
              <w:top w:val="nil"/>
              <w:bottom w:val="nil"/>
              <w:right w:val="nil"/>
            </w:tcBorders>
          </w:tcPr>
          <w:p w14:paraId="7DA87498" w14:textId="77777777" w:rsidR="00756804" w:rsidRPr="008A4CE9" w:rsidRDefault="00756804">
            <w:pPr>
              <w:rPr>
                <w:sz w:val="18"/>
                <w:szCs w:val="18"/>
                <w:lang w:val="en-GB"/>
              </w:rPr>
            </w:pPr>
          </w:p>
        </w:tc>
        <w:tc>
          <w:tcPr>
            <w:tcW w:w="7861" w:type="dxa"/>
            <w:gridSpan w:val="2"/>
            <w:vMerge/>
            <w:tcBorders>
              <w:left w:val="nil"/>
            </w:tcBorders>
          </w:tcPr>
          <w:p w14:paraId="5A3F97F6" w14:textId="16C7C4C4" w:rsidR="00756804" w:rsidRPr="008A4CE9" w:rsidRDefault="00756804">
            <w:pPr>
              <w:rPr>
                <w:sz w:val="18"/>
                <w:szCs w:val="18"/>
                <w:lang w:val="en-GB"/>
              </w:rPr>
            </w:pPr>
          </w:p>
        </w:tc>
      </w:tr>
      <w:tr w:rsidR="00756804" w:rsidRPr="008A4CE9" w14:paraId="04C820B2" w14:textId="77777777" w:rsidTr="00AD6DC7">
        <w:tc>
          <w:tcPr>
            <w:tcW w:w="1155" w:type="dxa"/>
            <w:tcBorders>
              <w:top w:val="nil"/>
              <w:bottom w:val="single" w:sz="4" w:space="0" w:color="auto"/>
              <w:right w:val="nil"/>
            </w:tcBorders>
          </w:tcPr>
          <w:p w14:paraId="6D0E6AAC" w14:textId="77777777" w:rsidR="00756804" w:rsidRPr="008A4CE9" w:rsidRDefault="00756804">
            <w:pPr>
              <w:rPr>
                <w:sz w:val="18"/>
                <w:szCs w:val="18"/>
                <w:lang w:val="en-GB"/>
              </w:rPr>
            </w:pPr>
          </w:p>
        </w:tc>
        <w:tc>
          <w:tcPr>
            <w:tcW w:w="7861" w:type="dxa"/>
            <w:gridSpan w:val="2"/>
            <w:vMerge/>
            <w:tcBorders>
              <w:left w:val="nil"/>
              <w:bottom w:val="single" w:sz="4" w:space="0" w:color="auto"/>
            </w:tcBorders>
          </w:tcPr>
          <w:p w14:paraId="10A0D2EA" w14:textId="6850B9CC" w:rsidR="00756804" w:rsidRPr="008A4CE9" w:rsidRDefault="00756804" w:rsidP="0098624B">
            <w:pPr>
              <w:rPr>
                <w:sz w:val="18"/>
                <w:szCs w:val="18"/>
                <w:vertAlign w:val="superscript"/>
                <w:lang w:val="en-GB"/>
              </w:rPr>
            </w:pPr>
          </w:p>
        </w:tc>
      </w:tr>
      <w:tr w:rsidR="00D51CE2" w:rsidRPr="008A4CE9" w14:paraId="3C5618D7" w14:textId="77777777" w:rsidTr="00D51CE2">
        <w:tc>
          <w:tcPr>
            <w:tcW w:w="1155" w:type="dxa"/>
            <w:tcBorders>
              <w:bottom w:val="single" w:sz="4" w:space="0" w:color="auto"/>
              <w:right w:val="nil"/>
            </w:tcBorders>
          </w:tcPr>
          <w:p w14:paraId="69E532BF" w14:textId="43448A42" w:rsidR="00D51CE2" w:rsidRPr="008A4CE9" w:rsidRDefault="00D51CE2" w:rsidP="00D142EE">
            <w:pPr>
              <w:rPr>
                <w:sz w:val="18"/>
                <w:szCs w:val="18"/>
                <w:lang w:val="en-GB"/>
              </w:rPr>
            </w:pPr>
            <w:r w:rsidRPr="008A4CE9">
              <w:rPr>
                <w:sz w:val="18"/>
                <w:szCs w:val="18"/>
                <w:lang w:val="en-GB"/>
              </w:rPr>
              <w:t>Health service</w:t>
            </w:r>
          </w:p>
        </w:tc>
        <w:tc>
          <w:tcPr>
            <w:tcW w:w="7861" w:type="dxa"/>
            <w:gridSpan w:val="2"/>
            <w:tcBorders>
              <w:left w:val="nil"/>
              <w:bottom w:val="single" w:sz="4" w:space="0" w:color="auto"/>
            </w:tcBorders>
          </w:tcPr>
          <w:p w14:paraId="4B454ADF" w14:textId="44A335CC" w:rsidR="00D51CE2" w:rsidRPr="008A4CE9" w:rsidRDefault="00D51CE2" w:rsidP="00D51CE2">
            <w:pPr>
              <w:rPr>
                <w:sz w:val="18"/>
                <w:szCs w:val="18"/>
                <w:lang w:val="en-GB"/>
              </w:rPr>
            </w:pPr>
            <w:r w:rsidRPr="008A4CE9">
              <w:rPr>
                <w:sz w:val="18"/>
                <w:szCs w:val="18"/>
                <w:lang w:val="en-GB"/>
              </w:rPr>
              <w:t>Organisational culture, regarding difficulties with leadership, accountability, relationship complexity, information flow, lack of champions, ethics, data-related issues, uncertainties, privacy and confidentiality</w:t>
            </w:r>
          </w:p>
        </w:tc>
      </w:tr>
      <w:tr w:rsidR="00D51CE2" w:rsidRPr="008A4CE9" w14:paraId="4FC3221A" w14:textId="77777777" w:rsidTr="00D51CE2">
        <w:tc>
          <w:tcPr>
            <w:tcW w:w="1155" w:type="dxa"/>
            <w:tcBorders>
              <w:top w:val="single" w:sz="4" w:space="0" w:color="auto"/>
              <w:bottom w:val="single" w:sz="4" w:space="0" w:color="auto"/>
              <w:right w:val="nil"/>
            </w:tcBorders>
          </w:tcPr>
          <w:p w14:paraId="63B5D1AF" w14:textId="2C2A911B" w:rsidR="00D51CE2" w:rsidRPr="008A4CE9" w:rsidRDefault="00D51CE2" w:rsidP="00D51CE2">
            <w:pPr>
              <w:rPr>
                <w:sz w:val="18"/>
                <w:szCs w:val="18"/>
                <w:lang w:val="en-GB"/>
              </w:rPr>
            </w:pPr>
            <w:r w:rsidRPr="008A4CE9">
              <w:rPr>
                <w:sz w:val="18"/>
                <w:szCs w:val="18"/>
                <w:lang w:val="en-GB"/>
              </w:rPr>
              <w:t>Healthcare system</w:t>
            </w:r>
          </w:p>
        </w:tc>
        <w:tc>
          <w:tcPr>
            <w:tcW w:w="7861" w:type="dxa"/>
            <w:gridSpan w:val="2"/>
            <w:tcBorders>
              <w:top w:val="single" w:sz="4" w:space="0" w:color="auto"/>
              <w:left w:val="nil"/>
              <w:bottom w:val="single" w:sz="4" w:space="0" w:color="auto"/>
            </w:tcBorders>
          </w:tcPr>
          <w:p w14:paraId="4361173A" w14:textId="77777777" w:rsidR="00D51CE2" w:rsidRPr="008A4CE9" w:rsidRDefault="00D51CE2" w:rsidP="00D142EE">
            <w:pPr>
              <w:rPr>
                <w:sz w:val="18"/>
                <w:szCs w:val="18"/>
                <w:lang w:val="en-GB"/>
              </w:rPr>
            </w:pPr>
            <w:r w:rsidRPr="008A4CE9">
              <w:rPr>
                <w:sz w:val="18"/>
                <w:szCs w:val="18"/>
                <w:lang w:val="en-GB"/>
              </w:rPr>
              <w:t>Legal issues</w:t>
            </w:r>
          </w:p>
          <w:p w14:paraId="392EB42E" w14:textId="653E9016" w:rsidR="00D51CE2" w:rsidRPr="008A4CE9" w:rsidRDefault="00D51CE2" w:rsidP="00D51CE2">
            <w:pPr>
              <w:rPr>
                <w:sz w:val="18"/>
                <w:szCs w:val="18"/>
                <w:lang w:val="en-GB"/>
              </w:rPr>
            </w:pPr>
            <w:r w:rsidRPr="008A4CE9">
              <w:rPr>
                <w:sz w:val="18"/>
                <w:szCs w:val="18"/>
                <w:lang w:val="en-GB"/>
              </w:rPr>
              <w:t>PC issues</w:t>
            </w:r>
          </w:p>
        </w:tc>
      </w:tr>
    </w:tbl>
    <w:p w14:paraId="2F85F0B7" w14:textId="77777777" w:rsidR="00831393" w:rsidRPr="00974E52" w:rsidRDefault="00831393">
      <w:pPr>
        <w:rPr>
          <w:lang w:val="en-GB"/>
        </w:rPr>
      </w:pPr>
    </w:p>
    <w:sectPr w:rsidR="00831393" w:rsidRPr="00974E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D01"/>
    <w:rsid w:val="000546D1"/>
    <w:rsid w:val="0006589A"/>
    <w:rsid w:val="00136EB6"/>
    <w:rsid w:val="001A1CD3"/>
    <w:rsid w:val="001A6DD3"/>
    <w:rsid w:val="00213962"/>
    <w:rsid w:val="002217B4"/>
    <w:rsid w:val="0022419E"/>
    <w:rsid w:val="002269B2"/>
    <w:rsid w:val="00226C43"/>
    <w:rsid w:val="0027629B"/>
    <w:rsid w:val="002A4414"/>
    <w:rsid w:val="002D10B0"/>
    <w:rsid w:val="0032687F"/>
    <w:rsid w:val="00337A71"/>
    <w:rsid w:val="00342A52"/>
    <w:rsid w:val="00393075"/>
    <w:rsid w:val="003E4399"/>
    <w:rsid w:val="00454F86"/>
    <w:rsid w:val="00466D19"/>
    <w:rsid w:val="005319D9"/>
    <w:rsid w:val="00551D9F"/>
    <w:rsid w:val="005B3951"/>
    <w:rsid w:val="00730286"/>
    <w:rsid w:val="00751C78"/>
    <w:rsid w:val="00756804"/>
    <w:rsid w:val="008007DB"/>
    <w:rsid w:val="00805FB0"/>
    <w:rsid w:val="00820ECB"/>
    <w:rsid w:val="00831393"/>
    <w:rsid w:val="008A4CE9"/>
    <w:rsid w:val="008B1C7F"/>
    <w:rsid w:val="008E1B0D"/>
    <w:rsid w:val="008F7E76"/>
    <w:rsid w:val="00910D01"/>
    <w:rsid w:val="00962187"/>
    <w:rsid w:val="00974E52"/>
    <w:rsid w:val="009806A1"/>
    <w:rsid w:val="0098624B"/>
    <w:rsid w:val="00A12407"/>
    <w:rsid w:val="00A850DF"/>
    <w:rsid w:val="00C16EC2"/>
    <w:rsid w:val="00C73159"/>
    <w:rsid w:val="00D142EE"/>
    <w:rsid w:val="00D51CE2"/>
    <w:rsid w:val="00DD6992"/>
    <w:rsid w:val="00DE7ED9"/>
    <w:rsid w:val="00DF66AC"/>
    <w:rsid w:val="00E37751"/>
    <w:rsid w:val="00E44B20"/>
    <w:rsid w:val="00EB444D"/>
    <w:rsid w:val="00F25402"/>
    <w:rsid w:val="00F768B8"/>
    <w:rsid w:val="00F84278"/>
    <w:rsid w:val="00FB12E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34577"/>
  <w15:chartTrackingRefBased/>
  <w15:docId w15:val="{831150C4-03F2-4EFC-916D-DB903F536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0D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0D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0D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0D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0D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0D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0D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0D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0D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D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0D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0D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0D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0D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0D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0D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0D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0D01"/>
    <w:rPr>
      <w:rFonts w:eastAsiaTheme="majorEastAsia" w:cstheme="majorBidi"/>
      <w:color w:val="272727" w:themeColor="text1" w:themeTint="D8"/>
    </w:rPr>
  </w:style>
  <w:style w:type="paragraph" w:styleId="Title">
    <w:name w:val="Title"/>
    <w:basedOn w:val="Normal"/>
    <w:next w:val="Normal"/>
    <w:link w:val="TitleChar"/>
    <w:uiPriority w:val="10"/>
    <w:qFormat/>
    <w:rsid w:val="00910D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0D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0D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0D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0D01"/>
    <w:pPr>
      <w:spacing w:before="160"/>
      <w:jc w:val="center"/>
    </w:pPr>
    <w:rPr>
      <w:i/>
      <w:iCs/>
      <w:color w:val="404040" w:themeColor="text1" w:themeTint="BF"/>
    </w:rPr>
  </w:style>
  <w:style w:type="character" w:customStyle="1" w:styleId="QuoteChar">
    <w:name w:val="Quote Char"/>
    <w:basedOn w:val="DefaultParagraphFont"/>
    <w:link w:val="Quote"/>
    <w:uiPriority w:val="29"/>
    <w:rsid w:val="00910D01"/>
    <w:rPr>
      <w:i/>
      <w:iCs/>
      <w:color w:val="404040" w:themeColor="text1" w:themeTint="BF"/>
    </w:rPr>
  </w:style>
  <w:style w:type="paragraph" w:styleId="ListParagraph">
    <w:name w:val="List Paragraph"/>
    <w:basedOn w:val="Normal"/>
    <w:uiPriority w:val="34"/>
    <w:qFormat/>
    <w:rsid w:val="00910D01"/>
    <w:pPr>
      <w:ind w:left="720"/>
      <w:contextualSpacing/>
    </w:pPr>
  </w:style>
  <w:style w:type="character" w:styleId="IntenseEmphasis">
    <w:name w:val="Intense Emphasis"/>
    <w:basedOn w:val="DefaultParagraphFont"/>
    <w:uiPriority w:val="21"/>
    <w:qFormat/>
    <w:rsid w:val="00910D01"/>
    <w:rPr>
      <w:i/>
      <w:iCs/>
      <w:color w:val="0F4761" w:themeColor="accent1" w:themeShade="BF"/>
    </w:rPr>
  </w:style>
  <w:style w:type="paragraph" w:styleId="IntenseQuote">
    <w:name w:val="Intense Quote"/>
    <w:basedOn w:val="Normal"/>
    <w:next w:val="Normal"/>
    <w:link w:val="IntenseQuoteChar"/>
    <w:uiPriority w:val="30"/>
    <w:qFormat/>
    <w:rsid w:val="00910D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0D01"/>
    <w:rPr>
      <w:i/>
      <w:iCs/>
      <w:color w:val="0F4761" w:themeColor="accent1" w:themeShade="BF"/>
    </w:rPr>
  </w:style>
  <w:style w:type="character" w:styleId="IntenseReference">
    <w:name w:val="Intense Reference"/>
    <w:basedOn w:val="DefaultParagraphFont"/>
    <w:uiPriority w:val="32"/>
    <w:qFormat/>
    <w:rsid w:val="00910D01"/>
    <w:rPr>
      <w:b/>
      <w:bCs/>
      <w:smallCaps/>
      <w:color w:val="0F4761" w:themeColor="accent1" w:themeShade="BF"/>
      <w:spacing w:val="5"/>
    </w:rPr>
  </w:style>
  <w:style w:type="table" w:styleId="TableGrid">
    <w:name w:val="Table Grid"/>
    <w:basedOn w:val="TableNormal"/>
    <w:uiPriority w:val="39"/>
    <w:rsid w:val="00910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Pages>
  <Words>474</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Bárbara Antunes</dc:creator>
  <cp:keywords/>
  <dc:description/>
  <cp:lastModifiedBy>Bárbara Antunes</cp:lastModifiedBy>
  <cp:revision>16</cp:revision>
  <dcterms:created xsi:type="dcterms:W3CDTF">2025-06-07T17:51:00Z</dcterms:created>
  <dcterms:modified xsi:type="dcterms:W3CDTF">2025-06-28T11:29:00Z</dcterms:modified>
</cp:coreProperties>
</file>