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4767" w14:textId="2853C40C" w:rsidR="002269B2" w:rsidRPr="00DF66AC" w:rsidRDefault="00342A52">
      <w:pPr>
        <w:rPr>
          <w:lang w:val="en-GB"/>
        </w:rPr>
      </w:pPr>
      <w:r w:rsidRPr="00DF66AC">
        <w:rPr>
          <w:lang w:val="en-GB"/>
        </w:rPr>
        <w:t>Appendix 2</w:t>
      </w:r>
      <w:r w:rsidR="002269B2" w:rsidRPr="00DF66AC">
        <w:rPr>
          <w:lang w:val="en-GB"/>
        </w:rPr>
        <w:t xml:space="preserve"> Categories and sub-categories of facilitators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1"/>
        <w:gridCol w:w="3349"/>
        <w:gridCol w:w="4416"/>
      </w:tblGrid>
      <w:tr w:rsidR="002269B2" w:rsidRPr="00CB1E6A" w14:paraId="2165FA33" w14:textId="77777777" w:rsidTr="00805FB0">
        <w:tc>
          <w:tcPr>
            <w:tcW w:w="1136" w:type="dxa"/>
            <w:tcBorders>
              <w:bottom w:val="single" w:sz="4" w:space="0" w:color="auto"/>
            </w:tcBorders>
          </w:tcPr>
          <w:p w14:paraId="6D08EF17" w14:textId="0A9AA872" w:rsidR="002269B2" w:rsidRPr="00CB1E6A" w:rsidRDefault="002269B2">
            <w:pPr>
              <w:rPr>
                <w:sz w:val="18"/>
                <w:szCs w:val="18"/>
              </w:rPr>
            </w:pPr>
            <w:r w:rsidRPr="00CB1E6A">
              <w:rPr>
                <w:sz w:val="18"/>
                <w:szCs w:val="18"/>
              </w:rPr>
              <w:t>CATEGORIES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0AC92C16" w14:textId="3FB6D53C" w:rsidR="002269B2" w:rsidRPr="00CB1E6A" w:rsidRDefault="002269B2">
            <w:pPr>
              <w:rPr>
                <w:sz w:val="18"/>
                <w:szCs w:val="18"/>
              </w:rPr>
            </w:pPr>
            <w:r w:rsidRPr="00CB1E6A">
              <w:rPr>
                <w:sz w:val="18"/>
                <w:szCs w:val="18"/>
              </w:rPr>
              <w:t>SUB-CATEGORIES</w:t>
            </w:r>
          </w:p>
        </w:tc>
        <w:tc>
          <w:tcPr>
            <w:tcW w:w="4485" w:type="dxa"/>
          </w:tcPr>
          <w:p w14:paraId="62ACFCAA" w14:textId="3E2FD2F7" w:rsidR="002269B2" w:rsidRPr="00CB1E6A" w:rsidRDefault="002269B2">
            <w:pPr>
              <w:rPr>
                <w:sz w:val="18"/>
                <w:szCs w:val="18"/>
              </w:rPr>
            </w:pPr>
            <w:r w:rsidRPr="00CB1E6A">
              <w:rPr>
                <w:sz w:val="18"/>
                <w:szCs w:val="18"/>
              </w:rPr>
              <w:t>Q</w:t>
            </w:r>
            <w:r w:rsidR="008E1B0D" w:rsidRPr="00CB1E6A">
              <w:rPr>
                <w:sz w:val="18"/>
                <w:szCs w:val="18"/>
              </w:rPr>
              <w:t>U</w:t>
            </w:r>
            <w:r w:rsidRPr="00CB1E6A">
              <w:rPr>
                <w:sz w:val="18"/>
                <w:szCs w:val="18"/>
              </w:rPr>
              <w:t>OTES</w:t>
            </w:r>
          </w:p>
        </w:tc>
      </w:tr>
      <w:tr w:rsidR="00910D01" w:rsidRPr="00CB1E6A" w14:paraId="0C25F00E" w14:textId="77777777" w:rsidTr="00805FB0">
        <w:tc>
          <w:tcPr>
            <w:tcW w:w="1136" w:type="dxa"/>
            <w:tcBorders>
              <w:bottom w:val="nil"/>
              <w:right w:val="nil"/>
            </w:tcBorders>
          </w:tcPr>
          <w:p w14:paraId="23039673" w14:textId="26D53BF0" w:rsidR="00910D01" w:rsidRPr="00CB1E6A" w:rsidRDefault="00910D01">
            <w:pPr>
              <w:rPr>
                <w:sz w:val="18"/>
                <w:szCs w:val="18"/>
              </w:rPr>
            </w:pPr>
            <w:proofErr w:type="spellStart"/>
            <w:r w:rsidRPr="00CB1E6A">
              <w:rPr>
                <w:sz w:val="18"/>
                <w:szCs w:val="18"/>
              </w:rPr>
              <w:t>Planning</w:t>
            </w:r>
            <w:proofErr w:type="spellEnd"/>
            <w:r w:rsidRPr="00CB1E6A">
              <w:rPr>
                <w:sz w:val="18"/>
                <w:szCs w:val="18"/>
              </w:rPr>
              <w:t xml:space="preserve">, </w:t>
            </w:r>
            <w:proofErr w:type="spellStart"/>
            <w:r w:rsidRPr="00CB1E6A">
              <w:rPr>
                <w:sz w:val="18"/>
                <w:szCs w:val="18"/>
              </w:rPr>
              <w:t>process</w:t>
            </w:r>
            <w:proofErr w:type="spellEnd"/>
            <w:r w:rsidRPr="00CB1E6A">
              <w:rPr>
                <w:sz w:val="18"/>
                <w:szCs w:val="18"/>
              </w:rPr>
              <w:t xml:space="preserve"> </w:t>
            </w:r>
            <w:proofErr w:type="spellStart"/>
            <w:r w:rsidRPr="00CB1E6A">
              <w:rPr>
                <w:sz w:val="18"/>
                <w:szCs w:val="18"/>
              </w:rPr>
              <w:t>and</w:t>
            </w:r>
            <w:proofErr w:type="spellEnd"/>
            <w:r w:rsidRPr="00CB1E6A">
              <w:rPr>
                <w:sz w:val="18"/>
                <w:szCs w:val="18"/>
              </w:rPr>
              <w:t xml:space="preserve"> </w:t>
            </w:r>
            <w:proofErr w:type="spellStart"/>
            <w:r w:rsidRPr="00CB1E6A">
              <w:rPr>
                <w:sz w:val="18"/>
                <w:szCs w:val="18"/>
              </w:rPr>
              <w:t>logistics</w:t>
            </w:r>
            <w:proofErr w:type="spellEnd"/>
          </w:p>
        </w:tc>
        <w:tc>
          <w:tcPr>
            <w:tcW w:w="3395" w:type="dxa"/>
            <w:tcBorders>
              <w:left w:val="nil"/>
              <w:bottom w:val="nil"/>
            </w:tcBorders>
          </w:tcPr>
          <w:p w14:paraId="5BAF8F6B" w14:textId="77777777" w:rsidR="00910D01" w:rsidRPr="00CB1E6A" w:rsidRDefault="00910D01">
            <w:pPr>
              <w:rPr>
                <w:sz w:val="18"/>
                <w:szCs w:val="18"/>
              </w:rPr>
            </w:pPr>
          </w:p>
        </w:tc>
        <w:tc>
          <w:tcPr>
            <w:tcW w:w="4485" w:type="dxa"/>
          </w:tcPr>
          <w:p w14:paraId="791DED4F" w14:textId="6C66DCD9" w:rsidR="00910D01" w:rsidRPr="00CB1E6A" w:rsidRDefault="00805FB0" w:rsidP="00805FB0">
            <w:pPr>
              <w:rPr>
                <w:sz w:val="18"/>
                <w:szCs w:val="18"/>
                <w:highlight w:val="yellow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“Pre-implementation planning to create an implementation strategy tailored to meet needs of individual services.”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61</w:t>
            </w:r>
          </w:p>
        </w:tc>
      </w:tr>
      <w:tr w:rsidR="00910D01" w:rsidRPr="00CB1E6A" w14:paraId="77C11A3A" w14:textId="77777777" w:rsidTr="00805FB0">
        <w:tc>
          <w:tcPr>
            <w:tcW w:w="1136" w:type="dxa"/>
            <w:tcBorders>
              <w:top w:val="nil"/>
              <w:bottom w:val="nil"/>
              <w:right w:val="nil"/>
            </w:tcBorders>
          </w:tcPr>
          <w:p w14:paraId="26770268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</w:tcPr>
          <w:p w14:paraId="3EA427E6" w14:textId="1CB0291A" w:rsidR="00910D01" w:rsidRPr="00CB1E6A" w:rsidRDefault="00910D01">
            <w:pPr>
              <w:rPr>
                <w:sz w:val="18"/>
                <w:szCs w:val="18"/>
              </w:rPr>
            </w:pPr>
            <w:proofErr w:type="spellStart"/>
            <w:r w:rsidRPr="00CB1E6A">
              <w:rPr>
                <w:sz w:val="18"/>
                <w:szCs w:val="18"/>
              </w:rPr>
              <w:t>Healthcare</w:t>
            </w:r>
            <w:proofErr w:type="spellEnd"/>
            <w:r w:rsidRPr="00CB1E6A">
              <w:rPr>
                <w:sz w:val="18"/>
                <w:szCs w:val="18"/>
              </w:rPr>
              <w:t xml:space="preserve"> </w:t>
            </w:r>
            <w:proofErr w:type="spellStart"/>
            <w:r w:rsidRPr="00CB1E6A">
              <w:rPr>
                <w:sz w:val="18"/>
                <w:szCs w:val="18"/>
              </w:rPr>
              <w:t>systems</w:t>
            </w:r>
            <w:proofErr w:type="spellEnd"/>
            <w:r w:rsidRPr="00CB1E6A">
              <w:rPr>
                <w:sz w:val="18"/>
                <w:szCs w:val="18"/>
              </w:rPr>
              <w:t xml:space="preserve"> </w:t>
            </w:r>
            <w:proofErr w:type="spellStart"/>
            <w:r w:rsidRPr="00CB1E6A">
              <w:rPr>
                <w:sz w:val="18"/>
                <w:szCs w:val="18"/>
              </w:rPr>
              <w:t>and</w:t>
            </w:r>
            <w:proofErr w:type="spellEnd"/>
            <w:r w:rsidRPr="00CB1E6A">
              <w:rPr>
                <w:sz w:val="18"/>
                <w:szCs w:val="18"/>
              </w:rPr>
              <w:t xml:space="preserve"> </w:t>
            </w:r>
            <w:proofErr w:type="spellStart"/>
            <w:r w:rsidRPr="00CB1E6A">
              <w:rPr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4485" w:type="dxa"/>
          </w:tcPr>
          <w:p w14:paraId="3A9B6D69" w14:textId="6A429D85" w:rsidR="00910D01" w:rsidRPr="00CB1E6A" w:rsidRDefault="00805FB0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</w:t>
            </w:r>
            <w:bookmarkStart w:id="0" w:name="_Hlk167983726"/>
            <w:r w:rsidRPr="00CB1E6A">
              <w:rPr>
                <w:sz w:val="18"/>
                <w:szCs w:val="18"/>
                <w:lang w:val="en-GB"/>
              </w:rPr>
              <w:t>Consistency of the implementation components with proposed recommendations from national guidelines.”</w:t>
            </w:r>
            <w:bookmarkEnd w:id="0"/>
            <w:r w:rsidR="0064381D" w:rsidRPr="00CB1E6A">
              <w:rPr>
                <w:sz w:val="18"/>
                <w:szCs w:val="18"/>
                <w:vertAlign w:val="superscript"/>
                <w:lang w:val="en-GB"/>
              </w:rPr>
              <w:t>2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6</w:t>
            </w:r>
          </w:p>
        </w:tc>
      </w:tr>
      <w:tr w:rsidR="00910D01" w:rsidRPr="00CB1E6A" w14:paraId="5EB06F1C" w14:textId="77777777" w:rsidTr="00805FB0">
        <w:tc>
          <w:tcPr>
            <w:tcW w:w="1136" w:type="dxa"/>
            <w:tcBorders>
              <w:top w:val="nil"/>
              <w:bottom w:val="nil"/>
              <w:right w:val="nil"/>
            </w:tcBorders>
          </w:tcPr>
          <w:p w14:paraId="46180F0B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</w:tcPr>
          <w:p w14:paraId="2405E919" w14:textId="2C29E0C7" w:rsidR="00910D01" w:rsidRPr="00CB1E6A" w:rsidRDefault="00910D01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 xml:space="preserve">Training, </w:t>
            </w:r>
            <w:bookmarkStart w:id="1" w:name="_Hlk167982931"/>
            <w:r w:rsidRPr="00CB1E6A">
              <w:rPr>
                <w:sz w:val="18"/>
                <w:szCs w:val="18"/>
                <w:lang w:val="en-GB"/>
              </w:rPr>
              <w:t>knowledge, perception, and acceptance</w:t>
            </w:r>
            <w:bookmarkEnd w:id="1"/>
          </w:p>
        </w:tc>
        <w:tc>
          <w:tcPr>
            <w:tcW w:w="4485" w:type="dxa"/>
          </w:tcPr>
          <w:p w14:paraId="11CC1E3B" w14:textId="14BC07DE" w:rsidR="00910D01" w:rsidRPr="00CB1E6A" w:rsidRDefault="00805FB0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 xml:space="preserve">“There is a significant need for supporting and educating clinicians to enhance their competence in introducing the use of QOL assessment instruments to patients and family caregivers reviewing QOL assessment data with </w:t>
            </w:r>
            <w:proofErr w:type="gramStart"/>
            <w:r w:rsidRPr="00CB1E6A">
              <w:rPr>
                <w:sz w:val="18"/>
                <w:szCs w:val="18"/>
                <w:lang w:val="en-GB"/>
              </w:rPr>
              <w:t>them, and</w:t>
            </w:r>
            <w:proofErr w:type="gramEnd"/>
            <w:r w:rsidRPr="00CB1E6A">
              <w:rPr>
                <w:sz w:val="18"/>
                <w:szCs w:val="18"/>
                <w:lang w:val="en-GB"/>
              </w:rPr>
              <w:t xml:space="preserve"> using QOL assessment data to inform person-</w:t>
            </w:r>
            <w:proofErr w:type="spellStart"/>
            <w:r w:rsidRPr="00CB1E6A">
              <w:rPr>
                <w:sz w:val="18"/>
                <w:szCs w:val="18"/>
                <w:lang w:val="en-GB"/>
              </w:rPr>
              <w:t>centered</w:t>
            </w:r>
            <w:proofErr w:type="spellEnd"/>
            <w:r w:rsidRPr="00CB1E6A">
              <w:rPr>
                <w:sz w:val="18"/>
                <w:szCs w:val="18"/>
                <w:lang w:val="en-GB"/>
              </w:rPr>
              <w:t xml:space="preserve"> care planning and shared decision making.”</w:t>
            </w:r>
            <w:r w:rsidR="003E4399" w:rsidRPr="00CB1E6A">
              <w:rPr>
                <w:sz w:val="18"/>
                <w:szCs w:val="18"/>
                <w:vertAlign w:val="superscript"/>
                <w:lang w:val="en-GB"/>
              </w:rPr>
              <w:t>11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5</w:t>
            </w:r>
          </w:p>
        </w:tc>
      </w:tr>
      <w:tr w:rsidR="00910D01" w:rsidRPr="00CB1E6A" w14:paraId="365A0B11" w14:textId="77777777" w:rsidTr="00805FB0">
        <w:tc>
          <w:tcPr>
            <w:tcW w:w="1136" w:type="dxa"/>
            <w:tcBorders>
              <w:top w:val="nil"/>
              <w:bottom w:val="nil"/>
              <w:right w:val="nil"/>
            </w:tcBorders>
          </w:tcPr>
          <w:p w14:paraId="31A36F6C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</w:tcPr>
          <w:p w14:paraId="65F64B70" w14:textId="6B06C2AD" w:rsidR="00910D01" w:rsidRPr="00CB1E6A" w:rsidRDefault="00910D01">
            <w:pPr>
              <w:rPr>
                <w:sz w:val="18"/>
                <w:szCs w:val="18"/>
              </w:rPr>
            </w:pPr>
            <w:proofErr w:type="spellStart"/>
            <w:r w:rsidRPr="00CB1E6A">
              <w:rPr>
                <w:sz w:val="18"/>
                <w:szCs w:val="18"/>
              </w:rPr>
              <w:t>Organisational</w:t>
            </w:r>
            <w:proofErr w:type="spellEnd"/>
            <w:r w:rsidRPr="00CB1E6A">
              <w:rPr>
                <w:sz w:val="18"/>
                <w:szCs w:val="18"/>
              </w:rPr>
              <w:t xml:space="preserve"> </w:t>
            </w:r>
            <w:proofErr w:type="spellStart"/>
            <w:r w:rsidRPr="00CB1E6A">
              <w:rPr>
                <w:sz w:val="18"/>
                <w:szCs w:val="18"/>
              </w:rPr>
              <w:t>culture</w:t>
            </w:r>
            <w:proofErr w:type="spellEnd"/>
            <w:r w:rsidRPr="00CB1E6A">
              <w:rPr>
                <w:sz w:val="18"/>
                <w:szCs w:val="18"/>
              </w:rPr>
              <w:t xml:space="preserve"> </w:t>
            </w:r>
            <w:proofErr w:type="spellStart"/>
            <w:r w:rsidRPr="00CB1E6A">
              <w:rPr>
                <w:sz w:val="18"/>
                <w:szCs w:val="18"/>
              </w:rPr>
              <w:t>and</w:t>
            </w:r>
            <w:proofErr w:type="spellEnd"/>
            <w:r w:rsidRPr="00CB1E6A">
              <w:rPr>
                <w:sz w:val="18"/>
                <w:szCs w:val="18"/>
              </w:rPr>
              <w:t xml:space="preserve"> </w:t>
            </w:r>
            <w:proofErr w:type="spellStart"/>
            <w:r w:rsidRPr="00CB1E6A">
              <w:rPr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4485" w:type="dxa"/>
          </w:tcPr>
          <w:p w14:paraId="34B8F349" w14:textId="52AAF60B" w:rsidR="00910D01" w:rsidRPr="00CB1E6A" w:rsidRDefault="00751C78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“Team discussions about the value of measurement may aid implementation and the facilitation of an organisational culture that is committed to measurement.”</w:t>
            </w:r>
            <w:r w:rsidR="003E4399" w:rsidRPr="00CB1E6A">
              <w:rPr>
                <w:sz w:val="18"/>
                <w:szCs w:val="18"/>
                <w:vertAlign w:val="superscript"/>
                <w:lang w:val="en-GB"/>
              </w:rPr>
              <w:t>2</w:t>
            </w:r>
          </w:p>
        </w:tc>
      </w:tr>
      <w:tr w:rsidR="00910D01" w:rsidRPr="00CB1E6A" w14:paraId="0991D3D1" w14:textId="77777777" w:rsidTr="00805FB0">
        <w:tc>
          <w:tcPr>
            <w:tcW w:w="1136" w:type="dxa"/>
            <w:tcBorders>
              <w:top w:val="nil"/>
              <w:bottom w:val="nil"/>
              <w:right w:val="nil"/>
            </w:tcBorders>
          </w:tcPr>
          <w:p w14:paraId="376752F5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</w:tcPr>
          <w:p w14:paraId="716A8C69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Team and champions</w:t>
            </w:r>
          </w:p>
          <w:p w14:paraId="28080F3C" w14:textId="77777777" w:rsidR="00751C78" w:rsidRPr="00CB1E6A" w:rsidRDefault="00910D01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 xml:space="preserve">                    </w:t>
            </w:r>
          </w:p>
          <w:p w14:paraId="42064528" w14:textId="77777777" w:rsidR="00751C78" w:rsidRPr="00CB1E6A" w:rsidRDefault="00751C78">
            <w:pPr>
              <w:rPr>
                <w:sz w:val="18"/>
                <w:szCs w:val="18"/>
                <w:lang w:val="en-GB"/>
              </w:rPr>
            </w:pPr>
          </w:p>
          <w:p w14:paraId="79376F4A" w14:textId="77777777" w:rsidR="00751C78" w:rsidRPr="00CB1E6A" w:rsidRDefault="00751C78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 xml:space="preserve"> </w:t>
            </w:r>
            <w:r w:rsidR="00910D01" w:rsidRPr="00CB1E6A">
              <w:rPr>
                <w:sz w:val="18"/>
                <w:szCs w:val="18"/>
                <w:lang w:val="en-GB"/>
              </w:rPr>
              <w:t xml:space="preserve"> </w:t>
            </w:r>
            <w:r w:rsidRPr="00CB1E6A">
              <w:rPr>
                <w:sz w:val="18"/>
                <w:szCs w:val="18"/>
                <w:lang w:val="en-GB"/>
              </w:rPr>
              <w:t xml:space="preserve">                   </w:t>
            </w:r>
          </w:p>
          <w:p w14:paraId="5EFD8359" w14:textId="45DEDA2A" w:rsidR="00910D01" w:rsidRPr="00CB1E6A" w:rsidRDefault="00751C78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 xml:space="preserve">                     </w:t>
            </w:r>
            <w:r w:rsidR="00910D01" w:rsidRPr="00CB1E6A">
              <w:rPr>
                <w:sz w:val="18"/>
                <w:szCs w:val="18"/>
                <w:lang w:val="en-GB"/>
              </w:rPr>
              <w:t>Accountability</w:t>
            </w:r>
          </w:p>
          <w:p w14:paraId="0F16749A" w14:textId="77777777" w:rsidR="00751C78" w:rsidRPr="00CB1E6A" w:rsidRDefault="00910D01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 xml:space="preserve">                  </w:t>
            </w:r>
          </w:p>
          <w:p w14:paraId="6F9D98EF" w14:textId="77777777" w:rsidR="00751C78" w:rsidRPr="00CB1E6A" w:rsidRDefault="00751C78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 xml:space="preserve">                 </w:t>
            </w:r>
            <w:r w:rsidR="00910D01" w:rsidRPr="00CB1E6A">
              <w:rPr>
                <w:sz w:val="18"/>
                <w:szCs w:val="18"/>
                <w:lang w:val="en-GB"/>
              </w:rPr>
              <w:t xml:space="preserve">  </w:t>
            </w:r>
          </w:p>
          <w:p w14:paraId="11E65B4C" w14:textId="0CE7F8CD" w:rsidR="00910D01" w:rsidRPr="00CB1E6A" w:rsidRDefault="00751C78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 xml:space="preserve">                    </w:t>
            </w:r>
            <w:r w:rsidR="00910D01" w:rsidRPr="00CB1E6A">
              <w:rPr>
                <w:sz w:val="18"/>
                <w:szCs w:val="18"/>
                <w:lang w:val="en-GB"/>
              </w:rPr>
              <w:t xml:space="preserve"> Leadership</w:t>
            </w:r>
          </w:p>
        </w:tc>
        <w:tc>
          <w:tcPr>
            <w:tcW w:w="4485" w:type="dxa"/>
          </w:tcPr>
          <w:p w14:paraId="7ABEB274" w14:textId="20E542D7" w:rsidR="00910D01" w:rsidRPr="00CB1E6A" w:rsidRDefault="00751C78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“Formally appointed implementation leaders (champions, coordinator); use of internal and external facilitators with formal assignments.”</w:t>
            </w:r>
            <w:r w:rsidR="0064381D" w:rsidRPr="00CB1E6A">
              <w:rPr>
                <w:sz w:val="18"/>
                <w:szCs w:val="18"/>
                <w:vertAlign w:val="superscript"/>
                <w:lang w:val="en-GB"/>
              </w:rPr>
              <w:t>4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5</w:t>
            </w:r>
          </w:p>
          <w:p w14:paraId="6F2999D5" w14:textId="77777777" w:rsidR="00751C78" w:rsidRPr="00CB1E6A" w:rsidRDefault="00751C78">
            <w:pPr>
              <w:rPr>
                <w:sz w:val="18"/>
                <w:szCs w:val="18"/>
                <w:highlight w:val="yellow"/>
                <w:lang w:val="en-GB"/>
              </w:rPr>
            </w:pPr>
          </w:p>
          <w:p w14:paraId="76B833F1" w14:textId="7BDD1698" w:rsidR="00751C78" w:rsidRPr="00CB1E6A" w:rsidRDefault="00751C78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“Involving staff in implementation and facilitating individual responsibility, ownership and motivations to use PCOMs.”</w:t>
            </w:r>
            <w:r w:rsidR="0064381D" w:rsidRPr="00CB1E6A">
              <w:rPr>
                <w:sz w:val="18"/>
                <w:szCs w:val="18"/>
                <w:vertAlign w:val="superscript"/>
                <w:lang w:val="en-GB"/>
              </w:rPr>
              <w:t>12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2</w:t>
            </w:r>
          </w:p>
          <w:p w14:paraId="04E470E7" w14:textId="77777777" w:rsidR="00751C78" w:rsidRPr="00CB1E6A" w:rsidRDefault="00751C78">
            <w:pPr>
              <w:rPr>
                <w:sz w:val="18"/>
                <w:szCs w:val="18"/>
                <w:highlight w:val="yellow"/>
                <w:lang w:val="en-GB"/>
              </w:rPr>
            </w:pPr>
          </w:p>
          <w:p w14:paraId="4D49215D" w14:textId="3B340631" w:rsidR="00751C78" w:rsidRPr="00CB1E6A" w:rsidRDefault="00751C78" w:rsidP="003E4399">
            <w:pPr>
              <w:rPr>
                <w:sz w:val="18"/>
                <w:szCs w:val="18"/>
                <w:highlight w:val="yellow"/>
                <w:lang w:val="en-GB"/>
              </w:rPr>
            </w:pPr>
            <w:bookmarkStart w:id="2" w:name="_Hlk167983777"/>
            <w:r w:rsidRPr="00CB1E6A">
              <w:rPr>
                <w:sz w:val="18"/>
                <w:szCs w:val="18"/>
                <w:lang w:val="en-GB"/>
              </w:rPr>
              <w:t>“</w:t>
            </w:r>
            <w:proofErr w:type="gramStart"/>
            <w:r w:rsidRPr="00CB1E6A">
              <w:rPr>
                <w:sz w:val="18"/>
                <w:szCs w:val="18"/>
                <w:lang w:val="en-GB"/>
              </w:rPr>
              <w:t>senior</w:t>
            </w:r>
            <w:proofErr w:type="gramEnd"/>
            <w:r w:rsidRPr="00CB1E6A">
              <w:rPr>
                <w:sz w:val="18"/>
                <w:szCs w:val="18"/>
                <w:lang w:val="en-GB"/>
              </w:rPr>
              <w:t xml:space="preserve"> staff and managers, actively participating in the implementation and use of PCOMs.”</w:t>
            </w:r>
            <w:r w:rsidR="00DF66AC" w:rsidRPr="00CB1E6A">
              <w:rPr>
                <w:sz w:val="18"/>
                <w:szCs w:val="18"/>
                <w:vertAlign w:val="superscript"/>
                <w:lang w:val="en-GB"/>
              </w:rPr>
              <w:t>13</w:t>
            </w:r>
            <w:bookmarkEnd w:id="2"/>
          </w:p>
        </w:tc>
      </w:tr>
      <w:tr w:rsidR="00910D01" w:rsidRPr="00CB1E6A" w14:paraId="49D5E844" w14:textId="77777777" w:rsidTr="00805FB0">
        <w:tc>
          <w:tcPr>
            <w:tcW w:w="1136" w:type="dxa"/>
            <w:tcBorders>
              <w:top w:val="nil"/>
              <w:bottom w:val="nil"/>
              <w:right w:val="nil"/>
            </w:tcBorders>
          </w:tcPr>
          <w:p w14:paraId="3A77A309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</w:tcPr>
          <w:p w14:paraId="1AB66D42" w14:textId="45025726" w:rsidR="00910D01" w:rsidRPr="00CB1E6A" w:rsidRDefault="00910D01">
            <w:pPr>
              <w:rPr>
                <w:sz w:val="18"/>
                <w:szCs w:val="18"/>
              </w:rPr>
            </w:pPr>
            <w:proofErr w:type="spellStart"/>
            <w:r w:rsidRPr="00CB1E6A">
              <w:rPr>
                <w:sz w:val="18"/>
                <w:szCs w:val="18"/>
              </w:rPr>
              <w:t>Personal</w:t>
            </w:r>
            <w:proofErr w:type="spellEnd"/>
            <w:r w:rsidRPr="00CB1E6A">
              <w:rPr>
                <w:sz w:val="18"/>
                <w:szCs w:val="18"/>
              </w:rPr>
              <w:t xml:space="preserve"> </w:t>
            </w:r>
            <w:proofErr w:type="spellStart"/>
            <w:r w:rsidRPr="00CB1E6A">
              <w:rPr>
                <w:sz w:val="18"/>
                <w:szCs w:val="18"/>
              </w:rPr>
              <w:t>characteristics</w:t>
            </w:r>
            <w:proofErr w:type="spellEnd"/>
          </w:p>
        </w:tc>
        <w:tc>
          <w:tcPr>
            <w:tcW w:w="4485" w:type="dxa"/>
          </w:tcPr>
          <w:p w14:paraId="638A4069" w14:textId="2BDC2227" w:rsidR="00910D01" w:rsidRPr="00CB1E6A" w:rsidRDefault="00751C78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</w:t>
            </w:r>
            <w:r w:rsidR="009F0DF3" w:rsidRPr="00CB1E6A">
              <w:rPr>
                <w:sz w:val="18"/>
                <w:szCs w:val="18"/>
                <w:lang w:val="en-GB"/>
              </w:rPr>
              <w:t>“Personal beliefs and clinical experience were key aspects shaping the views of health professionals regarding the use of PROMs in palliative care.”</w:t>
            </w:r>
            <w:r w:rsidR="009F0DF3" w:rsidRPr="00CB1E6A">
              <w:rPr>
                <w:sz w:val="18"/>
                <w:szCs w:val="18"/>
                <w:vertAlign w:val="superscript"/>
                <w:lang w:val="en-GB"/>
              </w:rPr>
              <w:t>3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9</w:t>
            </w:r>
          </w:p>
        </w:tc>
      </w:tr>
      <w:tr w:rsidR="00910D01" w:rsidRPr="00CB1E6A" w14:paraId="1FCDAB78" w14:textId="77777777" w:rsidTr="00805FB0">
        <w:tc>
          <w:tcPr>
            <w:tcW w:w="1136" w:type="dxa"/>
            <w:tcBorders>
              <w:top w:val="nil"/>
              <w:bottom w:val="nil"/>
              <w:right w:val="nil"/>
            </w:tcBorders>
          </w:tcPr>
          <w:p w14:paraId="2E3C56AA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</w:tcPr>
          <w:p w14:paraId="33CECAFA" w14:textId="77777777" w:rsidR="00910D01" w:rsidRPr="00CB1E6A" w:rsidRDefault="00910D01">
            <w:pPr>
              <w:rPr>
                <w:sz w:val="18"/>
                <w:szCs w:val="18"/>
              </w:rPr>
            </w:pPr>
            <w:proofErr w:type="spellStart"/>
            <w:r w:rsidRPr="00CB1E6A">
              <w:rPr>
                <w:sz w:val="18"/>
                <w:szCs w:val="18"/>
              </w:rPr>
              <w:t>Patient</w:t>
            </w:r>
            <w:proofErr w:type="spellEnd"/>
            <w:r w:rsidRPr="00CB1E6A">
              <w:rPr>
                <w:sz w:val="18"/>
                <w:szCs w:val="18"/>
              </w:rPr>
              <w:t xml:space="preserve"> </w:t>
            </w:r>
            <w:proofErr w:type="spellStart"/>
            <w:r w:rsidRPr="00CB1E6A">
              <w:rPr>
                <w:sz w:val="18"/>
                <w:szCs w:val="18"/>
              </w:rPr>
              <w:t>factors</w:t>
            </w:r>
            <w:proofErr w:type="spellEnd"/>
          </w:p>
          <w:p w14:paraId="313005AB" w14:textId="77777777" w:rsidR="00DD6992" w:rsidRPr="00CB1E6A" w:rsidRDefault="00910D01">
            <w:pPr>
              <w:rPr>
                <w:sz w:val="18"/>
                <w:szCs w:val="18"/>
              </w:rPr>
            </w:pPr>
            <w:r w:rsidRPr="00CB1E6A">
              <w:rPr>
                <w:sz w:val="18"/>
                <w:szCs w:val="18"/>
              </w:rPr>
              <w:t xml:space="preserve">            </w:t>
            </w:r>
          </w:p>
          <w:p w14:paraId="7833B751" w14:textId="77777777" w:rsidR="00DD6992" w:rsidRPr="00CB1E6A" w:rsidRDefault="00DD6992">
            <w:pPr>
              <w:rPr>
                <w:sz w:val="18"/>
                <w:szCs w:val="18"/>
              </w:rPr>
            </w:pPr>
          </w:p>
          <w:p w14:paraId="44F22676" w14:textId="77777777" w:rsidR="00DD6992" w:rsidRPr="00CB1E6A" w:rsidRDefault="00DD6992">
            <w:pPr>
              <w:rPr>
                <w:sz w:val="18"/>
                <w:szCs w:val="18"/>
              </w:rPr>
            </w:pPr>
          </w:p>
          <w:p w14:paraId="3F8BF034" w14:textId="77777777" w:rsidR="00DD6992" w:rsidRPr="00CB1E6A" w:rsidRDefault="00DD6992">
            <w:pPr>
              <w:rPr>
                <w:sz w:val="18"/>
                <w:szCs w:val="18"/>
              </w:rPr>
            </w:pPr>
          </w:p>
          <w:p w14:paraId="44F373EB" w14:textId="77777777" w:rsidR="00DD6992" w:rsidRPr="00CB1E6A" w:rsidRDefault="00DD6992">
            <w:pPr>
              <w:rPr>
                <w:sz w:val="18"/>
                <w:szCs w:val="18"/>
              </w:rPr>
            </w:pPr>
          </w:p>
          <w:p w14:paraId="4B3154E0" w14:textId="77777777" w:rsidR="00DD6992" w:rsidRPr="00CB1E6A" w:rsidRDefault="00DD6992">
            <w:pPr>
              <w:rPr>
                <w:sz w:val="18"/>
                <w:szCs w:val="18"/>
              </w:rPr>
            </w:pPr>
          </w:p>
          <w:p w14:paraId="5BD5890E" w14:textId="5EB88DD6" w:rsidR="00910D01" w:rsidRPr="00CB1E6A" w:rsidRDefault="00DD6992">
            <w:pPr>
              <w:rPr>
                <w:sz w:val="18"/>
                <w:szCs w:val="18"/>
              </w:rPr>
            </w:pPr>
            <w:r w:rsidRPr="00CB1E6A">
              <w:rPr>
                <w:sz w:val="18"/>
                <w:szCs w:val="18"/>
              </w:rPr>
              <w:t xml:space="preserve">              </w:t>
            </w:r>
            <w:r w:rsidR="00910D01" w:rsidRPr="00CB1E6A">
              <w:rPr>
                <w:sz w:val="18"/>
                <w:szCs w:val="18"/>
              </w:rPr>
              <w:t xml:space="preserve">          </w:t>
            </w:r>
            <w:proofErr w:type="spellStart"/>
            <w:r w:rsidR="00910D01" w:rsidRPr="00CB1E6A">
              <w:rPr>
                <w:sz w:val="18"/>
                <w:szCs w:val="18"/>
              </w:rPr>
              <w:t>Patients</w:t>
            </w:r>
            <w:proofErr w:type="spellEnd"/>
            <w:r w:rsidR="00910D01" w:rsidRPr="00CB1E6A">
              <w:rPr>
                <w:sz w:val="18"/>
                <w:szCs w:val="18"/>
              </w:rPr>
              <w:t xml:space="preserve">’ </w:t>
            </w:r>
            <w:proofErr w:type="spellStart"/>
            <w:r w:rsidR="00910D01" w:rsidRPr="00CB1E6A">
              <w:rPr>
                <w:sz w:val="18"/>
                <w:szCs w:val="18"/>
              </w:rPr>
              <w:t>safety</w:t>
            </w:r>
            <w:proofErr w:type="spellEnd"/>
          </w:p>
        </w:tc>
        <w:tc>
          <w:tcPr>
            <w:tcW w:w="4485" w:type="dxa"/>
          </w:tcPr>
          <w:p w14:paraId="6B2EFF2B" w14:textId="0543B34E" w:rsidR="00910D01" w:rsidRPr="00CB1E6A" w:rsidRDefault="00DD6992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“...palliative care patients may adopt either a tolerating or an adapting coping style and that this may influence their engagement with PROMs completion: Patients using an adapting style may feel more able to confront their problems, while those using a tolerating style may prefer the opportunity to escape from their sick role.”</w:t>
            </w:r>
            <w:r w:rsidR="00DE7ED9" w:rsidRPr="00CB1E6A">
              <w:rPr>
                <w:sz w:val="18"/>
                <w:szCs w:val="18"/>
                <w:vertAlign w:val="superscript"/>
                <w:lang w:val="en-GB"/>
              </w:rPr>
              <w:t>5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9</w:t>
            </w:r>
          </w:p>
          <w:p w14:paraId="6AA82863" w14:textId="77777777" w:rsidR="00DD6992" w:rsidRPr="00CB1E6A" w:rsidRDefault="00DD6992">
            <w:pPr>
              <w:rPr>
                <w:sz w:val="18"/>
                <w:szCs w:val="18"/>
                <w:lang w:val="en-GB"/>
              </w:rPr>
            </w:pPr>
          </w:p>
          <w:p w14:paraId="29F7BB00" w14:textId="3D7E2E6C" w:rsidR="00DD6992" w:rsidRPr="00CB1E6A" w:rsidRDefault="00DD6992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“Remote patient has internet connection to pass on the assessment to the nurse in case an immediate action is required”</w:t>
            </w:r>
            <w:r w:rsidR="001D3BDF" w:rsidRPr="00CB1E6A">
              <w:rPr>
                <w:sz w:val="18"/>
                <w:szCs w:val="18"/>
                <w:vertAlign w:val="superscript"/>
                <w:lang w:val="en-GB"/>
              </w:rPr>
              <w:t>8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0</w:t>
            </w:r>
          </w:p>
        </w:tc>
      </w:tr>
      <w:tr w:rsidR="00910D01" w:rsidRPr="00CB1E6A" w14:paraId="6B39FE94" w14:textId="77777777" w:rsidTr="00805FB0">
        <w:tc>
          <w:tcPr>
            <w:tcW w:w="1136" w:type="dxa"/>
            <w:tcBorders>
              <w:top w:val="nil"/>
              <w:bottom w:val="nil"/>
              <w:right w:val="nil"/>
            </w:tcBorders>
          </w:tcPr>
          <w:p w14:paraId="3037E479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</w:tcPr>
          <w:p w14:paraId="6B44D38A" w14:textId="509CA4EA" w:rsidR="00910D01" w:rsidRPr="00CB1E6A" w:rsidRDefault="00910D01">
            <w:pPr>
              <w:rPr>
                <w:sz w:val="18"/>
                <w:szCs w:val="18"/>
              </w:rPr>
            </w:pPr>
            <w:proofErr w:type="spellStart"/>
            <w:r w:rsidRPr="00CB1E6A">
              <w:rPr>
                <w:sz w:val="18"/>
                <w:szCs w:val="18"/>
              </w:rPr>
              <w:t>Communication</w:t>
            </w:r>
            <w:proofErr w:type="spellEnd"/>
          </w:p>
        </w:tc>
        <w:tc>
          <w:tcPr>
            <w:tcW w:w="4485" w:type="dxa"/>
          </w:tcPr>
          <w:p w14:paraId="4A745051" w14:textId="194EF079" w:rsidR="00910D01" w:rsidRPr="00CB1E6A" w:rsidRDefault="001D3BDF">
            <w:pPr>
              <w:rPr>
                <w:sz w:val="18"/>
                <w:szCs w:val="18"/>
                <w:highlight w:val="yellow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</w:t>
            </w:r>
            <w:proofErr w:type="gramStart"/>
            <w:r w:rsidRPr="00CB1E6A">
              <w:rPr>
                <w:sz w:val="18"/>
                <w:szCs w:val="18"/>
                <w:lang w:val="en-GB"/>
              </w:rPr>
              <w:t>structured</w:t>
            </w:r>
            <w:proofErr w:type="gramEnd"/>
            <w:r w:rsidRPr="00CB1E6A">
              <w:rPr>
                <w:sz w:val="18"/>
                <w:szCs w:val="18"/>
                <w:lang w:val="en-GB"/>
              </w:rPr>
              <w:t xml:space="preserve"> reflection meetings were used as a mechanism for teams to discuss imple</w:t>
            </w:r>
            <w:r w:rsidR="00DA56D3" w:rsidRPr="00CB1E6A">
              <w:rPr>
                <w:sz w:val="18"/>
                <w:szCs w:val="18"/>
                <w:lang w:val="en-GB"/>
              </w:rPr>
              <w:t>m</w:t>
            </w:r>
            <w:r w:rsidRPr="00CB1E6A">
              <w:rPr>
                <w:sz w:val="18"/>
                <w:szCs w:val="18"/>
                <w:lang w:val="en-GB"/>
              </w:rPr>
              <w:t>entation progress and identify solutions collaboratively”</w:t>
            </w:r>
            <w:r w:rsidRPr="00CB1E6A">
              <w:rPr>
                <w:sz w:val="18"/>
                <w:szCs w:val="18"/>
                <w:vertAlign w:val="superscript"/>
                <w:lang w:val="en-GB"/>
              </w:rPr>
              <w:t>3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4</w:t>
            </w:r>
          </w:p>
        </w:tc>
      </w:tr>
      <w:tr w:rsidR="00910D01" w:rsidRPr="00CB1E6A" w14:paraId="77628604" w14:textId="77777777" w:rsidTr="00805FB0">
        <w:tc>
          <w:tcPr>
            <w:tcW w:w="1136" w:type="dxa"/>
            <w:tcBorders>
              <w:top w:val="nil"/>
              <w:bottom w:val="nil"/>
              <w:right w:val="nil"/>
            </w:tcBorders>
          </w:tcPr>
          <w:p w14:paraId="7E20F06E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</w:tcPr>
          <w:p w14:paraId="50B4B993" w14:textId="50341AA5" w:rsidR="00910D01" w:rsidRPr="00CB1E6A" w:rsidRDefault="00910D01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Information flow, action, visible outcomes</w:t>
            </w:r>
          </w:p>
        </w:tc>
        <w:tc>
          <w:tcPr>
            <w:tcW w:w="4485" w:type="dxa"/>
          </w:tcPr>
          <w:p w14:paraId="404021EE" w14:textId="12787EA9" w:rsidR="00910D01" w:rsidRPr="00CB1E6A" w:rsidRDefault="00DD6992">
            <w:pPr>
              <w:rPr>
                <w:sz w:val="18"/>
                <w:szCs w:val="18"/>
                <w:highlight w:val="yellow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</w:t>
            </w:r>
            <w:r w:rsidR="00AD2E35" w:rsidRPr="00CB1E6A">
              <w:rPr>
                <w:sz w:val="18"/>
                <w:szCs w:val="18"/>
                <w:lang w:val="en-GB"/>
              </w:rPr>
              <w:t>F</w:t>
            </w:r>
            <w:r w:rsidR="00466D19" w:rsidRPr="00CB1E6A">
              <w:rPr>
                <w:sz w:val="18"/>
                <w:szCs w:val="18"/>
                <w:lang w:val="en-GB"/>
              </w:rPr>
              <w:t>indings from continuous measurement are applied to service improvement and quality assessment.”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61</w:t>
            </w:r>
          </w:p>
        </w:tc>
      </w:tr>
      <w:tr w:rsidR="00910D01" w:rsidRPr="00CB1E6A" w14:paraId="1D55ABD3" w14:textId="77777777" w:rsidTr="0032687F">
        <w:tc>
          <w:tcPr>
            <w:tcW w:w="1136" w:type="dxa"/>
            <w:tcBorders>
              <w:top w:val="nil"/>
              <w:bottom w:val="single" w:sz="4" w:space="0" w:color="auto"/>
              <w:right w:val="nil"/>
            </w:tcBorders>
          </w:tcPr>
          <w:p w14:paraId="1E6F87ED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</w:tcBorders>
          </w:tcPr>
          <w:p w14:paraId="37BE5DA0" w14:textId="281CE702" w:rsidR="00910D01" w:rsidRPr="00CB1E6A" w:rsidRDefault="00910D01">
            <w:pPr>
              <w:rPr>
                <w:sz w:val="18"/>
                <w:szCs w:val="18"/>
              </w:rPr>
            </w:pPr>
            <w:r w:rsidRPr="00CB1E6A">
              <w:rPr>
                <w:sz w:val="18"/>
                <w:szCs w:val="18"/>
              </w:rPr>
              <w:t xml:space="preserve">Time </w:t>
            </w:r>
            <w:proofErr w:type="spellStart"/>
            <w:r w:rsidRPr="00CB1E6A">
              <w:rPr>
                <w:sz w:val="18"/>
                <w:szCs w:val="18"/>
              </w:rPr>
              <w:t>needed</w:t>
            </w:r>
            <w:proofErr w:type="spellEnd"/>
            <w:r w:rsidRPr="00CB1E6A">
              <w:rPr>
                <w:sz w:val="18"/>
                <w:szCs w:val="18"/>
              </w:rPr>
              <w:t xml:space="preserve"> to </w:t>
            </w:r>
            <w:proofErr w:type="spellStart"/>
            <w:r w:rsidRPr="00CB1E6A">
              <w:rPr>
                <w:sz w:val="18"/>
                <w:szCs w:val="18"/>
              </w:rPr>
              <w:t>implement</w:t>
            </w:r>
            <w:proofErr w:type="spellEnd"/>
          </w:p>
        </w:tc>
        <w:tc>
          <w:tcPr>
            <w:tcW w:w="4485" w:type="dxa"/>
          </w:tcPr>
          <w:p w14:paraId="1D1A8464" w14:textId="173539A6" w:rsidR="00910D01" w:rsidRPr="00CB1E6A" w:rsidRDefault="00466D19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“Allocation of longer time for implementation in line with the principles of adult education and continuous use.”</w:t>
            </w:r>
            <w:r w:rsidR="00AD2E35" w:rsidRPr="00CB1E6A">
              <w:rPr>
                <w:sz w:val="18"/>
                <w:szCs w:val="18"/>
                <w:vertAlign w:val="superscript"/>
                <w:lang w:val="en-GB"/>
              </w:rPr>
              <w:t>3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4</w:t>
            </w:r>
          </w:p>
        </w:tc>
      </w:tr>
      <w:tr w:rsidR="00910D01" w:rsidRPr="00CB1E6A" w14:paraId="6BE6958E" w14:textId="77777777" w:rsidTr="0032687F">
        <w:tc>
          <w:tcPr>
            <w:tcW w:w="1136" w:type="dxa"/>
            <w:tcBorders>
              <w:bottom w:val="nil"/>
              <w:right w:val="nil"/>
            </w:tcBorders>
          </w:tcPr>
          <w:p w14:paraId="6A25DFC0" w14:textId="090F10CF" w:rsidR="00910D01" w:rsidRPr="00CB1E6A" w:rsidRDefault="00910D01">
            <w:pPr>
              <w:rPr>
                <w:sz w:val="18"/>
                <w:szCs w:val="18"/>
              </w:rPr>
            </w:pPr>
            <w:proofErr w:type="spellStart"/>
            <w:r w:rsidRPr="00CB1E6A">
              <w:rPr>
                <w:sz w:val="18"/>
                <w:szCs w:val="18"/>
              </w:rPr>
              <w:t>Resources</w:t>
            </w:r>
            <w:proofErr w:type="spellEnd"/>
          </w:p>
        </w:tc>
        <w:tc>
          <w:tcPr>
            <w:tcW w:w="3395" w:type="dxa"/>
            <w:tcBorders>
              <w:left w:val="nil"/>
              <w:bottom w:val="nil"/>
            </w:tcBorders>
          </w:tcPr>
          <w:p w14:paraId="4A05C415" w14:textId="77777777" w:rsidR="00910D01" w:rsidRPr="00CB1E6A" w:rsidRDefault="00910D01">
            <w:pPr>
              <w:rPr>
                <w:sz w:val="18"/>
                <w:szCs w:val="18"/>
              </w:rPr>
            </w:pPr>
          </w:p>
        </w:tc>
        <w:tc>
          <w:tcPr>
            <w:tcW w:w="4485" w:type="dxa"/>
          </w:tcPr>
          <w:p w14:paraId="5A4032B8" w14:textId="17B2A49F" w:rsidR="00910D01" w:rsidRPr="00CB1E6A" w:rsidRDefault="00281C66">
            <w:pPr>
              <w:rPr>
                <w:sz w:val="18"/>
                <w:szCs w:val="18"/>
                <w:highlight w:val="yellow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 xml:space="preserve">“The presence of supportive infrastructure, organizational readiness and clear implementation strategies were associated with the success of </w:t>
            </w:r>
            <w:proofErr w:type="spellStart"/>
            <w:r w:rsidRPr="00CB1E6A">
              <w:rPr>
                <w:sz w:val="18"/>
                <w:szCs w:val="18"/>
                <w:lang w:val="en-GB"/>
              </w:rPr>
              <w:t>ePROMs</w:t>
            </w:r>
            <w:proofErr w:type="spellEnd"/>
            <w:r w:rsidRPr="00CB1E6A">
              <w:rPr>
                <w:sz w:val="18"/>
                <w:szCs w:val="18"/>
                <w:lang w:val="en-GB"/>
              </w:rPr>
              <w:t xml:space="preserve"> interventions.”</w:t>
            </w:r>
            <w:r w:rsidRPr="00CB1E6A">
              <w:rPr>
                <w:sz w:val="18"/>
                <w:szCs w:val="18"/>
                <w:vertAlign w:val="superscript"/>
                <w:lang w:val="en-GB"/>
              </w:rPr>
              <w:t>8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0</w:t>
            </w:r>
          </w:p>
        </w:tc>
      </w:tr>
      <w:tr w:rsidR="00910D01" w:rsidRPr="00CB1E6A" w14:paraId="0D68F8B6" w14:textId="77777777" w:rsidTr="0032687F">
        <w:tc>
          <w:tcPr>
            <w:tcW w:w="1136" w:type="dxa"/>
            <w:tcBorders>
              <w:top w:val="nil"/>
              <w:bottom w:val="nil"/>
              <w:right w:val="nil"/>
            </w:tcBorders>
          </w:tcPr>
          <w:p w14:paraId="0AA61BD1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</w:tcPr>
          <w:p w14:paraId="2185C977" w14:textId="65CD778D" w:rsidR="00910D01" w:rsidRPr="00CB1E6A" w:rsidRDefault="00910D01">
            <w:pPr>
              <w:rPr>
                <w:sz w:val="18"/>
                <w:szCs w:val="18"/>
              </w:rPr>
            </w:pPr>
            <w:r w:rsidRPr="00CB1E6A">
              <w:rPr>
                <w:sz w:val="18"/>
                <w:szCs w:val="18"/>
              </w:rPr>
              <w:t>Time</w:t>
            </w:r>
          </w:p>
        </w:tc>
        <w:tc>
          <w:tcPr>
            <w:tcW w:w="4485" w:type="dxa"/>
          </w:tcPr>
          <w:p w14:paraId="248E97F9" w14:textId="6B76EA3E" w:rsidR="00910D01" w:rsidRPr="00CB1E6A" w:rsidRDefault="00466D19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“...shorter time spent completing the ePRO assessment than the paper version.”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40</w:t>
            </w:r>
          </w:p>
        </w:tc>
      </w:tr>
      <w:tr w:rsidR="00910D01" w:rsidRPr="00CB1E6A" w14:paraId="4779303C" w14:textId="77777777" w:rsidTr="0032687F">
        <w:tc>
          <w:tcPr>
            <w:tcW w:w="1136" w:type="dxa"/>
            <w:tcBorders>
              <w:top w:val="nil"/>
              <w:bottom w:val="nil"/>
              <w:right w:val="nil"/>
            </w:tcBorders>
          </w:tcPr>
          <w:p w14:paraId="79446BE5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</w:tcPr>
          <w:p w14:paraId="50EC33B1" w14:textId="313AFA31" w:rsidR="00910D01" w:rsidRPr="00CB1E6A" w:rsidRDefault="00910D01">
            <w:pPr>
              <w:rPr>
                <w:sz w:val="18"/>
                <w:szCs w:val="18"/>
              </w:rPr>
            </w:pPr>
            <w:proofErr w:type="spellStart"/>
            <w:r w:rsidRPr="00CB1E6A">
              <w:rPr>
                <w:sz w:val="18"/>
                <w:szCs w:val="18"/>
              </w:rPr>
              <w:t>Costs</w:t>
            </w:r>
            <w:proofErr w:type="spellEnd"/>
          </w:p>
        </w:tc>
        <w:tc>
          <w:tcPr>
            <w:tcW w:w="4485" w:type="dxa"/>
          </w:tcPr>
          <w:p w14:paraId="1087DEC0" w14:textId="7EAE77BC" w:rsidR="00910D01" w:rsidRPr="00CB1E6A" w:rsidRDefault="00281C66">
            <w:pPr>
              <w:rPr>
                <w:sz w:val="18"/>
                <w:szCs w:val="18"/>
                <w:highlight w:val="yellow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 xml:space="preserve">“By integrating PROMs into the EHR and automating their administration and scoring, we can enhance efficiency, reduce documentation burden, and improve clinical decision-making. There is also </w:t>
            </w:r>
            <w:r w:rsidRPr="00CB1E6A">
              <w:rPr>
                <w:sz w:val="18"/>
                <w:szCs w:val="18"/>
                <w:lang w:val="en-GB"/>
              </w:rPr>
              <w:lastRenderedPageBreak/>
              <w:t>potential for long-term cost savings by identifying issues early and tailoring care more precisely.”</w:t>
            </w:r>
            <w:r w:rsidRPr="00CB1E6A">
              <w:rPr>
                <w:sz w:val="18"/>
                <w:szCs w:val="18"/>
                <w:vertAlign w:val="superscript"/>
                <w:lang w:val="en-GB"/>
              </w:rPr>
              <w:t>5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910D01" w:rsidRPr="00CB1E6A" w14:paraId="18BFB594" w14:textId="77777777" w:rsidTr="0098624B">
        <w:tc>
          <w:tcPr>
            <w:tcW w:w="1136" w:type="dxa"/>
            <w:tcBorders>
              <w:top w:val="nil"/>
              <w:bottom w:val="single" w:sz="4" w:space="0" w:color="auto"/>
              <w:right w:val="nil"/>
            </w:tcBorders>
          </w:tcPr>
          <w:p w14:paraId="0C84D2A3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</w:tcBorders>
          </w:tcPr>
          <w:p w14:paraId="5E915F3A" w14:textId="5FFFD044" w:rsidR="00910D01" w:rsidRPr="00CB1E6A" w:rsidRDefault="00910D01">
            <w:pPr>
              <w:rPr>
                <w:sz w:val="18"/>
                <w:szCs w:val="18"/>
              </w:rPr>
            </w:pPr>
            <w:r w:rsidRPr="00CB1E6A">
              <w:rPr>
                <w:sz w:val="18"/>
                <w:szCs w:val="18"/>
              </w:rPr>
              <w:t>Staff</w:t>
            </w:r>
          </w:p>
        </w:tc>
        <w:tc>
          <w:tcPr>
            <w:tcW w:w="4485" w:type="dxa"/>
          </w:tcPr>
          <w:p w14:paraId="09FF0DC3" w14:textId="2006B2C5" w:rsidR="00910D01" w:rsidRPr="00CB1E6A" w:rsidRDefault="00466D19">
            <w:pPr>
              <w:rPr>
                <w:sz w:val="18"/>
                <w:szCs w:val="18"/>
                <w:highlight w:val="yellow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</w:t>
            </w:r>
            <w:r w:rsidR="0098624B" w:rsidRPr="00CB1E6A">
              <w:rPr>
                <w:sz w:val="18"/>
                <w:szCs w:val="18"/>
                <w:lang w:val="en-GB"/>
              </w:rPr>
              <w:t>Achieving staffing levels appropriate to the level and diversity of patients’ demands.”</w:t>
            </w:r>
            <w:r w:rsidR="00281C66" w:rsidRPr="00CB1E6A">
              <w:rPr>
                <w:sz w:val="18"/>
                <w:szCs w:val="18"/>
                <w:vertAlign w:val="superscript"/>
                <w:lang w:val="en-GB"/>
              </w:rPr>
              <w:t>8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0</w:t>
            </w:r>
          </w:p>
        </w:tc>
      </w:tr>
      <w:tr w:rsidR="00910D01" w:rsidRPr="00CB1E6A" w14:paraId="76BB23E2" w14:textId="77777777" w:rsidTr="0098624B">
        <w:tc>
          <w:tcPr>
            <w:tcW w:w="1136" w:type="dxa"/>
            <w:tcBorders>
              <w:bottom w:val="nil"/>
              <w:right w:val="nil"/>
            </w:tcBorders>
          </w:tcPr>
          <w:p w14:paraId="717F9259" w14:textId="7D767AEE" w:rsidR="00910D01" w:rsidRPr="00CB1E6A" w:rsidRDefault="00910D01">
            <w:pPr>
              <w:rPr>
                <w:sz w:val="18"/>
                <w:szCs w:val="18"/>
              </w:rPr>
            </w:pPr>
            <w:r w:rsidRPr="00CB1E6A">
              <w:rPr>
                <w:sz w:val="18"/>
                <w:szCs w:val="18"/>
              </w:rPr>
              <w:t>PCOM</w:t>
            </w:r>
          </w:p>
        </w:tc>
        <w:tc>
          <w:tcPr>
            <w:tcW w:w="3395" w:type="dxa"/>
            <w:tcBorders>
              <w:left w:val="nil"/>
              <w:bottom w:val="nil"/>
            </w:tcBorders>
          </w:tcPr>
          <w:p w14:paraId="461E5286" w14:textId="77777777" w:rsidR="00910D01" w:rsidRPr="00CB1E6A" w:rsidRDefault="00910D01">
            <w:pPr>
              <w:rPr>
                <w:sz w:val="18"/>
                <w:szCs w:val="18"/>
              </w:rPr>
            </w:pPr>
          </w:p>
        </w:tc>
        <w:tc>
          <w:tcPr>
            <w:tcW w:w="4485" w:type="dxa"/>
          </w:tcPr>
          <w:p w14:paraId="1450B1A1" w14:textId="2330870A" w:rsidR="00910D01" w:rsidRPr="00CB1E6A" w:rsidRDefault="0032687F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</w:t>
            </w:r>
            <w:r w:rsidR="0098624B" w:rsidRPr="00CB1E6A">
              <w:rPr>
                <w:sz w:val="18"/>
                <w:szCs w:val="18"/>
                <w:lang w:val="en-GB"/>
              </w:rPr>
              <w:t>...completing the PROM gave patients confidence that their feelings mattered; patients may be empowered by the use of the instrument, since it makes it easier for the patients to voice their concerns.”</w:t>
            </w:r>
            <w:r w:rsidR="00C16EC2" w:rsidRPr="00CB1E6A">
              <w:rPr>
                <w:sz w:val="18"/>
                <w:szCs w:val="18"/>
                <w:vertAlign w:val="superscript"/>
                <w:lang w:val="en-GB"/>
              </w:rPr>
              <w:t>5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9</w:t>
            </w:r>
          </w:p>
        </w:tc>
      </w:tr>
      <w:tr w:rsidR="00910D01" w:rsidRPr="00CB1E6A" w14:paraId="54B5A5C3" w14:textId="77777777" w:rsidTr="0098624B">
        <w:tc>
          <w:tcPr>
            <w:tcW w:w="1136" w:type="dxa"/>
            <w:tcBorders>
              <w:top w:val="nil"/>
              <w:bottom w:val="nil"/>
              <w:right w:val="nil"/>
            </w:tcBorders>
          </w:tcPr>
          <w:p w14:paraId="7DA87498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</w:tcPr>
          <w:p w14:paraId="428DF011" w14:textId="49B0BF47" w:rsidR="00910D01" w:rsidRPr="00CB1E6A" w:rsidRDefault="00910D01">
            <w:pPr>
              <w:rPr>
                <w:sz w:val="18"/>
                <w:szCs w:val="18"/>
              </w:rPr>
            </w:pPr>
            <w:r w:rsidRPr="00CB1E6A">
              <w:rPr>
                <w:sz w:val="18"/>
                <w:szCs w:val="18"/>
              </w:rPr>
              <w:t xml:space="preserve">Timing for </w:t>
            </w:r>
            <w:proofErr w:type="spellStart"/>
            <w:r w:rsidRPr="00CB1E6A">
              <w:rPr>
                <w:sz w:val="18"/>
                <w:szCs w:val="18"/>
              </w:rPr>
              <w:t>measurements</w:t>
            </w:r>
            <w:proofErr w:type="spellEnd"/>
          </w:p>
        </w:tc>
        <w:tc>
          <w:tcPr>
            <w:tcW w:w="4485" w:type="dxa"/>
          </w:tcPr>
          <w:p w14:paraId="5A3F97F6" w14:textId="50A9A5AB" w:rsidR="00910D01" w:rsidRPr="00CB1E6A" w:rsidRDefault="0098624B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“Being flexible in the timing of administration to allow for fluctuation in a person's ability to perform activities near end-of-life, and speedily administered measures, enabled clinical utility.”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41</w:t>
            </w:r>
          </w:p>
        </w:tc>
      </w:tr>
      <w:tr w:rsidR="00910D01" w:rsidRPr="00CB1E6A" w14:paraId="04C820B2" w14:textId="77777777" w:rsidTr="001A1CD3">
        <w:tc>
          <w:tcPr>
            <w:tcW w:w="1136" w:type="dxa"/>
            <w:tcBorders>
              <w:top w:val="nil"/>
              <w:bottom w:val="single" w:sz="4" w:space="0" w:color="auto"/>
              <w:right w:val="nil"/>
            </w:tcBorders>
          </w:tcPr>
          <w:p w14:paraId="6D0E6AAC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</w:tcBorders>
          </w:tcPr>
          <w:p w14:paraId="6C3D449B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Equipment</w:t>
            </w:r>
          </w:p>
          <w:p w14:paraId="3D51AAA8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 xml:space="preserve">                   Devices</w:t>
            </w:r>
          </w:p>
          <w:p w14:paraId="575CCD81" w14:textId="77777777" w:rsidR="0098624B" w:rsidRPr="00CB1E6A" w:rsidRDefault="00910D01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 xml:space="preserve">                  </w:t>
            </w:r>
          </w:p>
          <w:p w14:paraId="4A52BC87" w14:textId="77777777" w:rsidR="0098624B" w:rsidRPr="00CB1E6A" w:rsidRDefault="0098624B">
            <w:pPr>
              <w:rPr>
                <w:sz w:val="18"/>
                <w:szCs w:val="18"/>
                <w:lang w:val="en-GB"/>
              </w:rPr>
            </w:pPr>
          </w:p>
          <w:p w14:paraId="14FD77FB" w14:textId="77777777" w:rsidR="0098624B" w:rsidRPr="00CB1E6A" w:rsidRDefault="0098624B">
            <w:pPr>
              <w:rPr>
                <w:sz w:val="18"/>
                <w:szCs w:val="18"/>
                <w:lang w:val="en-GB"/>
              </w:rPr>
            </w:pPr>
          </w:p>
          <w:p w14:paraId="39338595" w14:textId="77777777" w:rsidR="0064381D" w:rsidRPr="00CB1E6A" w:rsidRDefault="0098624B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 xml:space="preserve">            </w:t>
            </w:r>
          </w:p>
          <w:p w14:paraId="5D1F30D2" w14:textId="78E66166" w:rsidR="00910D01" w:rsidRPr="00CB1E6A" w:rsidRDefault="0098624B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 xml:space="preserve">     </w:t>
            </w:r>
            <w:r w:rsidR="00910D01" w:rsidRPr="00CB1E6A">
              <w:rPr>
                <w:sz w:val="18"/>
                <w:szCs w:val="18"/>
                <w:lang w:val="en-GB"/>
              </w:rPr>
              <w:t xml:space="preserve"> Use experience and user interface</w:t>
            </w:r>
          </w:p>
        </w:tc>
        <w:tc>
          <w:tcPr>
            <w:tcW w:w="4485" w:type="dxa"/>
          </w:tcPr>
          <w:p w14:paraId="55624F51" w14:textId="77777777" w:rsidR="0098624B" w:rsidRPr="00CB1E6A" w:rsidRDefault="0098624B" w:rsidP="0098624B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“Kiosks and tablets were implemented to allow for real-time reporting of symptoms directly to clinicians.</w:t>
            </w:r>
          </w:p>
          <w:p w14:paraId="4D25D2E6" w14:textId="5D840CC5" w:rsidR="00910D01" w:rsidRPr="00CB1E6A" w:rsidRDefault="0098624B" w:rsidP="0098624B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Mobile phone technology could revolutionise the collection and sharing of this information.”</w:t>
            </w:r>
            <w:r w:rsidR="0042277D" w:rsidRPr="00CB1E6A">
              <w:rPr>
                <w:sz w:val="18"/>
                <w:szCs w:val="18"/>
                <w:vertAlign w:val="superscript"/>
                <w:lang w:val="en-GB"/>
              </w:rPr>
              <w:t>5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8</w:t>
            </w:r>
          </w:p>
          <w:p w14:paraId="0D96D629" w14:textId="77777777" w:rsidR="0064381D" w:rsidRPr="00CB1E6A" w:rsidRDefault="0064381D" w:rsidP="0098624B">
            <w:pPr>
              <w:rPr>
                <w:sz w:val="18"/>
                <w:szCs w:val="18"/>
                <w:lang w:val="en-GB"/>
              </w:rPr>
            </w:pPr>
          </w:p>
          <w:p w14:paraId="10A0D2EA" w14:textId="23B0D919" w:rsidR="0098624B" w:rsidRPr="00CB1E6A" w:rsidRDefault="0098624B" w:rsidP="0098624B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</w:t>
            </w:r>
            <w:bookmarkStart w:id="3" w:name="_Hlk167983380"/>
            <w:r w:rsidR="001A1CD3" w:rsidRPr="00CB1E6A">
              <w:rPr>
                <w:sz w:val="18"/>
                <w:szCs w:val="18"/>
                <w:lang w:val="en-GB"/>
              </w:rPr>
              <w:t>Desirable features focused on hardware (lightweight, durable, and easy to disinfect), software (simple, user-friendly interface, multi-linguistic, integration with e-health systems).”</w:t>
            </w:r>
            <w:bookmarkEnd w:id="3"/>
            <w:r w:rsidR="00DF66AC" w:rsidRPr="00CB1E6A">
              <w:rPr>
                <w:sz w:val="18"/>
                <w:szCs w:val="18"/>
                <w:vertAlign w:val="superscript"/>
                <w:lang w:val="en-GB"/>
              </w:rPr>
              <w:t>11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5</w:t>
            </w:r>
          </w:p>
        </w:tc>
      </w:tr>
      <w:tr w:rsidR="00910D01" w:rsidRPr="00CB1E6A" w14:paraId="3C5618D7" w14:textId="77777777" w:rsidTr="001A1CD3">
        <w:tc>
          <w:tcPr>
            <w:tcW w:w="1136" w:type="dxa"/>
            <w:tcBorders>
              <w:bottom w:val="nil"/>
              <w:right w:val="nil"/>
            </w:tcBorders>
          </w:tcPr>
          <w:p w14:paraId="69E532BF" w14:textId="67383AB1" w:rsidR="00910D01" w:rsidRPr="00CB1E6A" w:rsidRDefault="00910D01">
            <w:pPr>
              <w:rPr>
                <w:sz w:val="18"/>
                <w:szCs w:val="18"/>
              </w:rPr>
            </w:pPr>
            <w:r w:rsidRPr="00CB1E6A">
              <w:rPr>
                <w:sz w:val="18"/>
                <w:szCs w:val="18"/>
              </w:rPr>
              <w:t xml:space="preserve">Data </w:t>
            </w:r>
            <w:proofErr w:type="spellStart"/>
            <w:r w:rsidRPr="00CB1E6A">
              <w:rPr>
                <w:sz w:val="18"/>
                <w:szCs w:val="18"/>
              </w:rPr>
              <w:t>related</w:t>
            </w:r>
            <w:proofErr w:type="spellEnd"/>
          </w:p>
        </w:tc>
        <w:tc>
          <w:tcPr>
            <w:tcW w:w="3395" w:type="dxa"/>
            <w:tcBorders>
              <w:left w:val="nil"/>
              <w:bottom w:val="nil"/>
            </w:tcBorders>
          </w:tcPr>
          <w:p w14:paraId="18D8ABD8" w14:textId="77777777" w:rsidR="00910D01" w:rsidRPr="00CB1E6A" w:rsidRDefault="00910D01">
            <w:pPr>
              <w:rPr>
                <w:sz w:val="18"/>
                <w:szCs w:val="18"/>
              </w:rPr>
            </w:pPr>
          </w:p>
        </w:tc>
        <w:tc>
          <w:tcPr>
            <w:tcW w:w="4485" w:type="dxa"/>
          </w:tcPr>
          <w:p w14:paraId="4B454ADF" w14:textId="77777777" w:rsidR="00910D01" w:rsidRPr="00CB1E6A" w:rsidRDefault="00910D01">
            <w:pPr>
              <w:rPr>
                <w:sz w:val="18"/>
                <w:szCs w:val="18"/>
              </w:rPr>
            </w:pPr>
          </w:p>
        </w:tc>
      </w:tr>
      <w:tr w:rsidR="00910D01" w:rsidRPr="00CB1E6A" w14:paraId="4FC3221A" w14:textId="77777777" w:rsidTr="001A1CD3">
        <w:tc>
          <w:tcPr>
            <w:tcW w:w="1136" w:type="dxa"/>
            <w:tcBorders>
              <w:top w:val="nil"/>
              <w:bottom w:val="nil"/>
              <w:right w:val="nil"/>
            </w:tcBorders>
          </w:tcPr>
          <w:p w14:paraId="63B5D1AF" w14:textId="77777777" w:rsidR="00910D01" w:rsidRPr="00CB1E6A" w:rsidRDefault="00910D01">
            <w:pPr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</w:tcPr>
          <w:p w14:paraId="513A006A" w14:textId="2102497E" w:rsidR="00910D01" w:rsidRPr="00CB1E6A" w:rsidRDefault="00910D01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Legality, privacy, security, and confidentiality</w:t>
            </w:r>
          </w:p>
        </w:tc>
        <w:tc>
          <w:tcPr>
            <w:tcW w:w="4485" w:type="dxa"/>
          </w:tcPr>
          <w:p w14:paraId="392EB42E" w14:textId="618F42A8" w:rsidR="00910D01" w:rsidRPr="00CB1E6A" w:rsidRDefault="001A1CD3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“Patients should be told about the use, storage, and confidentiality of their patient-identifiable information.”</w:t>
            </w:r>
            <w:r w:rsidR="0064381D" w:rsidRPr="00CB1E6A">
              <w:rPr>
                <w:sz w:val="18"/>
                <w:szCs w:val="18"/>
                <w:vertAlign w:val="superscript"/>
                <w:lang w:val="en-GB"/>
              </w:rPr>
              <w:t>8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0</w:t>
            </w:r>
          </w:p>
        </w:tc>
      </w:tr>
      <w:tr w:rsidR="00910D01" w:rsidRPr="00CB1E6A" w14:paraId="6E1310C5" w14:textId="77777777" w:rsidTr="001A1CD3">
        <w:tc>
          <w:tcPr>
            <w:tcW w:w="1136" w:type="dxa"/>
            <w:tcBorders>
              <w:top w:val="nil"/>
              <w:right w:val="nil"/>
            </w:tcBorders>
          </w:tcPr>
          <w:p w14:paraId="502A2A7B" w14:textId="77777777" w:rsidR="00910D01" w:rsidRPr="00CB1E6A" w:rsidRDefault="00910D0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tcBorders>
              <w:top w:val="nil"/>
              <w:left w:val="nil"/>
            </w:tcBorders>
          </w:tcPr>
          <w:p w14:paraId="7CAC8CD8" w14:textId="01E7B9A0" w:rsidR="00910D01" w:rsidRPr="00CB1E6A" w:rsidRDefault="00910D01">
            <w:pPr>
              <w:rPr>
                <w:sz w:val="18"/>
                <w:szCs w:val="18"/>
                <w:lang w:val="en-GB"/>
              </w:rPr>
            </w:pPr>
            <w:r w:rsidRPr="00CB1E6A">
              <w:rPr>
                <w:sz w:val="18"/>
                <w:szCs w:val="18"/>
              </w:rPr>
              <w:t xml:space="preserve">Bias </w:t>
            </w:r>
            <w:proofErr w:type="spellStart"/>
            <w:r w:rsidRPr="00CB1E6A">
              <w:rPr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4485" w:type="dxa"/>
          </w:tcPr>
          <w:p w14:paraId="02A42459" w14:textId="3CA9280C" w:rsidR="00910D01" w:rsidRPr="00CB1E6A" w:rsidRDefault="001A1CD3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CB1E6A">
              <w:rPr>
                <w:sz w:val="18"/>
                <w:szCs w:val="18"/>
                <w:lang w:val="en-GB"/>
              </w:rPr>
              <w:t>“Ensure that the access to ePRO data is not biased and does not accentuate disparities.”</w:t>
            </w:r>
            <w:r w:rsidR="00E37751" w:rsidRPr="00CB1E6A">
              <w:rPr>
                <w:sz w:val="18"/>
                <w:szCs w:val="18"/>
                <w:vertAlign w:val="superscript"/>
                <w:lang w:val="en-GB"/>
              </w:rPr>
              <w:t>13</w:t>
            </w:r>
            <w:r w:rsidR="00DA56D3" w:rsidRPr="00CB1E6A">
              <w:rPr>
                <w:sz w:val="18"/>
                <w:szCs w:val="18"/>
                <w:vertAlign w:val="superscript"/>
                <w:lang w:val="en-GB"/>
              </w:rPr>
              <w:t>5</w:t>
            </w:r>
          </w:p>
        </w:tc>
      </w:tr>
    </w:tbl>
    <w:p w14:paraId="2F85F0B7" w14:textId="77777777" w:rsidR="00831393" w:rsidRPr="00DF66AC" w:rsidRDefault="00831393">
      <w:pPr>
        <w:rPr>
          <w:lang w:val="en-GB"/>
        </w:rPr>
      </w:pPr>
    </w:p>
    <w:sectPr w:rsidR="00831393" w:rsidRPr="00DF6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01"/>
    <w:rsid w:val="000546D1"/>
    <w:rsid w:val="0006589A"/>
    <w:rsid w:val="000F700F"/>
    <w:rsid w:val="00136EB6"/>
    <w:rsid w:val="001A1CD3"/>
    <w:rsid w:val="001D3BDF"/>
    <w:rsid w:val="00213962"/>
    <w:rsid w:val="002269B2"/>
    <w:rsid w:val="00281C66"/>
    <w:rsid w:val="0032687F"/>
    <w:rsid w:val="00342A52"/>
    <w:rsid w:val="003E4399"/>
    <w:rsid w:val="0042277D"/>
    <w:rsid w:val="00454F86"/>
    <w:rsid w:val="00466D19"/>
    <w:rsid w:val="00551D9F"/>
    <w:rsid w:val="005B3951"/>
    <w:rsid w:val="005C53EF"/>
    <w:rsid w:val="00617BFD"/>
    <w:rsid w:val="0064381D"/>
    <w:rsid w:val="00730286"/>
    <w:rsid w:val="00751C78"/>
    <w:rsid w:val="00805FB0"/>
    <w:rsid w:val="00831393"/>
    <w:rsid w:val="008B1C7F"/>
    <w:rsid w:val="008E1B0D"/>
    <w:rsid w:val="008F7E76"/>
    <w:rsid w:val="00910D01"/>
    <w:rsid w:val="0098624B"/>
    <w:rsid w:val="009F0DF3"/>
    <w:rsid w:val="00AD2E35"/>
    <w:rsid w:val="00AE5927"/>
    <w:rsid w:val="00C16EC2"/>
    <w:rsid w:val="00CB1E6A"/>
    <w:rsid w:val="00DA56D3"/>
    <w:rsid w:val="00DD6992"/>
    <w:rsid w:val="00DE7ED9"/>
    <w:rsid w:val="00DF66AC"/>
    <w:rsid w:val="00E37751"/>
    <w:rsid w:val="00E44B20"/>
    <w:rsid w:val="00EB444D"/>
    <w:rsid w:val="00F7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34577"/>
  <w15:chartTrackingRefBased/>
  <w15:docId w15:val="{831150C4-03F2-4EFC-916D-DB903F53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D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0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Antunes</dc:creator>
  <cp:keywords/>
  <dc:description/>
  <cp:lastModifiedBy>Bárbara Antunes</cp:lastModifiedBy>
  <cp:revision>19</cp:revision>
  <dcterms:created xsi:type="dcterms:W3CDTF">2024-05-10T14:26:00Z</dcterms:created>
  <dcterms:modified xsi:type="dcterms:W3CDTF">2025-06-28T11:28:00Z</dcterms:modified>
</cp:coreProperties>
</file>