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7FC9" w14:textId="6740C2E6" w:rsidR="00EF2036" w:rsidRPr="00EF2036" w:rsidRDefault="00EF2036" w:rsidP="00EF2036">
      <w:pPr>
        <w:pStyle w:val="Text"/>
        <w:spacing w:line="480" w:lineRule="auto"/>
        <w:jc w:val="both"/>
        <w:outlineLvl w:val="0"/>
        <w:rPr>
          <w:rFonts w:ascii="Calibri" w:hAnsi="Calibri" w:cs="Times New Roman"/>
          <w:b/>
          <w:lang w:val="en-US"/>
        </w:rPr>
      </w:pPr>
      <w:r w:rsidRPr="00EF2036">
        <w:rPr>
          <w:rFonts w:ascii="Calibri" w:hAnsi="Calibri" w:cs="Times New Roman"/>
          <w:b/>
          <w:lang w:val="en-US"/>
        </w:rPr>
        <w:t>Supplementary Information</w:t>
      </w:r>
    </w:p>
    <w:p w14:paraId="1DB2DB1A" w14:textId="3240835E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  <w:r w:rsidRPr="00EF2036"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t>Supplementary Table 1: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</w:t>
      </w:r>
      <w:r w:rsidRPr="00EF2036">
        <w:rPr>
          <w:rFonts w:ascii="Calibri" w:hAnsi="Calibri"/>
          <w:b/>
          <w:color w:val="000000" w:themeColor="text1"/>
          <w:sz w:val="20"/>
          <w:szCs w:val="20"/>
          <w:lang w:val="en-US"/>
        </w:rPr>
        <w:t>Thermodynamic parameters of BioDeg variants</w:t>
      </w:r>
      <w:r w:rsidRPr="00EF2036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were assessed by nanoDSF. Listed is onset temperature and melting points, which are defined as the temperature at which 50% of the protein is unfold. Data shown is the mean of three technical replicates </w:t>
      </w:r>
      <w:r w:rsidRPr="00EF2036">
        <w:rPr>
          <w:rFonts w:ascii="Calibri" w:hAnsi="Calibri" w:cs="Calibri"/>
          <w:color w:val="000000" w:themeColor="text1"/>
          <w:sz w:val="20"/>
          <w:szCs w:val="20"/>
          <w:lang w:val="en-US"/>
        </w:rPr>
        <w:t>±</w:t>
      </w:r>
      <w:r w:rsidRPr="00EF2036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SD.</w:t>
      </w:r>
    </w:p>
    <w:p w14:paraId="362AC224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EF2036" w:rsidRPr="00EF2036" w14:paraId="53468F5A" w14:textId="77777777" w:rsidTr="00F9015E">
        <w:tc>
          <w:tcPr>
            <w:tcW w:w="2160" w:type="dxa"/>
          </w:tcPr>
          <w:p w14:paraId="7388DEAD" w14:textId="25B4BF1A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4D39645" w14:textId="77777777" w:rsidR="00EF2036" w:rsidRPr="00EF2036" w:rsidRDefault="00EF2036" w:rsidP="00F9015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Onset [°C]</w:t>
            </w:r>
          </w:p>
        </w:tc>
        <w:tc>
          <w:tcPr>
            <w:tcW w:w="2160" w:type="dxa"/>
          </w:tcPr>
          <w:p w14:paraId="2438C5FC" w14:textId="77777777" w:rsidR="00EF2036" w:rsidRPr="00EF2036" w:rsidRDefault="00EF2036" w:rsidP="00F9015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Tₘ,</w:t>
            </w:r>
            <w:r w:rsidRPr="0045658F">
              <w:rPr>
                <w:rFonts w:ascii="Calibri" w:hAnsi="Calibri" w:cs="Calibri"/>
                <w:b/>
                <w:sz w:val="20"/>
                <w:szCs w:val="20"/>
                <w:vertAlign w:val="subscript"/>
              </w:rPr>
              <w:t>1</w:t>
            </w:r>
            <w:r w:rsidRPr="00EF2036">
              <w:rPr>
                <w:rFonts w:ascii="Calibri" w:hAnsi="Calibri" w:cs="Calibri"/>
                <w:b/>
                <w:sz w:val="20"/>
                <w:szCs w:val="20"/>
              </w:rPr>
              <w:t xml:space="preserve"> [°C]</w:t>
            </w:r>
          </w:p>
        </w:tc>
        <w:tc>
          <w:tcPr>
            <w:tcW w:w="2160" w:type="dxa"/>
          </w:tcPr>
          <w:p w14:paraId="3110241F" w14:textId="77777777" w:rsidR="00EF2036" w:rsidRPr="00EF2036" w:rsidRDefault="00EF2036" w:rsidP="00F9015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Tₘ,</w:t>
            </w:r>
            <w:r w:rsidRPr="0045658F">
              <w:rPr>
                <w:rFonts w:ascii="Calibri" w:hAnsi="Calibri" w:cs="Calibri"/>
                <w:b/>
                <w:sz w:val="20"/>
                <w:szCs w:val="20"/>
                <w:vertAlign w:val="subscript"/>
              </w:rPr>
              <w:t>2</w:t>
            </w:r>
            <w:r w:rsidRPr="00EF2036">
              <w:rPr>
                <w:rFonts w:ascii="Calibri" w:hAnsi="Calibri" w:cs="Calibri"/>
                <w:b/>
                <w:sz w:val="20"/>
                <w:szCs w:val="20"/>
              </w:rPr>
              <w:t xml:space="preserve"> [°C]</w:t>
            </w:r>
          </w:p>
        </w:tc>
      </w:tr>
      <w:tr w:rsidR="00EF2036" w:rsidRPr="00EF2036" w14:paraId="3B6C2AD4" w14:textId="77777777" w:rsidTr="00F9015E">
        <w:tc>
          <w:tcPr>
            <w:tcW w:w="2160" w:type="dxa"/>
          </w:tcPr>
          <w:p w14:paraId="54F66495" w14:textId="3BE645FE" w:rsidR="00EF2036" w:rsidRPr="00EF2036" w:rsidRDefault="00EF2036" w:rsidP="00F9015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 xml:space="preserve">Siltuximab(-TGN) </w:t>
            </w:r>
          </w:p>
        </w:tc>
        <w:tc>
          <w:tcPr>
            <w:tcW w:w="2160" w:type="dxa"/>
          </w:tcPr>
          <w:p w14:paraId="0B7D8FC2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6B00C0F8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6F7CC7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2036" w:rsidRPr="00EF2036" w14:paraId="100BEED8" w14:textId="77777777" w:rsidTr="00F9015E">
        <w:tc>
          <w:tcPr>
            <w:tcW w:w="2160" w:type="dxa"/>
          </w:tcPr>
          <w:p w14:paraId="3FB3DDEF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</w:t>
            </w:r>
          </w:p>
        </w:tc>
        <w:tc>
          <w:tcPr>
            <w:tcW w:w="2160" w:type="dxa"/>
          </w:tcPr>
          <w:p w14:paraId="7255E845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61.20 ± 0.35</w:t>
            </w:r>
          </w:p>
        </w:tc>
        <w:tc>
          <w:tcPr>
            <w:tcW w:w="2160" w:type="dxa"/>
          </w:tcPr>
          <w:p w14:paraId="64BCA616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67.05 ± 0.06</w:t>
            </w:r>
          </w:p>
        </w:tc>
        <w:tc>
          <w:tcPr>
            <w:tcW w:w="2160" w:type="dxa"/>
          </w:tcPr>
          <w:p w14:paraId="343C801F" w14:textId="7B999CAA" w:rsidR="00EF2036" w:rsidRPr="00EF2036" w:rsidRDefault="009E0E85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sz w:val="20"/>
                <w:szCs w:val="20"/>
              </w:rPr>
              <w:t>9.46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± </w:t>
            </w:r>
            <w:r>
              <w:rPr>
                <w:rFonts w:ascii="Calibri" w:hAnsi="Calibri" w:cs="Calibri"/>
                <w:sz w:val="20"/>
                <w:szCs w:val="20"/>
              </w:rPr>
              <w:t>3.20</w:t>
            </w:r>
          </w:p>
        </w:tc>
      </w:tr>
      <w:tr w:rsidR="00EF2036" w:rsidRPr="00EF2036" w14:paraId="26CB8161" w14:textId="77777777" w:rsidTr="00F9015E">
        <w:tc>
          <w:tcPr>
            <w:tcW w:w="2160" w:type="dxa"/>
          </w:tcPr>
          <w:p w14:paraId="34D6962F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1:1</w:t>
            </w:r>
          </w:p>
        </w:tc>
        <w:tc>
          <w:tcPr>
            <w:tcW w:w="2160" w:type="dxa"/>
          </w:tcPr>
          <w:p w14:paraId="274C4804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62.20 ± 0.26</w:t>
            </w:r>
          </w:p>
        </w:tc>
        <w:tc>
          <w:tcPr>
            <w:tcW w:w="2160" w:type="dxa"/>
          </w:tcPr>
          <w:p w14:paraId="34738B1C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67.03 ± 0.07</w:t>
            </w:r>
          </w:p>
        </w:tc>
        <w:tc>
          <w:tcPr>
            <w:tcW w:w="2160" w:type="dxa"/>
          </w:tcPr>
          <w:p w14:paraId="4FAC79D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80.78 ± 0.24</w:t>
            </w:r>
          </w:p>
        </w:tc>
      </w:tr>
      <w:tr w:rsidR="00EF2036" w:rsidRPr="00EF2036" w14:paraId="27A3E7E9" w14:textId="77777777" w:rsidTr="00F9015E">
        <w:tc>
          <w:tcPr>
            <w:tcW w:w="2160" w:type="dxa"/>
          </w:tcPr>
          <w:p w14:paraId="682F3044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1:5</w:t>
            </w:r>
          </w:p>
        </w:tc>
        <w:tc>
          <w:tcPr>
            <w:tcW w:w="2160" w:type="dxa"/>
          </w:tcPr>
          <w:p w14:paraId="755B8C39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61.70 ± 0.16</w:t>
            </w:r>
          </w:p>
        </w:tc>
        <w:tc>
          <w:tcPr>
            <w:tcW w:w="2160" w:type="dxa"/>
          </w:tcPr>
          <w:p w14:paraId="541F59A5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66.60 ± 0.05</w:t>
            </w:r>
          </w:p>
        </w:tc>
        <w:tc>
          <w:tcPr>
            <w:tcW w:w="2160" w:type="dxa"/>
          </w:tcPr>
          <w:p w14:paraId="51BF015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80.75 ± 0.11</w:t>
            </w:r>
          </w:p>
        </w:tc>
      </w:tr>
      <w:tr w:rsidR="00EF2036" w:rsidRPr="00EF2036" w14:paraId="47187670" w14:textId="77777777" w:rsidTr="00F9015E">
        <w:tc>
          <w:tcPr>
            <w:tcW w:w="2160" w:type="dxa"/>
          </w:tcPr>
          <w:p w14:paraId="5604A60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1:10</w:t>
            </w:r>
          </w:p>
        </w:tc>
        <w:tc>
          <w:tcPr>
            <w:tcW w:w="2160" w:type="dxa"/>
          </w:tcPr>
          <w:p w14:paraId="0B62CA04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n.d.</w:t>
            </w:r>
          </w:p>
        </w:tc>
        <w:tc>
          <w:tcPr>
            <w:tcW w:w="2160" w:type="dxa"/>
          </w:tcPr>
          <w:p w14:paraId="67ECC302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65.45 ± 0.10</w:t>
            </w:r>
          </w:p>
        </w:tc>
        <w:tc>
          <w:tcPr>
            <w:tcW w:w="2160" w:type="dxa"/>
          </w:tcPr>
          <w:p w14:paraId="01020F7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80.10 ± 0.48</w:t>
            </w:r>
          </w:p>
        </w:tc>
      </w:tr>
      <w:tr w:rsidR="00EF2036" w:rsidRPr="00EF2036" w14:paraId="0C5AEF59" w14:textId="77777777" w:rsidTr="00F9015E">
        <w:tc>
          <w:tcPr>
            <w:tcW w:w="2160" w:type="dxa"/>
          </w:tcPr>
          <w:p w14:paraId="10848C98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1:25</w:t>
            </w:r>
          </w:p>
        </w:tc>
        <w:tc>
          <w:tcPr>
            <w:tcW w:w="2160" w:type="dxa"/>
          </w:tcPr>
          <w:p w14:paraId="4812635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57.49 ± 0.47</w:t>
            </w:r>
          </w:p>
        </w:tc>
        <w:tc>
          <w:tcPr>
            <w:tcW w:w="2160" w:type="dxa"/>
          </w:tcPr>
          <w:p w14:paraId="047A867C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63.42 ± 0.13</w:t>
            </w:r>
          </w:p>
        </w:tc>
        <w:tc>
          <w:tcPr>
            <w:tcW w:w="2160" w:type="dxa"/>
          </w:tcPr>
          <w:p w14:paraId="6B85F027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77.96 ± 0.13</w:t>
            </w:r>
          </w:p>
        </w:tc>
      </w:tr>
      <w:tr w:rsidR="00EF2036" w:rsidRPr="00EF2036" w14:paraId="522823CF" w14:textId="77777777" w:rsidTr="00F9015E">
        <w:tc>
          <w:tcPr>
            <w:tcW w:w="2160" w:type="dxa"/>
          </w:tcPr>
          <w:p w14:paraId="327A5BEF" w14:textId="2CB28BDA" w:rsidR="00EF2036" w:rsidRPr="00EF2036" w:rsidRDefault="00EF2036" w:rsidP="00F9015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Tocilizumab(-TGN)</w:t>
            </w:r>
          </w:p>
        </w:tc>
        <w:tc>
          <w:tcPr>
            <w:tcW w:w="2160" w:type="dxa"/>
          </w:tcPr>
          <w:p w14:paraId="1B25B6A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0DD859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D5B49B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2036" w:rsidRPr="00EF2036" w14:paraId="2902106D" w14:textId="77777777" w:rsidTr="00F9015E">
        <w:tc>
          <w:tcPr>
            <w:tcW w:w="2160" w:type="dxa"/>
          </w:tcPr>
          <w:p w14:paraId="68F2A1B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</w:t>
            </w:r>
          </w:p>
        </w:tc>
        <w:tc>
          <w:tcPr>
            <w:tcW w:w="2160" w:type="dxa"/>
          </w:tcPr>
          <w:p w14:paraId="3F333B21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63.23 ± 0.08</w:t>
            </w:r>
          </w:p>
        </w:tc>
        <w:tc>
          <w:tcPr>
            <w:tcW w:w="2160" w:type="dxa"/>
          </w:tcPr>
          <w:p w14:paraId="2B7043AC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68.60 ± 0.11</w:t>
            </w:r>
          </w:p>
        </w:tc>
        <w:tc>
          <w:tcPr>
            <w:tcW w:w="2160" w:type="dxa"/>
          </w:tcPr>
          <w:p w14:paraId="0CE0D96E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80.24 ± 0.23</w:t>
            </w:r>
          </w:p>
        </w:tc>
      </w:tr>
      <w:tr w:rsidR="00EF2036" w:rsidRPr="00EF2036" w14:paraId="038621BA" w14:textId="77777777" w:rsidTr="00F9015E">
        <w:tc>
          <w:tcPr>
            <w:tcW w:w="2160" w:type="dxa"/>
          </w:tcPr>
          <w:p w14:paraId="4F3CF9A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1:1</w:t>
            </w:r>
          </w:p>
        </w:tc>
        <w:tc>
          <w:tcPr>
            <w:tcW w:w="2160" w:type="dxa"/>
          </w:tcPr>
          <w:p w14:paraId="7142E751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62.27 ± 0.29</w:t>
            </w:r>
          </w:p>
        </w:tc>
        <w:tc>
          <w:tcPr>
            <w:tcW w:w="2160" w:type="dxa"/>
          </w:tcPr>
          <w:p w14:paraId="2EB0F23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68.58 ± 0.06</w:t>
            </w:r>
          </w:p>
        </w:tc>
        <w:tc>
          <w:tcPr>
            <w:tcW w:w="2160" w:type="dxa"/>
          </w:tcPr>
          <w:p w14:paraId="5549992C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80.31 ± 0.15</w:t>
            </w:r>
          </w:p>
        </w:tc>
      </w:tr>
      <w:tr w:rsidR="00EF2036" w:rsidRPr="00EF2036" w14:paraId="4B450DC2" w14:textId="77777777" w:rsidTr="00F9015E">
        <w:tc>
          <w:tcPr>
            <w:tcW w:w="2160" w:type="dxa"/>
          </w:tcPr>
          <w:p w14:paraId="4BC88FE5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1:5</w:t>
            </w:r>
          </w:p>
        </w:tc>
        <w:tc>
          <w:tcPr>
            <w:tcW w:w="2160" w:type="dxa"/>
          </w:tcPr>
          <w:p w14:paraId="68452E4A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62.49 ± 0.61</w:t>
            </w:r>
          </w:p>
        </w:tc>
        <w:tc>
          <w:tcPr>
            <w:tcW w:w="2160" w:type="dxa"/>
          </w:tcPr>
          <w:p w14:paraId="410DAE84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68.36 ± 0.11</w:t>
            </w:r>
          </w:p>
        </w:tc>
        <w:tc>
          <w:tcPr>
            <w:tcW w:w="2160" w:type="dxa"/>
          </w:tcPr>
          <w:p w14:paraId="44ECCB6E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80.01 ± 0.11</w:t>
            </w:r>
          </w:p>
        </w:tc>
      </w:tr>
      <w:tr w:rsidR="00EF2036" w:rsidRPr="00EF2036" w14:paraId="6265F153" w14:textId="77777777" w:rsidTr="00F9015E">
        <w:tc>
          <w:tcPr>
            <w:tcW w:w="2160" w:type="dxa"/>
          </w:tcPr>
          <w:p w14:paraId="332D9A4D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1:10</w:t>
            </w:r>
          </w:p>
        </w:tc>
        <w:tc>
          <w:tcPr>
            <w:tcW w:w="2160" w:type="dxa"/>
          </w:tcPr>
          <w:p w14:paraId="7785591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61.61 ± 0.31</w:t>
            </w:r>
          </w:p>
        </w:tc>
        <w:tc>
          <w:tcPr>
            <w:tcW w:w="2160" w:type="dxa"/>
          </w:tcPr>
          <w:p w14:paraId="51B8588B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68.05 ± 0.06</w:t>
            </w:r>
          </w:p>
        </w:tc>
        <w:tc>
          <w:tcPr>
            <w:tcW w:w="2160" w:type="dxa"/>
          </w:tcPr>
          <w:p w14:paraId="2829B087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79.53 ± 0.07</w:t>
            </w:r>
          </w:p>
        </w:tc>
      </w:tr>
      <w:tr w:rsidR="00EF2036" w:rsidRPr="00EF2036" w14:paraId="44BE3BA6" w14:textId="77777777" w:rsidTr="00F9015E">
        <w:tc>
          <w:tcPr>
            <w:tcW w:w="2160" w:type="dxa"/>
          </w:tcPr>
          <w:p w14:paraId="7BE7E586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1:25</w:t>
            </w:r>
          </w:p>
        </w:tc>
        <w:tc>
          <w:tcPr>
            <w:tcW w:w="2160" w:type="dxa"/>
          </w:tcPr>
          <w:p w14:paraId="0A5D46DC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59.84 ± 0.49</w:t>
            </w:r>
          </w:p>
        </w:tc>
        <w:tc>
          <w:tcPr>
            <w:tcW w:w="2160" w:type="dxa"/>
          </w:tcPr>
          <w:p w14:paraId="37741F18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67.00 ± 0.03</w:t>
            </w:r>
          </w:p>
        </w:tc>
        <w:tc>
          <w:tcPr>
            <w:tcW w:w="2160" w:type="dxa"/>
          </w:tcPr>
          <w:p w14:paraId="7CD9A5E5" w14:textId="77777777" w:rsidR="00EF2036" w:rsidRPr="00EF2036" w:rsidRDefault="00EF2036" w:rsidP="00F9015E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78.23 ± 0.16</w:t>
            </w:r>
          </w:p>
        </w:tc>
      </w:tr>
      <w:tr w:rsidR="00592F0B" w:rsidRPr="00EF2036" w14:paraId="0EC8F027" w14:textId="77777777" w:rsidTr="00592F0B">
        <w:tc>
          <w:tcPr>
            <w:tcW w:w="2160" w:type="dxa"/>
          </w:tcPr>
          <w:p w14:paraId="3AA61412" w14:textId="77777777" w:rsidR="00592F0B" w:rsidRPr="00EF2036" w:rsidRDefault="00592F0B" w:rsidP="0090450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VHH_IL6(-TGN)</w:t>
            </w:r>
          </w:p>
        </w:tc>
        <w:tc>
          <w:tcPr>
            <w:tcW w:w="2160" w:type="dxa"/>
          </w:tcPr>
          <w:p w14:paraId="105CB6C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FDBD72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FD94F6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2CD9AA93" w14:textId="77777777" w:rsidTr="00592F0B">
        <w:tc>
          <w:tcPr>
            <w:tcW w:w="2160" w:type="dxa"/>
          </w:tcPr>
          <w:p w14:paraId="4DB1BCB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</w:t>
            </w:r>
          </w:p>
        </w:tc>
        <w:tc>
          <w:tcPr>
            <w:tcW w:w="2160" w:type="dxa"/>
          </w:tcPr>
          <w:p w14:paraId="36A0B8CE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50.83 ± 0.58</w:t>
            </w:r>
          </w:p>
        </w:tc>
        <w:tc>
          <w:tcPr>
            <w:tcW w:w="2160" w:type="dxa"/>
          </w:tcPr>
          <w:p w14:paraId="4EDE7CE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58.87 ± 0.24</w:t>
            </w:r>
          </w:p>
        </w:tc>
        <w:tc>
          <w:tcPr>
            <w:tcW w:w="2160" w:type="dxa"/>
          </w:tcPr>
          <w:p w14:paraId="486A30A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242D1AFA" w14:textId="77777777" w:rsidTr="00592F0B">
        <w:tc>
          <w:tcPr>
            <w:tcW w:w="2160" w:type="dxa"/>
          </w:tcPr>
          <w:p w14:paraId="3571817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1:1</w:t>
            </w:r>
          </w:p>
        </w:tc>
        <w:tc>
          <w:tcPr>
            <w:tcW w:w="2160" w:type="dxa"/>
          </w:tcPr>
          <w:p w14:paraId="5E7FED8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50.51 ± 1.01</w:t>
            </w:r>
          </w:p>
        </w:tc>
        <w:tc>
          <w:tcPr>
            <w:tcW w:w="2160" w:type="dxa"/>
          </w:tcPr>
          <w:p w14:paraId="6CC7F1D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58.62 ± 0.21</w:t>
            </w:r>
          </w:p>
        </w:tc>
        <w:tc>
          <w:tcPr>
            <w:tcW w:w="2160" w:type="dxa"/>
          </w:tcPr>
          <w:p w14:paraId="4D96905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0A254C57" w14:textId="77777777" w:rsidTr="00592F0B">
        <w:tc>
          <w:tcPr>
            <w:tcW w:w="2160" w:type="dxa"/>
          </w:tcPr>
          <w:p w14:paraId="71709E7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1:5</w:t>
            </w:r>
          </w:p>
        </w:tc>
        <w:tc>
          <w:tcPr>
            <w:tcW w:w="2160" w:type="dxa"/>
          </w:tcPr>
          <w:p w14:paraId="087C3D8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48.65 ± 0.48</w:t>
            </w:r>
          </w:p>
        </w:tc>
        <w:tc>
          <w:tcPr>
            <w:tcW w:w="2160" w:type="dxa"/>
          </w:tcPr>
          <w:p w14:paraId="21515F7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58.03 ± 0.27</w:t>
            </w:r>
          </w:p>
        </w:tc>
        <w:tc>
          <w:tcPr>
            <w:tcW w:w="2160" w:type="dxa"/>
          </w:tcPr>
          <w:p w14:paraId="49C79ED6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26275C3D" w14:textId="77777777" w:rsidTr="00592F0B">
        <w:tc>
          <w:tcPr>
            <w:tcW w:w="2160" w:type="dxa"/>
          </w:tcPr>
          <w:p w14:paraId="53EE5BDA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1:10</w:t>
            </w:r>
          </w:p>
        </w:tc>
        <w:tc>
          <w:tcPr>
            <w:tcW w:w="2160" w:type="dxa"/>
          </w:tcPr>
          <w:p w14:paraId="7A46A78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45.27 ± 2.10</w:t>
            </w:r>
          </w:p>
        </w:tc>
        <w:tc>
          <w:tcPr>
            <w:tcW w:w="2160" w:type="dxa"/>
          </w:tcPr>
          <w:p w14:paraId="03954D5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56.85 ± 0.39</w:t>
            </w:r>
          </w:p>
        </w:tc>
        <w:tc>
          <w:tcPr>
            <w:tcW w:w="2160" w:type="dxa"/>
          </w:tcPr>
          <w:p w14:paraId="11C3F8AA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13783E3B" w14:textId="77777777" w:rsidTr="00592F0B">
        <w:tc>
          <w:tcPr>
            <w:tcW w:w="2160" w:type="dxa"/>
          </w:tcPr>
          <w:p w14:paraId="2EE488EB" w14:textId="77777777" w:rsidR="00592F0B" w:rsidRPr="00EF2036" w:rsidRDefault="00592F0B" w:rsidP="0090450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sIL6R(-TGN)</w:t>
            </w:r>
          </w:p>
        </w:tc>
        <w:tc>
          <w:tcPr>
            <w:tcW w:w="2160" w:type="dxa"/>
          </w:tcPr>
          <w:p w14:paraId="10655D5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1BBA8E6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EF5B6F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22EC8277" w14:textId="77777777" w:rsidTr="00592F0B">
        <w:tc>
          <w:tcPr>
            <w:tcW w:w="2160" w:type="dxa"/>
          </w:tcPr>
          <w:p w14:paraId="06F8088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</w:t>
            </w:r>
          </w:p>
        </w:tc>
        <w:tc>
          <w:tcPr>
            <w:tcW w:w="2160" w:type="dxa"/>
          </w:tcPr>
          <w:p w14:paraId="746B9ACC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44.05 ± 0.79</w:t>
            </w:r>
          </w:p>
        </w:tc>
        <w:tc>
          <w:tcPr>
            <w:tcW w:w="2160" w:type="dxa"/>
          </w:tcPr>
          <w:p w14:paraId="5F1E850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50.95 ± 0.19</w:t>
            </w:r>
          </w:p>
        </w:tc>
        <w:tc>
          <w:tcPr>
            <w:tcW w:w="2160" w:type="dxa"/>
          </w:tcPr>
          <w:p w14:paraId="30E3818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73F7395A" w14:textId="77777777" w:rsidTr="00592F0B">
        <w:tc>
          <w:tcPr>
            <w:tcW w:w="2160" w:type="dxa"/>
          </w:tcPr>
          <w:p w14:paraId="6655DD1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1:1</w:t>
            </w:r>
          </w:p>
        </w:tc>
        <w:tc>
          <w:tcPr>
            <w:tcW w:w="2160" w:type="dxa"/>
          </w:tcPr>
          <w:p w14:paraId="070F3DE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44.25 ± 0.90</w:t>
            </w:r>
          </w:p>
        </w:tc>
        <w:tc>
          <w:tcPr>
            <w:tcW w:w="2160" w:type="dxa"/>
          </w:tcPr>
          <w:p w14:paraId="6EC6A77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51.11 ± 0.14</w:t>
            </w:r>
          </w:p>
        </w:tc>
        <w:tc>
          <w:tcPr>
            <w:tcW w:w="2160" w:type="dxa"/>
          </w:tcPr>
          <w:p w14:paraId="5614B88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073BF092" w14:textId="77777777" w:rsidTr="00592F0B">
        <w:tc>
          <w:tcPr>
            <w:tcW w:w="2160" w:type="dxa"/>
          </w:tcPr>
          <w:p w14:paraId="6E6021A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1:5</w:t>
            </w:r>
          </w:p>
        </w:tc>
        <w:tc>
          <w:tcPr>
            <w:tcW w:w="2160" w:type="dxa"/>
          </w:tcPr>
          <w:p w14:paraId="78F75270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44.25 ± 0.26</w:t>
            </w:r>
          </w:p>
        </w:tc>
        <w:tc>
          <w:tcPr>
            <w:tcW w:w="2160" w:type="dxa"/>
          </w:tcPr>
          <w:p w14:paraId="4322860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51.81 ± 0.20</w:t>
            </w:r>
          </w:p>
        </w:tc>
        <w:tc>
          <w:tcPr>
            <w:tcW w:w="2160" w:type="dxa"/>
          </w:tcPr>
          <w:p w14:paraId="1E7B9CD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09A7277E" w14:textId="77777777" w:rsidTr="00592F0B">
        <w:tc>
          <w:tcPr>
            <w:tcW w:w="2160" w:type="dxa"/>
          </w:tcPr>
          <w:p w14:paraId="2188C11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1:10</w:t>
            </w:r>
          </w:p>
        </w:tc>
        <w:tc>
          <w:tcPr>
            <w:tcW w:w="2160" w:type="dxa"/>
          </w:tcPr>
          <w:p w14:paraId="1663939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43.90 ± 0.81</w:t>
            </w:r>
          </w:p>
        </w:tc>
        <w:tc>
          <w:tcPr>
            <w:tcW w:w="2160" w:type="dxa"/>
          </w:tcPr>
          <w:p w14:paraId="0521458C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51.97 ± 0.15</w:t>
            </w:r>
          </w:p>
        </w:tc>
        <w:tc>
          <w:tcPr>
            <w:tcW w:w="2160" w:type="dxa"/>
          </w:tcPr>
          <w:p w14:paraId="6875C8D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78085526" w14:textId="77777777" w:rsidTr="00592F0B">
        <w:tc>
          <w:tcPr>
            <w:tcW w:w="2160" w:type="dxa"/>
          </w:tcPr>
          <w:p w14:paraId="6CA2CD8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1:25</w:t>
            </w:r>
          </w:p>
        </w:tc>
        <w:tc>
          <w:tcPr>
            <w:tcW w:w="2160" w:type="dxa"/>
          </w:tcPr>
          <w:p w14:paraId="3CB2F20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42.67 ± 2.27</w:t>
            </w:r>
          </w:p>
        </w:tc>
        <w:tc>
          <w:tcPr>
            <w:tcW w:w="2160" w:type="dxa"/>
          </w:tcPr>
          <w:p w14:paraId="37FBF5D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51.27 ± 0.15</w:t>
            </w:r>
          </w:p>
        </w:tc>
        <w:tc>
          <w:tcPr>
            <w:tcW w:w="2160" w:type="dxa"/>
          </w:tcPr>
          <w:p w14:paraId="5813509C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ACC9BDF" w14:textId="11538027" w:rsidR="00EF2036" w:rsidRPr="00EF2036" w:rsidRDefault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</w:p>
    <w:p w14:paraId="0DD8C118" w14:textId="77777777" w:rsidR="00EF2036" w:rsidRDefault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  <w: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br w:type="page"/>
      </w:r>
    </w:p>
    <w:p w14:paraId="1ECCE313" w14:textId="71C90B44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  <w:r w:rsidRPr="00EF2036"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lastRenderedPageBreak/>
        <w:t xml:space="preserve">Supplementary Table </w:t>
      </w:r>
      <w: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t>2</w:t>
      </w:r>
      <w:r w:rsidRPr="00EF2036"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t>: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</w:t>
      </w:r>
      <w:r w:rsidR="007B4E74" w:rsidRPr="007B4E74">
        <w:rPr>
          <w:rFonts w:ascii="Calibri" w:hAnsi="Calibri"/>
          <w:b/>
          <w:color w:val="000000" w:themeColor="text1"/>
          <w:sz w:val="20"/>
          <w:szCs w:val="20"/>
          <w:lang w:val="en-US"/>
        </w:rPr>
        <w:t>Kinetic parameters of BioDeg variants</w:t>
      </w:r>
      <w:r w:rsidR="007B4E74" w:rsidRPr="007B4E74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determined by SPR for binding to IL-6 and IL-6R. The table provides an overview of association (k</w:t>
      </w:r>
      <w:r w:rsidR="007B4E74" w:rsidRPr="007B4E74">
        <w:rPr>
          <w:rFonts w:ascii="Calibri" w:hAnsi="Calibri"/>
          <w:color w:val="000000" w:themeColor="text1"/>
          <w:sz w:val="20"/>
          <w:szCs w:val="20"/>
          <w:vertAlign w:val="subscript"/>
          <w:lang w:val="en-US"/>
        </w:rPr>
        <w:t>on</w:t>
      </w:r>
      <w:r w:rsidR="007B4E74" w:rsidRPr="007B4E74">
        <w:rPr>
          <w:rFonts w:ascii="Calibri" w:hAnsi="Calibri"/>
          <w:color w:val="000000" w:themeColor="text1"/>
          <w:sz w:val="20"/>
          <w:szCs w:val="20"/>
          <w:lang w:val="en-US"/>
        </w:rPr>
        <w:t>) and dissociation (k</w:t>
      </w:r>
      <w:r w:rsidR="007B4E74" w:rsidRPr="007B4E74">
        <w:rPr>
          <w:rFonts w:ascii="Calibri" w:hAnsi="Calibri"/>
          <w:color w:val="000000" w:themeColor="text1"/>
          <w:sz w:val="20"/>
          <w:szCs w:val="20"/>
          <w:vertAlign w:val="subscript"/>
          <w:lang w:val="en-US"/>
        </w:rPr>
        <w:t>off</w:t>
      </w:r>
      <w:r w:rsidR="007B4E74" w:rsidRPr="007B4E74">
        <w:rPr>
          <w:rFonts w:ascii="Calibri" w:hAnsi="Calibri"/>
          <w:color w:val="000000" w:themeColor="text1"/>
          <w:sz w:val="20"/>
          <w:szCs w:val="20"/>
          <w:lang w:val="en-US"/>
        </w:rPr>
        <w:t>) rate constants as well as binding affinities (K</w:t>
      </w:r>
      <w:r w:rsidR="007B4E74" w:rsidRPr="007B4E74">
        <w:rPr>
          <w:rFonts w:ascii="Calibri" w:hAnsi="Calibri"/>
          <w:color w:val="000000" w:themeColor="text1"/>
          <w:sz w:val="20"/>
          <w:szCs w:val="20"/>
          <w:vertAlign w:val="subscript"/>
          <w:lang w:val="en-US"/>
        </w:rPr>
        <w:t>D</w:t>
      </w:r>
      <w:r w:rsidR="007B4E74" w:rsidRPr="007B4E74">
        <w:rPr>
          <w:rFonts w:ascii="Calibri" w:hAnsi="Calibri"/>
          <w:color w:val="000000" w:themeColor="text1"/>
          <w:sz w:val="20"/>
          <w:szCs w:val="20"/>
          <w:lang w:val="en-US"/>
        </w:rPr>
        <w:t>). Additionally, quality metrics for the 1:1 binding model are listed, including transport correction (tc)</w:t>
      </w:r>
      <w:r w:rsidR="002E1AAC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and</w:t>
      </w:r>
      <w:r w:rsidR="007B4E74" w:rsidRPr="007B4E74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Chi² (goodness of fit between model and sensorgram data. IL-6 and IL-6R were immobilized on a CM5 sensor chip via amine coupling. Analytes were injected using a multi-cycle kinetic format. Measurements were performed on a Biacore T200 using the corresponding evaluation software.</w:t>
      </w:r>
    </w:p>
    <w:p w14:paraId="353006FA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4"/>
        <w:gridCol w:w="1231"/>
        <w:gridCol w:w="1384"/>
        <w:gridCol w:w="1336"/>
        <w:gridCol w:w="1194"/>
        <w:gridCol w:w="1194"/>
      </w:tblGrid>
      <w:tr w:rsidR="0076424C" w:rsidRPr="00EF2036" w14:paraId="5D64DD50" w14:textId="6A4C5F0D" w:rsidTr="0076424C">
        <w:trPr>
          <w:trHeight w:val="249"/>
        </w:trPr>
        <w:tc>
          <w:tcPr>
            <w:tcW w:w="2304" w:type="dxa"/>
          </w:tcPr>
          <w:p w14:paraId="0E886BB5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31" w:type="dxa"/>
          </w:tcPr>
          <w:p w14:paraId="2298ABCA" w14:textId="3CFB880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kₒₙ [1/Ms]</w:t>
            </w:r>
          </w:p>
        </w:tc>
        <w:tc>
          <w:tcPr>
            <w:tcW w:w="1384" w:type="dxa"/>
          </w:tcPr>
          <w:p w14:paraId="56031E3A" w14:textId="1C0627A1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k</w:t>
            </w:r>
            <w:r w:rsidRPr="00EF2036">
              <w:rPr>
                <w:rFonts w:ascii="Calibri" w:hAnsi="Calibri" w:cs="Calibri"/>
                <w:sz w:val="20"/>
                <w:szCs w:val="20"/>
                <w:vertAlign w:val="subscript"/>
              </w:rPr>
              <w:t>off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[1/s]</w:t>
            </w:r>
          </w:p>
        </w:tc>
        <w:tc>
          <w:tcPr>
            <w:tcW w:w="1336" w:type="dxa"/>
          </w:tcPr>
          <w:p w14:paraId="50AB799A" w14:textId="131CA010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K</w:t>
            </w:r>
            <w:r>
              <w:rPr>
                <w:rFonts w:ascii="Calibri" w:hAnsi="Calibri" w:cs="Calibri"/>
                <w:sz w:val="20"/>
                <w:szCs w:val="20"/>
                <w:vertAlign w:val="subscript"/>
              </w:rPr>
              <w:t>D</w:t>
            </w:r>
          </w:p>
        </w:tc>
        <w:tc>
          <w:tcPr>
            <w:tcW w:w="1194" w:type="dxa"/>
          </w:tcPr>
          <w:p w14:paraId="6F27C88D" w14:textId="09B8E4BD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tc</w:t>
            </w:r>
          </w:p>
        </w:tc>
        <w:tc>
          <w:tcPr>
            <w:tcW w:w="1194" w:type="dxa"/>
          </w:tcPr>
          <w:p w14:paraId="4F3A30A5" w14:textId="152BD74B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Chi² [RU²]</w:t>
            </w:r>
          </w:p>
        </w:tc>
      </w:tr>
      <w:tr w:rsidR="0076424C" w:rsidRPr="00EF2036" w14:paraId="747A3D20" w14:textId="5BB30FAC" w:rsidTr="0076424C">
        <w:trPr>
          <w:trHeight w:val="249"/>
        </w:trPr>
        <w:tc>
          <w:tcPr>
            <w:tcW w:w="2304" w:type="dxa"/>
          </w:tcPr>
          <w:p w14:paraId="018B3423" w14:textId="77777777" w:rsidR="0076424C" w:rsidRPr="00EF2036" w:rsidRDefault="0076424C" w:rsidP="00EF203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 xml:space="preserve">Siltuximab(-TGN) </w:t>
            </w:r>
          </w:p>
        </w:tc>
        <w:tc>
          <w:tcPr>
            <w:tcW w:w="1231" w:type="dxa"/>
          </w:tcPr>
          <w:p w14:paraId="545BCFAC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4" w:type="dxa"/>
          </w:tcPr>
          <w:p w14:paraId="613AD2B9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8B2F553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645E6B91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08B6DF52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6424C" w:rsidRPr="00EF2036" w14:paraId="29AFE0BE" w14:textId="1800D804" w:rsidTr="0076424C">
        <w:trPr>
          <w:trHeight w:val="261"/>
        </w:trPr>
        <w:tc>
          <w:tcPr>
            <w:tcW w:w="2304" w:type="dxa"/>
          </w:tcPr>
          <w:p w14:paraId="1087FBE0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</w:t>
            </w:r>
          </w:p>
        </w:tc>
        <w:tc>
          <w:tcPr>
            <w:tcW w:w="1231" w:type="dxa"/>
          </w:tcPr>
          <w:p w14:paraId="4BD66E9B" w14:textId="24A179CD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4.45 x 10⁵</w:t>
            </w:r>
          </w:p>
        </w:tc>
        <w:tc>
          <w:tcPr>
            <w:tcW w:w="1384" w:type="dxa"/>
          </w:tcPr>
          <w:p w14:paraId="7C5E0CEB" w14:textId="2C5D974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3F2280B1" w14:textId="1D81F6B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22 pM</w:t>
            </w:r>
          </w:p>
        </w:tc>
        <w:tc>
          <w:tcPr>
            <w:tcW w:w="1194" w:type="dxa"/>
          </w:tcPr>
          <w:p w14:paraId="73CE9DD5" w14:textId="1DE33FA6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7.65 x 10¹⁴</w:t>
            </w:r>
          </w:p>
        </w:tc>
        <w:tc>
          <w:tcPr>
            <w:tcW w:w="1194" w:type="dxa"/>
          </w:tcPr>
          <w:p w14:paraId="626CF3D5" w14:textId="320D835F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0.58</w:t>
            </w:r>
          </w:p>
        </w:tc>
      </w:tr>
      <w:tr w:rsidR="0076424C" w:rsidRPr="00EF2036" w14:paraId="5D72FD95" w14:textId="08912E96" w:rsidTr="0076424C">
        <w:trPr>
          <w:trHeight w:val="249"/>
        </w:trPr>
        <w:tc>
          <w:tcPr>
            <w:tcW w:w="2304" w:type="dxa"/>
          </w:tcPr>
          <w:p w14:paraId="5B4D95B7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1:1</w:t>
            </w:r>
          </w:p>
        </w:tc>
        <w:tc>
          <w:tcPr>
            <w:tcW w:w="1231" w:type="dxa"/>
          </w:tcPr>
          <w:p w14:paraId="4A756C44" w14:textId="46296F92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5.22 x 10⁵</w:t>
            </w:r>
          </w:p>
        </w:tc>
        <w:tc>
          <w:tcPr>
            <w:tcW w:w="1384" w:type="dxa"/>
          </w:tcPr>
          <w:p w14:paraId="15C73DEE" w14:textId="1E19B472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179F830B" w14:textId="4AFC1EE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19 pM</w:t>
            </w:r>
          </w:p>
        </w:tc>
        <w:tc>
          <w:tcPr>
            <w:tcW w:w="1194" w:type="dxa"/>
          </w:tcPr>
          <w:p w14:paraId="3FFFE3DF" w14:textId="453A063E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1.52 x 10¹⁰</w:t>
            </w:r>
          </w:p>
        </w:tc>
        <w:tc>
          <w:tcPr>
            <w:tcW w:w="1194" w:type="dxa"/>
          </w:tcPr>
          <w:p w14:paraId="265A118F" w14:textId="5E0E4433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1.75</w:t>
            </w:r>
          </w:p>
        </w:tc>
      </w:tr>
      <w:tr w:rsidR="0076424C" w:rsidRPr="00EF2036" w14:paraId="72832DA6" w14:textId="68E5866C" w:rsidTr="0076424C">
        <w:trPr>
          <w:trHeight w:val="249"/>
        </w:trPr>
        <w:tc>
          <w:tcPr>
            <w:tcW w:w="2304" w:type="dxa"/>
          </w:tcPr>
          <w:p w14:paraId="1F772D00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1:5</w:t>
            </w:r>
          </w:p>
        </w:tc>
        <w:tc>
          <w:tcPr>
            <w:tcW w:w="1231" w:type="dxa"/>
          </w:tcPr>
          <w:p w14:paraId="3A0613BF" w14:textId="2C1D4918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3.75 x 10⁵</w:t>
            </w:r>
          </w:p>
        </w:tc>
        <w:tc>
          <w:tcPr>
            <w:tcW w:w="1384" w:type="dxa"/>
          </w:tcPr>
          <w:p w14:paraId="16304973" w14:textId="19D11BCA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557E8A0E" w14:textId="2577D771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27 pM</w:t>
            </w:r>
          </w:p>
        </w:tc>
        <w:tc>
          <w:tcPr>
            <w:tcW w:w="1194" w:type="dxa"/>
          </w:tcPr>
          <w:p w14:paraId="6251F7D2" w14:textId="0190CB0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8.61 x 10¹⁰</w:t>
            </w:r>
          </w:p>
        </w:tc>
        <w:tc>
          <w:tcPr>
            <w:tcW w:w="1194" w:type="dxa"/>
          </w:tcPr>
          <w:p w14:paraId="51D2DB96" w14:textId="2AC91E70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0.33</w:t>
            </w:r>
          </w:p>
        </w:tc>
      </w:tr>
      <w:tr w:rsidR="0076424C" w:rsidRPr="00EF2036" w14:paraId="5DFC9F8A" w14:textId="0FE7D0A0" w:rsidTr="0076424C">
        <w:trPr>
          <w:trHeight w:val="249"/>
        </w:trPr>
        <w:tc>
          <w:tcPr>
            <w:tcW w:w="2304" w:type="dxa"/>
          </w:tcPr>
          <w:p w14:paraId="2D7B2F18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1:10</w:t>
            </w:r>
          </w:p>
        </w:tc>
        <w:tc>
          <w:tcPr>
            <w:tcW w:w="1231" w:type="dxa"/>
          </w:tcPr>
          <w:p w14:paraId="69CA73DF" w14:textId="6AF1057B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2.78 x 10⁵</w:t>
            </w:r>
          </w:p>
        </w:tc>
        <w:tc>
          <w:tcPr>
            <w:tcW w:w="1384" w:type="dxa"/>
          </w:tcPr>
          <w:p w14:paraId="16CC2F25" w14:textId="3EA8A994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32395EF5" w14:textId="7A161116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36 pM</w:t>
            </w:r>
          </w:p>
        </w:tc>
        <w:tc>
          <w:tcPr>
            <w:tcW w:w="1194" w:type="dxa"/>
          </w:tcPr>
          <w:p w14:paraId="0EFEC64A" w14:textId="3B9A7839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7.76 x 10⁹</w:t>
            </w:r>
          </w:p>
        </w:tc>
        <w:tc>
          <w:tcPr>
            <w:tcW w:w="1194" w:type="dxa"/>
          </w:tcPr>
          <w:p w14:paraId="080AFE5E" w14:textId="3002E6AB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0.05</w:t>
            </w:r>
          </w:p>
        </w:tc>
      </w:tr>
      <w:tr w:rsidR="0076424C" w:rsidRPr="00EF2036" w14:paraId="212C9313" w14:textId="3E1567D2" w:rsidTr="0076424C">
        <w:trPr>
          <w:trHeight w:val="249"/>
        </w:trPr>
        <w:tc>
          <w:tcPr>
            <w:tcW w:w="2304" w:type="dxa"/>
          </w:tcPr>
          <w:p w14:paraId="3F81565C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Siltuximab-TGN 1:25</w:t>
            </w:r>
          </w:p>
        </w:tc>
        <w:tc>
          <w:tcPr>
            <w:tcW w:w="1231" w:type="dxa"/>
          </w:tcPr>
          <w:p w14:paraId="5FDAF078" w14:textId="0FE20F34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2.21 x 10⁵</w:t>
            </w:r>
          </w:p>
        </w:tc>
        <w:tc>
          <w:tcPr>
            <w:tcW w:w="1384" w:type="dxa"/>
          </w:tcPr>
          <w:p w14:paraId="6D481EC2" w14:textId="0E60ABD4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02D0D94A" w14:textId="50E0929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45 pM</w:t>
            </w:r>
          </w:p>
        </w:tc>
        <w:tc>
          <w:tcPr>
            <w:tcW w:w="1194" w:type="dxa"/>
          </w:tcPr>
          <w:p w14:paraId="15485832" w14:textId="5264484D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1.65 x 10¹⁰</w:t>
            </w:r>
          </w:p>
        </w:tc>
        <w:tc>
          <w:tcPr>
            <w:tcW w:w="1194" w:type="dxa"/>
          </w:tcPr>
          <w:p w14:paraId="606401B2" w14:textId="6C369A92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0.01</w:t>
            </w:r>
          </w:p>
        </w:tc>
      </w:tr>
      <w:tr w:rsidR="0076424C" w:rsidRPr="00EF2036" w14:paraId="01257281" w14:textId="7916672B" w:rsidTr="0076424C">
        <w:trPr>
          <w:trHeight w:val="249"/>
        </w:trPr>
        <w:tc>
          <w:tcPr>
            <w:tcW w:w="2304" w:type="dxa"/>
          </w:tcPr>
          <w:p w14:paraId="67B58C1D" w14:textId="77777777" w:rsidR="0076424C" w:rsidRPr="00EF2036" w:rsidRDefault="0076424C" w:rsidP="00EF203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Tocilizumab(-TGN)</w:t>
            </w:r>
          </w:p>
        </w:tc>
        <w:tc>
          <w:tcPr>
            <w:tcW w:w="1231" w:type="dxa"/>
          </w:tcPr>
          <w:p w14:paraId="3ACD19D7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4" w:type="dxa"/>
          </w:tcPr>
          <w:p w14:paraId="696516C2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6626FF85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308AFB58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5AF7A408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6424C" w:rsidRPr="00EF2036" w14:paraId="3B3E3426" w14:textId="4A7BF2C6" w:rsidTr="0076424C">
        <w:trPr>
          <w:trHeight w:val="261"/>
        </w:trPr>
        <w:tc>
          <w:tcPr>
            <w:tcW w:w="2304" w:type="dxa"/>
          </w:tcPr>
          <w:p w14:paraId="14A66288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</w:t>
            </w:r>
          </w:p>
        </w:tc>
        <w:tc>
          <w:tcPr>
            <w:tcW w:w="1231" w:type="dxa"/>
          </w:tcPr>
          <w:p w14:paraId="4E1EC091" w14:textId="61131EA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2.65 x 10⁵</w:t>
            </w:r>
          </w:p>
        </w:tc>
        <w:tc>
          <w:tcPr>
            <w:tcW w:w="1384" w:type="dxa"/>
          </w:tcPr>
          <w:p w14:paraId="0CCE52C2" w14:textId="6FAFFA48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1.80 x 10⁻⁵</w:t>
            </w:r>
          </w:p>
        </w:tc>
        <w:tc>
          <w:tcPr>
            <w:tcW w:w="1336" w:type="dxa"/>
          </w:tcPr>
          <w:p w14:paraId="624990A0" w14:textId="1AAF673E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68 pM</w:t>
            </w:r>
          </w:p>
        </w:tc>
        <w:tc>
          <w:tcPr>
            <w:tcW w:w="1194" w:type="dxa"/>
          </w:tcPr>
          <w:p w14:paraId="4A857B7D" w14:textId="56188818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3.31 x 10¹⁴</w:t>
            </w:r>
          </w:p>
        </w:tc>
        <w:tc>
          <w:tcPr>
            <w:tcW w:w="1194" w:type="dxa"/>
          </w:tcPr>
          <w:p w14:paraId="21C34EBC" w14:textId="0629E101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0.05</w:t>
            </w:r>
          </w:p>
        </w:tc>
      </w:tr>
      <w:tr w:rsidR="0076424C" w:rsidRPr="00EF2036" w14:paraId="17771877" w14:textId="560A9694" w:rsidTr="0076424C">
        <w:trPr>
          <w:trHeight w:val="249"/>
        </w:trPr>
        <w:tc>
          <w:tcPr>
            <w:tcW w:w="2304" w:type="dxa"/>
          </w:tcPr>
          <w:p w14:paraId="5C637077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1:1</w:t>
            </w:r>
          </w:p>
        </w:tc>
        <w:tc>
          <w:tcPr>
            <w:tcW w:w="1231" w:type="dxa"/>
          </w:tcPr>
          <w:p w14:paraId="6DDE7D30" w14:textId="1B3E29D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2.63 x 10⁵</w:t>
            </w:r>
          </w:p>
        </w:tc>
        <w:tc>
          <w:tcPr>
            <w:tcW w:w="1384" w:type="dxa"/>
          </w:tcPr>
          <w:p w14:paraId="0B75933A" w14:textId="7D2E891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10⁻⁵</w:t>
            </w:r>
          </w:p>
        </w:tc>
        <w:tc>
          <w:tcPr>
            <w:tcW w:w="1336" w:type="dxa"/>
          </w:tcPr>
          <w:p w14:paraId="389DC40E" w14:textId="322DF401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&lt; 38 pM</w:t>
            </w:r>
          </w:p>
        </w:tc>
        <w:tc>
          <w:tcPr>
            <w:tcW w:w="1194" w:type="dxa"/>
          </w:tcPr>
          <w:p w14:paraId="7991F9AF" w14:textId="27F6A1A8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5.33 x 10¹²</w:t>
            </w:r>
          </w:p>
        </w:tc>
        <w:tc>
          <w:tcPr>
            <w:tcW w:w="1194" w:type="dxa"/>
          </w:tcPr>
          <w:p w14:paraId="6F5C3AFA" w14:textId="3BA474F6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0.13</w:t>
            </w:r>
          </w:p>
        </w:tc>
      </w:tr>
      <w:tr w:rsidR="0076424C" w:rsidRPr="00EF2036" w14:paraId="243E9979" w14:textId="76C0F144" w:rsidTr="0076424C">
        <w:trPr>
          <w:trHeight w:val="249"/>
        </w:trPr>
        <w:tc>
          <w:tcPr>
            <w:tcW w:w="2304" w:type="dxa"/>
          </w:tcPr>
          <w:p w14:paraId="4EF25CBB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1:5</w:t>
            </w:r>
          </w:p>
        </w:tc>
        <w:tc>
          <w:tcPr>
            <w:tcW w:w="1231" w:type="dxa"/>
          </w:tcPr>
          <w:p w14:paraId="42DC410F" w14:textId="1BE4AE9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2.52 x 10⁵</w:t>
            </w:r>
          </w:p>
        </w:tc>
        <w:tc>
          <w:tcPr>
            <w:tcW w:w="1384" w:type="dxa"/>
          </w:tcPr>
          <w:p w14:paraId="16B8AF19" w14:textId="5E95CC12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2.36 x 10⁻⁵</w:t>
            </w:r>
          </w:p>
        </w:tc>
        <w:tc>
          <w:tcPr>
            <w:tcW w:w="1336" w:type="dxa"/>
          </w:tcPr>
          <w:p w14:paraId="462212F8" w14:textId="50716400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93 pM</w:t>
            </w:r>
          </w:p>
        </w:tc>
        <w:tc>
          <w:tcPr>
            <w:tcW w:w="1194" w:type="dxa"/>
          </w:tcPr>
          <w:p w14:paraId="4C1245DD" w14:textId="291639E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2.32 x 10¹⁴</w:t>
            </w:r>
          </w:p>
        </w:tc>
        <w:tc>
          <w:tcPr>
            <w:tcW w:w="1194" w:type="dxa"/>
          </w:tcPr>
          <w:p w14:paraId="462BBE38" w14:textId="54B82DF4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0.07</w:t>
            </w:r>
          </w:p>
        </w:tc>
      </w:tr>
      <w:tr w:rsidR="0076424C" w:rsidRPr="00EF2036" w14:paraId="10771EDD" w14:textId="604ED43C" w:rsidTr="0076424C">
        <w:trPr>
          <w:trHeight w:val="249"/>
        </w:trPr>
        <w:tc>
          <w:tcPr>
            <w:tcW w:w="2304" w:type="dxa"/>
          </w:tcPr>
          <w:p w14:paraId="10928795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1:10</w:t>
            </w:r>
          </w:p>
        </w:tc>
        <w:tc>
          <w:tcPr>
            <w:tcW w:w="1231" w:type="dxa"/>
          </w:tcPr>
          <w:p w14:paraId="606823B0" w14:textId="1168AEA3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2.35 x 10⁵</w:t>
            </w:r>
          </w:p>
        </w:tc>
        <w:tc>
          <w:tcPr>
            <w:tcW w:w="1384" w:type="dxa"/>
          </w:tcPr>
          <w:p w14:paraId="162DF87F" w14:textId="40FC0B1C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4.98 x 10⁻⁵</w:t>
            </w:r>
          </w:p>
        </w:tc>
        <w:tc>
          <w:tcPr>
            <w:tcW w:w="1336" w:type="dxa"/>
          </w:tcPr>
          <w:p w14:paraId="7CA2E6A4" w14:textId="46DC45D5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212 pM</w:t>
            </w:r>
          </w:p>
        </w:tc>
        <w:tc>
          <w:tcPr>
            <w:tcW w:w="1194" w:type="dxa"/>
          </w:tcPr>
          <w:p w14:paraId="023F46E2" w14:textId="0B6FCAFB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2.48 x 10¹⁴</w:t>
            </w:r>
          </w:p>
        </w:tc>
        <w:tc>
          <w:tcPr>
            <w:tcW w:w="1194" w:type="dxa"/>
          </w:tcPr>
          <w:p w14:paraId="4004E095" w14:textId="5ACAC76A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0.04</w:t>
            </w:r>
          </w:p>
        </w:tc>
      </w:tr>
      <w:tr w:rsidR="0076424C" w:rsidRPr="00EF2036" w14:paraId="4ED0E9CF" w14:textId="30ED39C5" w:rsidTr="0076424C">
        <w:trPr>
          <w:trHeight w:val="249"/>
        </w:trPr>
        <w:tc>
          <w:tcPr>
            <w:tcW w:w="2304" w:type="dxa"/>
          </w:tcPr>
          <w:p w14:paraId="44E7AC5F" w14:textId="77777777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Tocilizumab-TGN 1:25</w:t>
            </w:r>
          </w:p>
        </w:tc>
        <w:tc>
          <w:tcPr>
            <w:tcW w:w="1231" w:type="dxa"/>
          </w:tcPr>
          <w:p w14:paraId="06CC992C" w14:textId="36948911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1.91 x 10⁵</w:t>
            </w:r>
          </w:p>
        </w:tc>
        <w:tc>
          <w:tcPr>
            <w:tcW w:w="1384" w:type="dxa"/>
          </w:tcPr>
          <w:p w14:paraId="721CEC99" w14:textId="74BBDC8B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6.26 x 10⁻⁵</w:t>
            </w:r>
          </w:p>
        </w:tc>
        <w:tc>
          <w:tcPr>
            <w:tcW w:w="1336" w:type="dxa"/>
          </w:tcPr>
          <w:p w14:paraId="5AAD8B96" w14:textId="772BF7E9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328 pM</w:t>
            </w:r>
          </w:p>
        </w:tc>
        <w:tc>
          <w:tcPr>
            <w:tcW w:w="1194" w:type="dxa"/>
          </w:tcPr>
          <w:p w14:paraId="1A3193F5" w14:textId="6CD2A878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1.39 x 10¹⁴</w:t>
            </w:r>
          </w:p>
        </w:tc>
        <w:tc>
          <w:tcPr>
            <w:tcW w:w="1194" w:type="dxa"/>
          </w:tcPr>
          <w:p w14:paraId="2A5471DE" w14:textId="6895E320" w:rsidR="0076424C" w:rsidRPr="00EF2036" w:rsidRDefault="0076424C" w:rsidP="00EF2036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0.05</w:t>
            </w:r>
          </w:p>
        </w:tc>
      </w:tr>
      <w:tr w:rsidR="00592F0B" w:rsidRPr="00EF2036" w14:paraId="31D6995E" w14:textId="77777777" w:rsidTr="00592F0B">
        <w:trPr>
          <w:trHeight w:val="249"/>
        </w:trPr>
        <w:tc>
          <w:tcPr>
            <w:tcW w:w="2304" w:type="dxa"/>
          </w:tcPr>
          <w:p w14:paraId="2745D262" w14:textId="77777777" w:rsidR="00592F0B" w:rsidRPr="00EF2036" w:rsidRDefault="00592F0B" w:rsidP="0090450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VHH_IL6(-TGN)</w:t>
            </w:r>
          </w:p>
        </w:tc>
        <w:tc>
          <w:tcPr>
            <w:tcW w:w="1231" w:type="dxa"/>
          </w:tcPr>
          <w:p w14:paraId="3CA4D2D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4" w:type="dxa"/>
          </w:tcPr>
          <w:p w14:paraId="1A3968C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774AE7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4256232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7D90A9F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4E4684E3" w14:textId="77777777" w:rsidTr="00592F0B">
        <w:trPr>
          <w:trHeight w:val="261"/>
        </w:trPr>
        <w:tc>
          <w:tcPr>
            <w:tcW w:w="2304" w:type="dxa"/>
          </w:tcPr>
          <w:p w14:paraId="10C67D3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</w:t>
            </w:r>
          </w:p>
        </w:tc>
        <w:tc>
          <w:tcPr>
            <w:tcW w:w="1231" w:type="dxa"/>
          </w:tcPr>
          <w:p w14:paraId="29BDBD0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5.6</w:t>
            </w:r>
            <w:r>
              <w:rPr>
                <w:rFonts w:ascii="Calibri" w:hAnsi="Calibri" w:cs="Calibri"/>
                <w:sz w:val="20"/>
                <w:szCs w:val="20"/>
              </w:rPr>
              <w:t>9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10⁵</w:t>
            </w:r>
          </w:p>
        </w:tc>
        <w:tc>
          <w:tcPr>
            <w:tcW w:w="1384" w:type="dxa"/>
          </w:tcPr>
          <w:p w14:paraId="6F09BBE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6.</w:t>
            </w:r>
            <w:r>
              <w:rPr>
                <w:rFonts w:ascii="Calibri" w:hAnsi="Calibri" w:cs="Calibri"/>
                <w:sz w:val="20"/>
                <w:szCs w:val="20"/>
              </w:rPr>
              <w:t>28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10⁻⁵</w:t>
            </w:r>
          </w:p>
        </w:tc>
        <w:tc>
          <w:tcPr>
            <w:tcW w:w="1336" w:type="dxa"/>
          </w:tcPr>
          <w:p w14:paraId="6379E77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sz w:val="20"/>
                <w:szCs w:val="20"/>
              </w:rPr>
              <w:t>0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pM</w:t>
            </w:r>
          </w:p>
        </w:tc>
        <w:tc>
          <w:tcPr>
            <w:tcW w:w="1194" w:type="dxa"/>
          </w:tcPr>
          <w:p w14:paraId="56B12DD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2.37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10¹⁴</w:t>
            </w:r>
          </w:p>
        </w:tc>
        <w:tc>
          <w:tcPr>
            <w:tcW w:w="1194" w:type="dxa"/>
          </w:tcPr>
          <w:p w14:paraId="6639B0F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</w:t>
            </w: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</w:tr>
      <w:tr w:rsidR="00592F0B" w:rsidRPr="00EF2036" w14:paraId="46E0C951" w14:textId="77777777" w:rsidTr="00592F0B">
        <w:trPr>
          <w:trHeight w:val="249"/>
        </w:trPr>
        <w:tc>
          <w:tcPr>
            <w:tcW w:w="2304" w:type="dxa"/>
          </w:tcPr>
          <w:p w14:paraId="0264E92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1:1</w:t>
            </w:r>
          </w:p>
        </w:tc>
        <w:tc>
          <w:tcPr>
            <w:tcW w:w="1231" w:type="dxa"/>
          </w:tcPr>
          <w:p w14:paraId="7451848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6.1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10⁵</w:t>
            </w:r>
          </w:p>
        </w:tc>
        <w:tc>
          <w:tcPr>
            <w:tcW w:w="1384" w:type="dxa"/>
          </w:tcPr>
          <w:p w14:paraId="76576AC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7.</w:t>
            </w:r>
            <w:r>
              <w:rPr>
                <w:rFonts w:ascii="Calibri" w:hAnsi="Calibri" w:cs="Calibri"/>
                <w:sz w:val="20"/>
                <w:szCs w:val="20"/>
              </w:rPr>
              <w:t>42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10⁻⁵</w:t>
            </w:r>
          </w:p>
        </w:tc>
        <w:tc>
          <w:tcPr>
            <w:tcW w:w="1336" w:type="dxa"/>
          </w:tcPr>
          <w:p w14:paraId="12A7EC0C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21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pM</w:t>
            </w:r>
          </w:p>
        </w:tc>
        <w:tc>
          <w:tcPr>
            <w:tcW w:w="1194" w:type="dxa"/>
          </w:tcPr>
          <w:p w14:paraId="4F17522A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3.</w:t>
            </w:r>
            <w:r>
              <w:rPr>
                <w:rFonts w:ascii="Calibri" w:hAnsi="Calibri" w:cs="Calibri"/>
                <w:sz w:val="20"/>
                <w:szCs w:val="20"/>
              </w:rPr>
              <w:t>65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10¹⁴</w:t>
            </w:r>
          </w:p>
        </w:tc>
        <w:tc>
          <w:tcPr>
            <w:tcW w:w="1194" w:type="dxa"/>
          </w:tcPr>
          <w:p w14:paraId="4CB7EBE0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</w:t>
            </w: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592F0B" w:rsidRPr="00EF2036" w14:paraId="5CD20BBB" w14:textId="77777777" w:rsidTr="00592F0B">
        <w:trPr>
          <w:trHeight w:val="249"/>
        </w:trPr>
        <w:tc>
          <w:tcPr>
            <w:tcW w:w="2304" w:type="dxa"/>
          </w:tcPr>
          <w:p w14:paraId="3897F33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1:5</w:t>
            </w:r>
          </w:p>
        </w:tc>
        <w:tc>
          <w:tcPr>
            <w:tcW w:w="1231" w:type="dxa"/>
          </w:tcPr>
          <w:p w14:paraId="3859F65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2.0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10⁵</w:t>
            </w:r>
          </w:p>
        </w:tc>
        <w:tc>
          <w:tcPr>
            <w:tcW w:w="1384" w:type="dxa"/>
          </w:tcPr>
          <w:p w14:paraId="6E4D643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4.1</w:t>
            </w: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10⁻⁵</w:t>
            </w:r>
          </w:p>
        </w:tc>
        <w:tc>
          <w:tcPr>
            <w:tcW w:w="1336" w:type="dxa"/>
          </w:tcPr>
          <w:p w14:paraId="2A0B6E2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sz w:val="20"/>
                <w:szCs w:val="20"/>
              </w:rPr>
              <w:t>3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pM</w:t>
            </w:r>
          </w:p>
        </w:tc>
        <w:tc>
          <w:tcPr>
            <w:tcW w:w="1194" w:type="dxa"/>
          </w:tcPr>
          <w:p w14:paraId="138E6B20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3.08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10¹⁵</w:t>
            </w:r>
          </w:p>
        </w:tc>
        <w:tc>
          <w:tcPr>
            <w:tcW w:w="1194" w:type="dxa"/>
          </w:tcPr>
          <w:p w14:paraId="59B055A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0.004</w:t>
            </w:r>
          </w:p>
        </w:tc>
      </w:tr>
      <w:tr w:rsidR="00592F0B" w:rsidRPr="00EF2036" w14:paraId="7BA68ABE" w14:textId="77777777" w:rsidTr="00592F0B">
        <w:trPr>
          <w:trHeight w:val="249"/>
        </w:trPr>
        <w:tc>
          <w:tcPr>
            <w:tcW w:w="2304" w:type="dxa"/>
          </w:tcPr>
          <w:p w14:paraId="0118E3A6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VHH_IL6-TGN 1:10</w:t>
            </w:r>
          </w:p>
        </w:tc>
        <w:tc>
          <w:tcPr>
            <w:tcW w:w="1231" w:type="dxa"/>
          </w:tcPr>
          <w:p w14:paraId="32E1FB3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54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10⁵</w:t>
            </w:r>
          </w:p>
        </w:tc>
        <w:tc>
          <w:tcPr>
            <w:tcW w:w="1384" w:type="dxa"/>
          </w:tcPr>
          <w:p w14:paraId="226E873B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4.08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10⁻⁵</w:t>
            </w:r>
          </w:p>
        </w:tc>
        <w:tc>
          <w:tcPr>
            <w:tcW w:w="1336" w:type="dxa"/>
          </w:tcPr>
          <w:p w14:paraId="0546AE2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65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pM</w:t>
            </w:r>
          </w:p>
        </w:tc>
        <w:tc>
          <w:tcPr>
            <w:tcW w:w="1194" w:type="dxa"/>
          </w:tcPr>
          <w:p w14:paraId="0393C37C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7.68</w:t>
            </w:r>
            <w:r w:rsidRPr="00EF2036">
              <w:rPr>
                <w:rFonts w:ascii="Calibri" w:hAnsi="Calibri" w:cs="Calibri"/>
                <w:sz w:val="20"/>
                <w:szCs w:val="20"/>
              </w:rPr>
              <w:t xml:space="preserve"> x 10</w:t>
            </w:r>
            <w:r w:rsidRPr="009C449E">
              <w:rPr>
                <w:rFonts w:ascii="Calibri" w:hAnsi="Calibri" w:cs="Calibri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94" w:type="dxa"/>
          </w:tcPr>
          <w:p w14:paraId="56BF1572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</w:t>
            </w:r>
            <w:r>
              <w:rPr>
                <w:rFonts w:ascii="Calibri" w:hAnsi="Calibri" w:cs="Calibri"/>
                <w:sz w:val="20"/>
                <w:szCs w:val="20"/>
              </w:rPr>
              <w:t>06</w:t>
            </w:r>
          </w:p>
        </w:tc>
      </w:tr>
      <w:tr w:rsidR="00592F0B" w:rsidRPr="00EF2036" w14:paraId="5EBFB74B" w14:textId="77777777" w:rsidTr="00592F0B">
        <w:trPr>
          <w:trHeight w:val="249"/>
        </w:trPr>
        <w:tc>
          <w:tcPr>
            <w:tcW w:w="2304" w:type="dxa"/>
          </w:tcPr>
          <w:p w14:paraId="7112CF40" w14:textId="77777777" w:rsidR="00592F0B" w:rsidRPr="00EF2036" w:rsidRDefault="00592F0B" w:rsidP="00904500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EF2036">
              <w:rPr>
                <w:rFonts w:ascii="Calibri" w:hAnsi="Calibri" w:cs="Calibri"/>
                <w:b/>
                <w:sz w:val="20"/>
                <w:szCs w:val="20"/>
              </w:rPr>
              <w:t>sIL6R(-TGN)</w:t>
            </w:r>
          </w:p>
        </w:tc>
        <w:tc>
          <w:tcPr>
            <w:tcW w:w="1231" w:type="dxa"/>
          </w:tcPr>
          <w:p w14:paraId="79A5C67A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84" w:type="dxa"/>
          </w:tcPr>
          <w:p w14:paraId="67BC3CD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3B75F990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37F3E8C6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2335B724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92F0B" w:rsidRPr="00EF2036" w14:paraId="617947FD" w14:textId="77777777" w:rsidTr="00592F0B">
        <w:trPr>
          <w:trHeight w:val="261"/>
        </w:trPr>
        <w:tc>
          <w:tcPr>
            <w:tcW w:w="2304" w:type="dxa"/>
          </w:tcPr>
          <w:p w14:paraId="7BE7A29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</w:t>
            </w:r>
          </w:p>
        </w:tc>
        <w:tc>
          <w:tcPr>
            <w:tcW w:w="1231" w:type="dxa"/>
          </w:tcPr>
          <w:p w14:paraId="00548B3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2.68 x 10⁵</w:t>
            </w:r>
          </w:p>
        </w:tc>
        <w:tc>
          <w:tcPr>
            <w:tcW w:w="1384" w:type="dxa"/>
          </w:tcPr>
          <w:p w14:paraId="466D7E3E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0.035</w:t>
            </w:r>
          </w:p>
        </w:tc>
        <w:tc>
          <w:tcPr>
            <w:tcW w:w="1336" w:type="dxa"/>
          </w:tcPr>
          <w:p w14:paraId="7190F26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131 nM</w:t>
            </w:r>
          </w:p>
        </w:tc>
        <w:tc>
          <w:tcPr>
            <w:tcW w:w="1194" w:type="dxa"/>
          </w:tcPr>
          <w:p w14:paraId="60AF640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1.56 x 10¹²</w:t>
            </w:r>
          </w:p>
        </w:tc>
        <w:tc>
          <w:tcPr>
            <w:tcW w:w="1194" w:type="dxa"/>
          </w:tcPr>
          <w:p w14:paraId="439C6270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0.07</w:t>
            </w:r>
          </w:p>
        </w:tc>
      </w:tr>
      <w:tr w:rsidR="00592F0B" w:rsidRPr="00EF2036" w14:paraId="01710697" w14:textId="77777777" w:rsidTr="00592F0B">
        <w:trPr>
          <w:trHeight w:val="249"/>
        </w:trPr>
        <w:tc>
          <w:tcPr>
            <w:tcW w:w="2304" w:type="dxa"/>
          </w:tcPr>
          <w:p w14:paraId="04CBA4E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1:1</w:t>
            </w:r>
          </w:p>
        </w:tc>
        <w:tc>
          <w:tcPr>
            <w:tcW w:w="1231" w:type="dxa"/>
          </w:tcPr>
          <w:p w14:paraId="13830725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2.29 x 10⁵</w:t>
            </w:r>
          </w:p>
        </w:tc>
        <w:tc>
          <w:tcPr>
            <w:tcW w:w="1384" w:type="dxa"/>
          </w:tcPr>
          <w:p w14:paraId="24B5D14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0.038</w:t>
            </w:r>
          </w:p>
        </w:tc>
        <w:tc>
          <w:tcPr>
            <w:tcW w:w="1336" w:type="dxa"/>
          </w:tcPr>
          <w:p w14:paraId="6E29C15E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166 nM</w:t>
            </w:r>
          </w:p>
        </w:tc>
        <w:tc>
          <w:tcPr>
            <w:tcW w:w="1194" w:type="dxa"/>
          </w:tcPr>
          <w:p w14:paraId="52EC1EAB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4.77 x 10¹²</w:t>
            </w:r>
          </w:p>
        </w:tc>
        <w:tc>
          <w:tcPr>
            <w:tcW w:w="1194" w:type="dxa"/>
          </w:tcPr>
          <w:p w14:paraId="4761792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0.06</w:t>
            </w:r>
          </w:p>
        </w:tc>
      </w:tr>
      <w:tr w:rsidR="00592F0B" w:rsidRPr="00EF2036" w14:paraId="11D401AA" w14:textId="77777777" w:rsidTr="00592F0B">
        <w:trPr>
          <w:trHeight w:val="249"/>
        </w:trPr>
        <w:tc>
          <w:tcPr>
            <w:tcW w:w="2304" w:type="dxa"/>
          </w:tcPr>
          <w:p w14:paraId="68167E4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1:5</w:t>
            </w:r>
          </w:p>
        </w:tc>
        <w:tc>
          <w:tcPr>
            <w:tcW w:w="1231" w:type="dxa"/>
          </w:tcPr>
          <w:p w14:paraId="41F78F89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1.65 x 10⁵</w:t>
            </w:r>
          </w:p>
        </w:tc>
        <w:tc>
          <w:tcPr>
            <w:tcW w:w="1384" w:type="dxa"/>
          </w:tcPr>
          <w:p w14:paraId="514A57FB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0.038</w:t>
            </w:r>
          </w:p>
        </w:tc>
        <w:tc>
          <w:tcPr>
            <w:tcW w:w="1336" w:type="dxa"/>
          </w:tcPr>
          <w:p w14:paraId="2C1E1087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230 nM</w:t>
            </w:r>
          </w:p>
        </w:tc>
        <w:tc>
          <w:tcPr>
            <w:tcW w:w="1194" w:type="dxa"/>
          </w:tcPr>
          <w:p w14:paraId="186CC47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5.92 x 10¹¹</w:t>
            </w:r>
          </w:p>
        </w:tc>
        <w:tc>
          <w:tcPr>
            <w:tcW w:w="1194" w:type="dxa"/>
          </w:tcPr>
          <w:p w14:paraId="1FB8DBC6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0.03</w:t>
            </w:r>
          </w:p>
        </w:tc>
      </w:tr>
      <w:tr w:rsidR="00592F0B" w:rsidRPr="00EF2036" w14:paraId="6DA16D2C" w14:textId="77777777" w:rsidTr="00592F0B">
        <w:trPr>
          <w:trHeight w:val="249"/>
        </w:trPr>
        <w:tc>
          <w:tcPr>
            <w:tcW w:w="2304" w:type="dxa"/>
          </w:tcPr>
          <w:p w14:paraId="0D509C3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1:10</w:t>
            </w:r>
          </w:p>
        </w:tc>
        <w:tc>
          <w:tcPr>
            <w:tcW w:w="1231" w:type="dxa"/>
          </w:tcPr>
          <w:p w14:paraId="6885D26E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7.57 x 10⁵</w:t>
            </w:r>
          </w:p>
        </w:tc>
        <w:tc>
          <w:tcPr>
            <w:tcW w:w="1384" w:type="dxa"/>
          </w:tcPr>
          <w:p w14:paraId="70E6A7BD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0.032</w:t>
            </w:r>
          </w:p>
        </w:tc>
        <w:tc>
          <w:tcPr>
            <w:tcW w:w="1336" w:type="dxa"/>
          </w:tcPr>
          <w:p w14:paraId="5BBDFF6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428 nM</w:t>
            </w:r>
          </w:p>
        </w:tc>
        <w:tc>
          <w:tcPr>
            <w:tcW w:w="1194" w:type="dxa"/>
          </w:tcPr>
          <w:p w14:paraId="22FD363E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7.35 x 10¹¹</w:t>
            </w:r>
          </w:p>
        </w:tc>
        <w:tc>
          <w:tcPr>
            <w:tcW w:w="1194" w:type="dxa"/>
          </w:tcPr>
          <w:p w14:paraId="6716B81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0.06</w:t>
            </w:r>
          </w:p>
        </w:tc>
      </w:tr>
      <w:tr w:rsidR="00592F0B" w:rsidRPr="00EF2036" w14:paraId="4995DED5" w14:textId="77777777" w:rsidTr="00592F0B">
        <w:trPr>
          <w:trHeight w:val="249"/>
        </w:trPr>
        <w:tc>
          <w:tcPr>
            <w:tcW w:w="2304" w:type="dxa"/>
          </w:tcPr>
          <w:p w14:paraId="64E625DF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sIL6R-TGN 1:25</w:t>
            </w:r>
          </w:p>
        </w:tc>
        <w:tc>
          <w:tcPr>
            <w:tcW w:w="1231" w:type="dxa"/>
          </w:tcPr>
          <w:p w14:paraId="6C47C3A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  <w:r w:rsidRPr="00EF2036">
              <w:rPr>
                <w:rFonts w:ascii="Calibri" w:hAnsi="Calibri" w:cs="Calibri"/>
                <w:sz w:val="20"/>
                <w:szCs w:val="20"/>
              </w:rPr>
              <w:t>no binding</w:t>
            </w:r>
          </w:p>
        </w:tc>
        <w:tc>
          <w:tcPr>
            <w:tcW w:w="1384" w:type="dxa"/>
          </w:tcPr>
          <w:p w14:paraId="18292613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6" w:type="dxa"/>
          </w:tcPr>
          <w:p w14:paraId="7DA6631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73337DE8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94" w:type="dxa"/>
          </w:tcPr>
          <w:p w14:paraId="19721B81" w14:textId="77777777" w:rsidR="00592F0B" w:rsidRPr="00EF2036" w:rsidRDefault="00592F0B" w:rsidP="0090450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FA68EC1" w14:textId="77777777" w:rsidR="00EF2036" w:rsidRPr="00EF2036" w:rsidRDefault="00EF2036" w:rsidP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</w:p>
    <w:p w14:paraId="79D0AD9A" w14:textId="77777777" w:rsidR="00EF2036" w:rsidRPr="00EF2036" w:rsidRDefault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</w:p>
    <w:p w14:paraId="7DF8F3B8" w14:textId="77777777" w:rsidR="00EF2036" w:rsidRPr="00EF2036" w:rsidRDefault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</w:p>
    <w:p w14:paraId="711AD00B" w14:textId="77777777" w:rsidR="00EF2036" w:rsidRPr="00EF2036" w:rsidRDefault="00EF2036">
      <w:pPr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  <w:r w:rsidRPr="00EF2036"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br w:type="page"/>
      </w:r>
    </w:p>
    <w:p w14:paraId="2C795127" w14:textId="66203545" w:rsidR="00EF2036" w:rsidRPr="00EF2036" w:rsidRDefault="00B24036" w:rsidP="00EF2036">
      <w:pPr>
        <w:spacing w:after="0" w:line="240" w:lineRule="auto"/>
        <w:jc w:val="both"/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</w:pPr>
      <w:r>
        <w:rPr>
          <w:rFonts w:ascii="Calibri" w:eastAsia="SimSun" w:hAnsi="Calibri" w:cs="Vrinda"/>
          <w:b/>
          <w:noProof/>
          <w:color w:val="000000"/>
          <w:kern w:val="0"/>
          <w:sz w:val="20"/>
          <w:szCs w:val="20"/>
          <w:lang w:val="en-US"/>
          <w14:ligatures w14:val="none"/>
        </w:rPr>
        <w:lastRenderedPageBreak/>
        <w:drawing>
          <wp:inline distT="0" distB="0" distL="0" distR="0" wp14:anchorId="48EF8838" wp14:editId="209466C3">
            <wp:extent cx="5400000" cy="4775847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7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E4730" w14:textId="322FF6E8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  <w:r w:rsidRPr="00EF2036">
        <w:rPr>
          <w:rFonts w:ascii="Calibri" w:eastAsia="SimSun" w:hAnsi="Calibri" w:cs="Vrinda"/>
          <w:b/>
          <w:color w:val="000000"/>
          <w:kern w:val="0"/>
          <w:sz w:val="20"/>
          <w:szCs w:val="20"/>
          <w:lang w:val="en-US"/>
          <w14:ligatures w14:val="none"/>
        </w:rPr>
        <w:t>Supplementary Figure 1: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</w:t>
      </w:r>
      <w:r w:rsidRPr="00EF2036">
        <w:rPr>
          <w:rFonts w:ascii="Calibri" w:eastAsia="SimSun" w:hAnsi="Calibri" w:cs="Calibri"/>
          <w:b/>
          <w:color w:val="000000"/>
          <w:kern w:val="0"/>
          <w:sz w:val="20"/>
          <w:szCs w:val="20"/>
          <w:lang w:val="en-US"/>
          <w14:ligatures w14:val="none"/>
        </w:rPr>
        <w:t>Siltuximab Design &amp; Production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</w:t>
      </w:r>
      <w:r w:rsidRPr="00EF2036">
        <w:rPr>
          <w:rFonts w:ascii="Calibri" w:eastAsia="SimSun" w:hAnsi="Calibri" w:cs="Calibri"/>
          <w:b/>
          <w:color w:val="000000"/>
          <w:kern w:val="0"/>
          <w:sz w:val="20"/>
          <w:szCs w:val="20"/>
          <w:lang w:val="en-US"/>
          <w14:ligatures w14:val="none"/>
        </w:rPr>
        <w:t>(a)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Plasmid Design for Siltuximab heavy and light chain</w: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begin"/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instrText xml:space="preserve"> ADDIN ZOTERO_ITEM CSL_CITATION {"citationID":"zrukpab6","properties":{"formattedCitation":"\\super 1\\nosupersub{}","plainCitation":"1","noteIndex":0},"citationItems":[{"id":1111,"uris":["http://zotero.org/users/local/eHISbRRb/items/X5F2MY5L"],"itemData":{"id":1111,"type":"webpage","abstract":"Plasmids","container-title":"Safarian, S. (2025)","title":"Created in BioRender","URL":"https://BioRender.com/ qlelnew","accessed":{"date-parts":[["2025",8,8]]},"citation-key":".e"}}],"schema":"https://github.com/citation-style-language/schema/raw/master/csl-citation.json"} </w:instrTex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separate"/>
      </w:r>
      <w:r w:rsidR="00E03BB8" w:rsidRPr="00726A12">
        <w:rPr>
          <w:rFonts w:ascii="Calibri" w:hAnsi="Calibri" w:cs="Calibri"/>
          <w:kern w:val="0"/>
          <w:sz w:val="20"/>
          <w:vertAlign w:val="superscript"/>
          <w:lang w:val="en-US"/>
        </w:rPr>
        <w:t>1</w: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end"/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. Inserts displayed here were cloned into a pcDNA3.4 vector for expression in HEK293T cells. </w:t>
      </w:r>
      <w:r w:rsidRPr="00EF2036">
        <w:rPr>
          <w:rFonts w:ascii="Calibri" w:eastAsia="SimSun" w:hAnsi="Calibri" w:cs="Calibri"/>
          <w:b/>
          <w:color w:val="000000"/>
          <w:kern w:val="0"/>
          <w:sz w:val="20"/>
          <w:szCs w:val="20"/>
          <w:lang w:val="en-US"/>
          <w14:ligatures w14:val="none"/>
        </w:rPr>
        <w:t xml:space="preserve">(b) 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Purification via Protein </w:t>
      </w:r>
      <w:r w:rsidR="00065845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>A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affinity chromatography and SEC with </w:t>
      </w:r>
      <w:r w:rsidRPr="00EF2036">
        <w:rPr>
          <w:rFonts w:ascii="Calibri" w:eastAsia="SimSun" w:hAnsi="Calibri" w:cs="Calibri"/>
          <w:b/>
          <w:color w:val="000000"/>
          <w:kern w:val="0"/>
          <w:sz w:val="20"/>
          <w:szCs w:val="20"/>
          <w:lang w:val="en-US"/>
          <w14:ligatures w14:val="none"/>
        </w:rPr>
        <w:t>(c)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 SDS</w:t>
      </w:r>
      <w:r w:rsidR="006438AC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>-</w:t>
      </w:r>
      <w:r w:rsidRPr="00EF2036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t xml:space="preserve">PAGE analysis of each purification step. </w:t>
      </w:r>
    </w:p>
    <w:p w14:paraId="704DF452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</w:p>
    <w:p w14:paraId="4950CB09" w14:textId="77777777" w:rsidR="00EF2036" w:rsidRPr="00EF2036" w:rsidRDefault="00EF2036">
      <w:pPr>
        <w:rPr>
          <w:rFonts w:ascii="Calibri" w:eastAsia="Times New Roman" w:hAnsi="Calibri" w:cs="Times New Roman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Times New Roman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79A2DF9A" w14:textId="568B74A8" w:rsidR="00EF2036" w:rsidRPr="00EF2036" w:rsidRDefault="00B24036" w:rsidP="00592F0B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en-US" w:eastAsia="de-DE"/>
          <w14:ligatures w14:val="none"/>
        </w:rPr>
      </w:pPr>
      <w:r>
        <w:rPr>
          <w:rFonts w:ascii="Calibri" w:eastAsia="Times New Roman" w:hAnsi="Calibri" w:cs="Times New Roman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42873DC8" wp14:editId="71568E0C">
            <wp:extent cx="5400000" cy="501757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1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036" w:rsidRPr="00EF2036">
        <w:rPr>
          <w:rFonts w:ascii="Calibri" w:eastAsia="Times New Roman" w:hAnsi="Calibri" w:cs="Times New Roman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2: Tocilizumab Design &amp; Production (a)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Plasmid Design for Tocilizumab heavy and light chain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begin"/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instrText xml:space="preserve"> ADDIN ZOTERO_ITEM CSL_CITATION {"citationID":"VLkiON3F","properties":{"formattedCitation":"\\super 1\\nosupersub{}","plainCitation":"1","noteIndex":0},"citationItems":[{"id":1111,"uris":["http://zotero.org/users/local/eHISbRRb/items/X5F2MY5L"],"itemData":{"id":1111,"type":"webpage","abstract":"Plasmids","container-title":"Safarian, S. (2025)","title":"Created in BioRender","URL":"https://BioRender.com/ qlelnew","accessed":{"date-parts":[["2025",8,8]]},"citation-key":".e"}}],"schema":"https://github.com/citation-style-language/schema/raw/master/csl-citation.json"} </w:instrTex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separate"/>
      </w:r>
      <w:r w:rsidR="00A76E8F" w:rsidRPr="00726A12">
        <w:rPr>
          <w:rFonts w:ascii="Calibri" w:hAnsi="Calibri" w:cs="Calibri"/>
          <w:kern w:val="0"/>
          <w:sz w:val="20"/>
          <w:vertAlign w:val="superscript"/>
          <w:lang w:val="en-US"/>
        </w:rPr>
        <w:t>1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end"/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. Inserts displayed here were cloned into a pcDNA3.4 vector for expression in HEK293T cells</w:t>
      </w:r>
      <w:r w:rsidR="00EF2036" w:rsidRPr="00EF2036">
        <w:rPr>
          <w:rFonts w:ascii="Calibri" w:eastAsia="+mn-ea" w:hAnsi="Calibri" w:cs="Calibri"/>
          <w:i/>
          <w:iCs/>
          <w:color w:val="000000"/>
          <w:kern w:val="24"/>
          <w:sz w:val="20"/>
          <w:szCs w:val="20"/>
          <w:lang w:val="en-US" w:eastAsia="de-DE"/>
          <w14:ligatures w14:val="none"/>
        </w:rPr>
        <w:t xml:space="preserve">.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(b)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Purification via Protein </w:t>
      </w:r>
      <w:r w:rsidR="00065845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A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affinity chromatography and SEC with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SDS</w:t>
      </w:r>
      <w:r w:rsidR="006438AC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-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PAGE analysis of each purification step. </w:t>
      </w:r>
    </w:p>
    <w:p w14:paraId="786913D9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</w:p>
    <w:p w14:paraId="5B244D95" w14:textId="77777777" w:rsidR="00EF2036" w:rsidRPr="00EF2036" w:rsidRDefault="00EF2036">
      <w:pP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722B643D" w14:textId="5E0AAEFC" w:rsidR="00EF2036" w:rsidRPr="00EF2036" w:rsidRDefault="00B24036" w:rsidP="00592F0B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en-US" w:eastAsia="de-DE"/>
          <w14:ligatures w14:val="none"/>
        </w:rPr>
      </w:pPr>
      <w:r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7E38ED75" wp14:editId="7E467DD7">
            <wp:extent cx="5400000" cy="3346832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4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036"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3: VHH against IL-6 Design &amp; Production (a)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Plasmid Design for VHH_IL-6 with a His9 Tag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begin"/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instrText xml:space="preserve"> ADDIN ZOTERO_ITEM CSL_CITATION {"citationID":"n9IDuWgq","properties":{"formattedCitation":"\\super 1\\nosupersub{}","plainCitation":"1","noteIndex":0},"citationItems":[{"id":1111,"uris":["http://zotero.org/users/local/eHISbRRb/items/X5F2MY5L"],"itemData":{"id":1111,"type":"webpage","abstract":"Plasmids","container-title":"Safarian, S. (2025)","title":"Created in BioRender","URL":"https://BioRender.com/ qlelnew","accessed":{"date-parts":[["2025",8,8]]},"citation-key":".e"}}],"schema":"https://github.com/citation-style-language/schema/raw/master/csl-citation.json"} </w:instrTex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separate"/>
      </w:r>
      <w:r w:rsidR="00A76E8F" w:rsidRPr="00726A12">
        <w:rPr>
          <w:rFonts w:ascii="Calibri" w:hAnsi="Calibri" w:cs="Calibri"/>
          <w:kern w:val="0"/>
          <w:sz w:val="20"/>
          <w:vertAlign w:val="superscript"/>
          <w:lang w:val="en-US"/>
        </w:rPr>
        <w:t>1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end"/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. Inserts displayed here were cloned into a pET21a(+) vector for expression in SHuffle® T7 (Express) </w:t>
      </w:r>
      <w:r w:rsidR="00EF2036" w:rsidRPr="00EF2036">
        <w:rPr>
          <w:rFonts w:ascii="Calibri" w:eastAsia="+mn-ea" w:hAnsi="Calibri" w:cs="Calibri"/>
          <w:i/>
          <w:iCs/>
          <w:color w:val="000000"/>
          <w:kern w:val="24"/>
          <w:sz w:val="20"/>
          <w:szCs w:val="20"/>
          <w:lang w:val="en-US" w:eastAsia="de-DE"/>
          <w14:ligatures w14:val="none"/>
        </w:rPr>
        <w:t xml:space="preserve">E. coli.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(b)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Purification via Nickel Immobilized Metal Affinity Chromatography (Ni-IMAC) and SEC with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SDS</w:t>
      </w:r>
      <w:r w:rsidR="006438AC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-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PAGE analysis of each purification step. </w:t>
      </w:r>
    </w:p>
    <w:p w14:paraId="05B17478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</w:pPr>
    </w:p>
    <w:p w14:paraId="2DAB8052" w14:textId="77777777" w:rsidR="00EF2036" w:rsidRPr="00EF2036" w:rsidRDefault="00EF2036">
      <w:pP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666CFFEF" w14:textId="3EF0AD2A" w:rsidR="00EF2036" w:rsidRPr="00EF2036" w:rsidRDefault="004E0B5F" w:rsidP="004E0B5F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37DCF2E6" wp14:editId="0F72349A">
            <wp:extent cx="5250180" cy="8031874"/>
            <wp:effectExtent l="0" t="0" r="762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30" cy="803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036"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4: sIL-6R Design &amp; Production (a)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Plasmid Design for sIL-6R with a His9-Tag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begin"/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instrText xml:space="preserve"> ADDIN ZOTERO_ITEM CSL_CITATION {"citationID":"zrukpab6","properties":{"formattedCitation":"\\super 1\\nosupersub{}","plainCitation":"1","noteIndex":0},"citationItems":[{"id":1111,"uris":["http://zotero.org/users/local/eHISbRRb/items/X5F2MY5L"],"itemData":{"id":1111,"type":"webpage","abstract":"Plasmids","container-title":"Safarian, S. (2025)","title":"Created in BioRender","URL":"https://BioRender.com/ qlelnew","accessed":{"date-parts":[["2025",8,8]]},"citation-key":".e"}}],"schema":"https://github.com/citation-style-language/schema/raw/master/csl-citation.json"} </w:instrTex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separate"/>
      </w:r>
      <w:r w:rsidR="00A76E8F" w:rsidRPr="00726A12">
        <w:rPr>
          <w:rFonts w:ascii="Calibri" w:hAnsi="Calibri" w:cs="Calibri"/>
          <w:kern w:val="0"/>
          <w:sz w:val="20"/>
          <w:vertAlign w:val="superscript"/>
          <w:lang w:val="en-US"/>
        </w:rPr>
        <w:t>1</w:t>
      </w:r>
      <w:r w:rsidR="00A76E8F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end"/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. Inserts displayed here were cloned into a pcDNA3.4 vector for expression in EXPI293F cells</w:t>
      </w:r>
      <w:r w:rsidR="00EF2036" w:rsidRPr="00EF2036">
        <w:rPr>
          <w:rFonts w:ascii="Calibri" w:eastAsia="+mn-ea" w:hAnsi="Calibri" w:cs="Calibri"/>
          <w:i/>
          <w:iCs/>
          <w:color w:val="000000"/>
          <w:kern w:val="24"/>
          <w:sz w:val="20"/>
          <w:szCs w:val="20"/>
          <w:lang w:val="en-US" w:eastAsia="de-DE"/>
          <w14:ligatures w14:val="none"/>
        </w:rPr>
        <w:t xml:space="preserve">.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(b)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Purification via </w:t>
      </w:r>
      <w:r w:rsidR="00592F0B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Ni-IMAC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and SEC with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SDS</w:t>
      </w:r>
      <w:r w:rsidR="006438AC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-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PAGE analysis of each purification step. </w:t>
      </w:r>
      <w:r w:rsidR="00592F0B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</w:t>
      </w:r>
      <w:r w:rsidR="00592F0B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d</w:t>
      </w:r>
      <w:r w:rsidR="00592F0B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) </w:t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Plasmid Design for sIL-6R with a </w:t>
      </w:r>
      <w:r w:rsidR="00592F0B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Twin-Strep</w:t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-Tag</w:t>
      </w:r>
      <w:r w:rsidR="00592F0B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and TEV cleavage site</w: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begin"/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instrText xml:space="preserve"> ADDIN ZOTERO_ITEM CSL_CITATION {"citationID":"zrukpab6","properties":{"formattedCitation":"\\super 1\\nosupersub{}","plainCitation":"1","noteIndex":0},"citationItems":[{"id":1111,"uris":["http://zotero.org/users/local/eHISbRRb/items/X5F2MY5L"],"itemData":{"id":1111,"type":"webpage","abstract":"Plasmids","container-title":"Safarian, S. (2025)","title":"Created in BioRender","URL":"https://BioRender.com/ qlelnew","accessed":{"date-parts":[["2025",8,8]]},"citation-key":".e"}}],"schema":"https://github.com/citation-style-language/schema/raw/master/csl-citation.json"} </w:instrTex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separate"/>
      </w:r>
      <w:r w:rsidR="00E03BB8" w:rsidRPr="00726A12">
        <w:rPr>
          <w:rFonts w:ascii="Calibri" w:hAnsi="Calibri" w:cs="Calibri"/>
          <w:kern w:val="0"/>
          <w:sz w:val="20"/>
          <w:vertAlign w:val="superscript"/>
          <w:lang w:val="en-US"/>
        </w:rPr>
        <w:t>1</w:t>
      </w:r>
      <w:r w:rsidR="00E03BB8">
        <w:rPr>
          <w:rFonts w:ascii="Calibri" w:eastAsia="SimSun" w:hAnsi="Calibri" w:cs="Calibri"/>
          <w:color w:val="000000"/>
          <w:kern w:val="0"/>
          <w:sz w:val="20"/>
          <w:szCs w:val="20"/>
          <w:lang w:val="en-US"/>
          <w14:ligatures w14:val="none"/>
        </w:rPr>
        <w:fldChar w:fldCharType="end"/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. Inserts displayed here were cloned into a pcDNA3.4 vector for expression in EXPI293F cells</w:t>
      </w:r>
      <w:r w:rsidR="00592F0B" w:rsidRPr="00EF2036">
        <w:rPr>
          <w:rFonts w:ascii="Calibri" w:eastAsia="+mn-ea" w:hAnsi="Calibri" w:cs="Calibri"/>
          <w:i/>
          <w:iCs/>
          <w:color w:val="000000"/>
          <w:kern w:val="24"/>
          <w:sz w:val="20"/>
          <w:szCs w:val="20"/>
          <w:lang w:val="en-US" w:eastAsia="de-DE"/>
          <w14:ligatures w14:val="none"/>
        </w:rPr>
        <w:t xml:space="preserve">. </w:t>
      </w:r>
      <w:r w:rsidR="00592F0B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(b) </w:t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Purification via StrepTactin XT based affinity chromatography and SEC with </w:t>
      </w:r>
      <w:r w:rsidR="00592F0B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SDS</w:t>
      </w:r>
      <w:r w:rsidR="00592F0B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-</w:t>
      </w:r>
      <w:r w:rsidR="00592F0B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PAGE analysis of each purification step.</w:t>
      </w:r>
      <w:r w:rsidR="00EF2036"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351DEF56" w14:textId="2EBE1EE5" w:rsidR="00EF2036" w:rsidRPr="00EF2036" w:rsidRDefault="00B24036" w:rsidP="00592F0B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sz w:val="20"/>
          <w:szCs w:val="20"/>
          <w:lang w:val="en-US" w:eastAsia="de-DE"/>
          <w14:ligatures w14:val="none"/>
        </w:rPr>
      </w:pPr>
      <w:r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5E9735B1" wp14:editId="6B31463D">
            <wp:extent cx="5400000" cy="2075461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7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036"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5: Binding of BioDeg constructs to IL-6/ IL-6R assessed by indirect ELISA.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Binding analysis of four BioDeg constructs: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(a)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Siltuximab-TGN,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(b)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Tocilizumab-TGN,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VHH_IL-6-TGN and </w:t>
      </w:r>
      <w:r w:rsidR="00EF2036"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(d)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sIL-6R-TGN. </w:t>
      </w:r>
      <w:r w:rsidR="00EF2036" w:rsidRPr="00EF2036">
        <w:rPr>
          <w:rFonts w:ascii="Calibri" w:eastAsia="Times New Roman" w:hAnsi="Calibri" w:cs="Times New Roman"/>
          <w:color w:val="000000"/>
          <w:kern w:val="0"/>
          <w:sz w:val="20"/>
          <w:szCs w:val="20"/>
          <w:lang w:val="en-US" w:eastAsia="de-DE"/>
          <w14:ligatures w14:val="none"/>
        </w:rPr>
        <w:t xml:space="preserve">Detection was performed using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anti-His-HRP for VHH_IL-6 and sIL-6R constructs, and anti-human-HRP for antibody-based constructs (Siltuximab, Tocilizumab)</w:t>
      </w:r>
      <w:r w:rsidR="00EF2036" w:rsidRPr="00EF2036">
        <w:rPr>
          <w:rFonts w:ascii="Calibri" w:eastAsia="Times New Roman" w:hAnsi="Calibri" w:cs="Times New Roman"/>
          <w:color w:val="000000"/>
          <w:kern w:val="0"/>
          <w:sz w:val="20"/>
          <w:szCs w:val="20"/>
          <w:lang w:val="en-US" w:eastAsia="de-DE"/>
          <w14:ligatures w14:val="none"/>
        </w:rPr>
        <w:t xml:space="preserve">, with absorbance measured at 450 nm (reference: 620 nm) after TMB development. </w:t>
      </w:r>
      <w:r w:rsidR="0045658F" w:rsidRPr="0045658F">
        <w:rPr>
          <w:rFonts w:ascii="Calibri" w:hAnsi="Calibri"/>
          <w:color w:val="000000" w:themeColor="text1"/>
          <w:sz w:val="20"/>
          <w:szCs w:val="20"/>
          <w:lang w:val="en-US"/>
        </w:rPr>
        <w:t>A sec. only control was included to assess background signal from anti-human</w:t>
      </w:r>
      <w:r w:rsidR="0045658F">
        <w:rPr>
          <w:rFonts w:ascii="Calibri" w:hAnsi="Calibri"/>
          <w:color w:val="000000" w:themeColor="text1"/>
          <w:sz w:val="20"/>
          <w:szCs w:val="20"/>
          <w:lang w:val="en-US"/>
        </w:rPr>
        <w:t>/ anti-His</w:t>
      </w:r>
      <w:r w:rsidR="0045658F" w:rsidRPr="0045658F">
        <w:rPr>
          <w:rFonts w:ascii="Calibri" w:hAnsi="Calibri"/>
          <w:color w:val="000000" w:themeColor="text1"/>
          <w:sz w:val="20"/>
          <w:szCs w:val="20"/>
          <w:lang w:val="en-US"/>
        </w:rPr>
        <w:t xml:space="preserve">-HRP binding in the absence of sample incubation. </w:t>
      </w:r>
      <w:r w:rsidR="00EF2036" w:rsidRPr="00EF2036">
        <w:rPr>
          <w:rFonts w:ascii="Calibri" w:eastAsia="Times New Roman" w:hAnsi="Calibri" w:cs="Times New Roman"/>
          <w:color w:val="000000"/>
          <w:kern w:val="0"/>
          <w:sz w:val="20"/>
          <w:szCs w:val="20"/>
          <w:lang w:val="en-US" w:eastAsia="de-DE"/>
          <w14:ligatures w14:val="none"/>
        </w:rPr>
        <w:t xml:space="preserve">Assays were conducted in </w:t>
      </w:r>
      <w:r w:rsidR="00EF2036"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PBS</w:t>
      </w:r>
      <w:r w:rsidR="00EF2036" w:rsidRPr="00EF2036">
        <w:rPr>
          <w:rFonts w:ascii="Calibri" w:eastAsia="Times New Roman" w:hAnsi="Calibri" w:cs="Times New Roman"/>
          <w:color w:val="000000"/>
          <w:kern w:val="0"/>
          <w:sz w:val="20"/>
          <w:szCs w:val="20"/>
          <w:lang w:val="en-US" w:eastAsia="de-DE"/>
          <w14:ligatures w14:val="none"/>
        </w:rPr>
        <w:t xml:space="preserve">. Data are shown as mean ± SD of technical triplicates. </w:t>
      </w:r>
    </w:p>
    <w:p w14:paraId="58739433" w14:textId="77777777" w:rsidR="00EF2036" w:rsidRPr="00EF2036" w:rsidRDefault="00EF2036" w:rsidP="00EF2036">
      <w:pPr>
        <w:spacing w:after="0" w:line="240" w:lineRule="auto"/>
        <w:jc w:val="both"/>
        <w:rPr>
          <w:rFonts w:ascii="Calibri" w:eastAsia="SimSun" w:hAnsi="Calibri" w:cs="Vrinda"/>
          <w:kern w:val="0"/>
          <w:lang w:val="en-US"/>
          <w14:ligatures w14:val="none"/>
        </w:rPr>
      </w:pPr>
    </w:p>
    <w:p w14:paraId="142A4B0A" w14:textId="03D75E68" w:rsidR="00EF2036" w:rsidRPr="00EF2036" w:rsidRDefault="00EF2036">
      <w:pP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6F66244C" w14:textId="315FAC4E" w:rsidR="00EF2036" w:rsidRPr="00EF2036" w:rsidRDefault="00EF2036" w:rsidP="00592F0B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2B3F5DCA" wp14:editId="7FDD28D8">
            <wp:extent cx="5400000" cy="2259332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5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</w:t>
      </w:r>
      <w:r w:rsidR="006F06E8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6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: Establishment of Tri-GalNAc (TGN) uptake in HepG2 cells. (a)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Schematic representation of uptake assay using fluorescent Neutravidin (Oregon Green 488, NA488) in complex with TGN (NA488:TGN, 1:3)</w:t>
      </w:r>
      <w:r w:rsidR="00A76E8F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fldChar w:fldCharType="begin"/>
      </w:r>
      <w:r w:rsidR="00A76E8F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instrText xml:space="preserve"> ADDIN ZOTERO_ITEM CSL_CITATION {"citationID":"2D0wZJ4B","properties":{"formattedCitation":"\\super 2\\nosupersub{}","plainCitation":"2","noteIndex":0},"citationItems":[{"id":1114,"uris":["http://zotero.org/users/local/eHISbRRb/items/FRHZZMX5"],"itemData":{"id":1114,"type":"webpage","abstract":"Degradation","container-title":"Safarian, S. (2025)","title":"Created in BioRender","URL":"https://BioRender.com/ bfvbs3q","accessed":{"date-parts":[["2025",8,8]]},"citation-key":".h"}}],"schema":"https://github.com/citation-style-language/schema/raw/master/csl-citation.json"} </w:instrText>
      </w:r>
      <w:r w:rsidR="00A76E8F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fldChar w:fldCharType="separate"/>
      </w:r>
      <w:r w:rsidR="00A76E8F" w:rsidRPr="00A76E8F">
        <w:rPr>
          <w:rFonts w:ascii="Calibri" w:hAnsi="Calibri" w:cs="Calibri"/>
          <w:kern w:val="0"/>
          <w:sz w:val="20"/>
          <w:vertAlign w:val="superscript"/>
          <w:lang w:val="en-US"/>
        </w:rPr>
        <w:t>2</w:t>
      </w:r>
      <w:r w:rsidR="00A76E8F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fldChar w:fldCharType="end"/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. Flow cytometry quantification of TGN uptake in HepG2 cells in a 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(b)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concentration-dependent and 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time-dependent manner.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(d)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Uptake of TGN in ASGPR-Knockdown HepG2 cells, including NA488 alone as control (100 nM, 2 h incubation). Data are mean ± SD of three biological replicates. 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(e)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Confocal microscopy showing internalized NA488 (green) +/- TGN, lysosomes (red; LysoTracker™), and nuclei (blue; NucBlue™). Assay was performed at 100 nM NA488 (300 nM TGN) with 2 h incubation time.  </w:t>
      </w:r>
      <w:r w:rsidR="00B72CC1" w:rsidRPr="00B72CC1">
        <w:rPr>
          <w:rFonts w:ascii="Calibri" w:hAnsi="Calibri"/>
          <w:color w:val="000000" w:themeColor="text1"/>
          <w:sz w:val="20"/>
          <w:szCs w:val="20"/>
          <w:lang w:val="en-US"/>
        </w:rPr>
        <w:t xml:space="preserve">Scale bars = 10 µm.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Statistical analysis: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One-Way ANOVA</w:t>
      </w:r>
      <w:r w:rsidR="001E4AD8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(b,c)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>/ Two-Way ANOVA</w:t>
      </w:r>
      <w:r w:rsidR="001E4AD8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(d)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analysis with Dunnet’s multiple comparisons test was used. &lt; 0.1 (*), &lt; 0.01(**), &lt; 0.001 (***) and &lt; 0.0001 (****) indicate significant differences between untreated and treated cells. </w:t>
      </w:r>
      <w:r w:rsidRPr="00EF2036">
        <w:rPr>
          <w:rFonts w:ascii="Calibri" w:eastAsia="+mn-ea" w:hAnsi="Calibri" w:cs="Calibri"/>
          <w:i/>
          <w:iCs/>
          <w:color w:val="000000"/>
          <w:kern w:val="24"/>
          <w:sz w:val="20"/>
          <w:szCs w:val="20"/>
          <w:lang w:val="en-US" w:eastAsia="de-DE"/>
          <w14:ligatures w14:val="none"/>
        </w:rPr>
        <w:t>MFI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= mean fluorescence intensity. Fold change was calculated as normalization to untreated cells. </w:t>
      </w:r>
    </w:p>
    <w:p w14:paraId="3C8B72CB" w14:textId="77777777" w:rsidR="00EF2036" w:rsidRPr="00EF2036" w:rsidRDefault="00EF2036" w:rsidP="00EF2036">
      <w:pPr>
        <w:spacing w:after="0" w:line="240" w:lineRule="auto"/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</w:pPr>
    </w:p>
    <w:p w14:paraId="1E569DBD" w14:textId="77777777" w:rsidR="00EF2036" w:rsidRPr="00EF2036" w:rsidRDefault="00EF2036">
      <w:pP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53758D0C" w14:textId="77777777" w:rsidR="00EF2036" w:rsidRPr="00EF2036" w:rsidRDefault="00EF2036" w:rsidP="00EF2036">
      <w:pPr>
        <w:spacing w:after="0" w:line="240" w:lineRule="auto"/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7BA14B84" wp14:editId="5582394D">
            <wp:extent cx="5400000" cy="488525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88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FA0E6" w14:textId="19666BAA" w:rsidR="00EF2036" w:rsidRPr="00EF2036" w:rsidRDefault="00EF2036" w:rsidP="00592F0B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drawing>
          <wp:inline distT="0" distB="0" distL="0" distR="0" wp14:anchorId="2243D89C" wp14:editId="4C5E3774">
            <wp:extent cx="5400000" cy="293035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3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</w:t>
      </w:r>
      <w:r w:rsidR="006F06E8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7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: Live-cell confocal microscopy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showing intracellular localization of IL-6 (green), lysosomes (red; LysoTracker™), and nuclei (blue; NucBlue™). Images show &gt; 10 cells each. Pearson correlation coefficient and Manders‘ coefficients were calculated using the JaCoP Plugin in ImageJ. Thresholds were set manually. M1 = ch01 (red) overlapping ch02 (green); M2 = ch02 (green) overlapping ch01 (red).</w:t>
      </w:r>
      <w:r w:rsidR="00B72CC1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</w:t>
      </w:r>
      <w:r w:rsidR="00B72CC1" w:rsidRPr="00B72CC1">
        <w:rPr>
          <w:rFonts w:ascii="Calibri" w:hAnsi="Calibri"/>
          <w:color w:val="000000" w:themeColor="text1"/>
          <w:sz w:val="20"/>
          <w:szCs w:val="20"/>
          <w:lang w:val="en-US"/>
        </w:rPr>
        <w:t xml:space="preserve">Scale bars = 10 µm.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(a)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NA488 +/- TGN-biotin;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(b)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Siltuximab (-TGN) + IL-6;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Tocilizumab(-TGN) + IL-6R;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(d)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VHH_IL-6(-TGN) + IL-6;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(e)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sIL-6R(-TGN) + IL-6.</w:t>
      </w:r>
    </w:p>
    <w:p w14:paraId="76B8F399" w14:textId="7885F44B" w:rsidR="00A6669A" w:rsidRDefault="00A6669A">
      <w:pPr>
        <w:rPr>
          <w:lang w:val="en-US"/>
        </w:rPr>
      </w:pPr>
    </w:p>
    <w:p w14:paraId="6EA5B352" w14:textId="4BE36294" w:rsidR="006F06E8" w:rsidRPr="00EF2036" w:rsidRDefault="006F06E8" w:rsidP="00592F0B">
      <w:pPr>
        <w:spacing w:after="0" w:line="240" w:lineRule="auto"/>
        <w:jc w:val="both"/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65DD4873" wp14:editId="753140C3">
            <wp:extent cx="5400000" cy="420897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08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</w:t>
      </w:r>
      <w:r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8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: IL-6 signaling in HEK-Blue™ IL-6 reporter cells.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HEK-Blue™ IL-6 cells were stimulated with IL-6 (100 ng/mL) in complex with </w:t>
      </w:r>
      <w:r w:rsidRPr="00EF2036">
        <w:rPr>
          <w:rFonts w:ascii="Calibri" w:eastAsia="+mn-ea" w:hAnsi="Calibri" w:cs="Calibri"/>
          <w:b/>
          <w:color w:val="000000"/>
          <w:kern w:val="24"/>
          <w:sz w:val="20"/>
          <w:szCs w:val="20"/>
          <w:lang w:val="en-US" w:eastAsia="de-DE"/>
          <w14:ligatures w14:val="none"/>
        </w:rPr>
        <w:t>(a)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Siltuximab(-TGN), </w:t>
      </w:r>
      <w:r w:rsidRPr="00EF2036">
        <w:rPr>
          <w:rFonts w:ascii="Calibri" w:eastAsia="+mn-ea" w:hAnsi="Calibri" w:cs="Calibri"/>
          <w:b/>
          <w:color w:val="000000"/>
          <w:kern w:val="24"/>
          <w:sz w:val="20"/>
          <w:szCs w:val="20"/>
          <w:lang w:val="en-US" w:eastAsia="de-DE"/>
          <w14:ligatures w14:val="none"/>
        </w:rPr>
        <w:t xml:space="preserve">(b)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VHH_IL-6(-TGN), or </w:t>
      </w:r>
      <w:r w:rsidRPr="00EF2036">
        <w:rPr>
          <w:rFonts w:ascii="Calibri" w:eastAsia="+mn-ea" w:hAnsi="Calibri" w:cs="Calibri"/>
          <w:b/>
          <w:color w:val="000000"/>
          <w:kern w:val="24"/>
          <w:sz w:val="20"/>
          <w:szCs w:val="20"/>
          <w:lang w:val="en-US" w:eastAsia="de-DE"/>
          <w14:ligatures w14:val="none"/>
        </w:rPr>
        <w:t>(c)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sIL-6R(-TGN) at the indicated concentrations (0.4 nM, 4 nM, 40 nM). IL-13 (100 ng/mL) was included as a negative control. SEAP activity was measured after 20 h of incubation using QUANTI-Blue™ reagent. Absorbance was recorded at 620 nm. Data represent mean ± SD of biological triplicates.</w:t>
      </w:r>
    </w:p>
    <w:p w14:paraId="13E9B229" w14:textId="77777777" w:rsidR="006F06E8" w:rsidRDefault="006F06E8">
      <w:pPr>
        <w:rPr>
          <w:lang w:val="en-US"/>
        </w:rPr>
      </w:pPr>
    </w:p>
    <w:p w14:paraId="492BDEBE" w14:textId="77777777" w:rsidR="006F06E8" w:rsidRDefault="006F06E8">
      <w:pP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</w:pPr>
      <w:r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br w:type="page"/>
      </w:r>
    </w:p>
    <w:p w14:paraId="08A7C606" w14:textId="0B3394D5" w:rsidR="006F06E8" w:rsidRDefault="006F06E8" w:rsidP="00592F0B">
      <w:pPr>
        <w:spacing w:after="0" w:line="240" w:lineRule="auto"/>
        <w:jc w:val="both"/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</w:pPr>
      <w:r w:rsidRPr="00EF2036">
        <w:rPr>
          <w:rFonts w:ascii="Calibri" w:eastAsia="Times New Roman" w:hAnsi="Calibri" w:cs="Calibri"/>
          <w:b/>
          <w:noProof/>
          <w:color w:val="000000"/>
          <w:kern w:val="0"/>
          <w:sz w:val="20"/>
          <w:szCs w:val="20"/>
          <w:lang w:val="en-US" w:eastAsia="de-DE"/>
          <w14:ligatures w14:val="none"/>
        </w:rPr>
        <w:lastRenderedPageBreak/>
        <w:drawing>
          <wp:inline distT="0" distB="0" distL="0" distR="0" wp14:anchorId="2764894E" wp14:editId="56F446DB">
            <wp:extent cx="5400000" cy="234300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4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2036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val="en-US" w:eastAsia="de-DE"/>
          <w14:ligatures w14:val="none"/>
        </w:rPr>
        <w:t xml:space="preserve">Supplementary 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Figure </w:t>
      </w:r>
      <w:r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>9</w:t>
      </w:r>
      <w:r w:rsidRPr="00EF2036">
        <w:rPr>
          <w:rFonts w:ascii="Calibri" w:eastAsia="+mn-ea" w:hAnsi="Calibri" w:cs="Calibri"/>
          <w:b/>
          <w:bCs/>
          <w:color w:val="000000"/>
          <w:kern w:val="24"/>
          <w:sz w:val="20"/>
          <w:szCs w:val="20"/>
          <w:lang w:val="en-US" w:eastAsia="de-DE"/>
          <w14:ligatures w14:val="none"/>
        </w:rPr>
        <w:t xml:space="preserve">: Gating strategy for flow cytometry analysis in HepG2 cells. (a) 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Gating of viable HepG2 cells; </w:t>
      </w:r>
      <w:r w:rsidRPr="00EF2036">
        <w:rPr>
          <w:rFonts w:ascii="Calibri" w:eastAsia="+mn-ea" w:hAnsi="Calibri" w:cs="Calibri"/>
          <w:b/>
          <w:color w:val="000000"/>
          <w:kern w:val="24"/>
          <w:sz w:val="20"/>
          <w:szCs w:val="20"/>
          <w:lang w:val="en-US" w:eastAsia="de-DE"/>
          <w14:ligatures w14:val="none"/>
        </w:rPr>
        <w:t>(b)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t xml:space="preserve"> gating of dead cells based on near-infrared (NIR) viability dye exclusion.</w:t>
      </w:r>
      <w:r w:rsidRPr="00EF2036"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br/>
        <w:t>Initial gating was performed using forward scatter (FSC) and side scatter (SSC) to exclude debris and identify the main cell population. Singlet discrimination was applied via FSC-A vs. FSC-H gating to eliminate doublets and aggregates. Viability gating based on NIR staining allowed exclusion of dead cells. A histogram illustrates the fluorescence intensity (e.g., NA488-IL-6 signal) in the gated, viable single-cell population. Fluorescence thresholds were defined using untreated and unstained controls. All gating steps were applied consistently across biological replicates.</w:t>
      </w:r>
    </w:p>
    <w:p w14:paraId="717CEE3A" w14:textId="7FE2A24D" w:rsidR="00A76E8F" w:rsidRDefault="00A76E8F">
      <w:pPr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</w:pPr>
      <w:r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br w:type="page"/>
      </w:r>
    </w:p>
    <w:p w14:paraId="165713AB" w14:textId="77777777" w:rsidR="00A76E8F" w:rsidRPr="00A76E8F" w:rsidRDefault="00A76E8F" w:rsidP="00A76E8F">
      <w:pPr>
        <w:pStyle w:val="Literaturverzeichnis"/>
        <w:rPr>
          <w:rFonts w:ascii="Calibri" w:hAnsi="Calibri" w:cs="Calibri"/>
          <w:kern w:val="0"/>
          <w:sz w:val="20"/>
          <w:lang w:val="en-US"/>
        </w:rPr>
      </w:pPr>
      <w:r>
        <w:rPr>
          <w:lang w:val="en-US" w:eastAsia="de-DE"/>
        </w:rPr>
        <w:lastRenderedPageBreak/>
        <w:fldChar w:fldCharType="begin"/>
      </w:r>
      <w:r>
        <w:rPr>
          <w:lang w:val="en-US" w:eastAsia="de-DE"/>
        </w:rPr>
        <w:instrText xml:space="preserve"> ADDIN ZOTERO_BIBL {"uncited":[],"omitted":[],"custom":[]} CSL_BIBLIOGRAPHY </w:instrText>
      </w:r>
      <w:r>
        <w:rPr>
          <w:lang w:val="en-US" w:eastAsia="de-DE"/>
        </w:rPr>
        <w:fldChar w:fldCharType="separate"/>
      </w:r>
      <w:r w:rsidRPr="00A76E8F">
        <w:rPr>
          <w:rFonts w:ascii="Calibri" w:hAnsi="Calibri" w:cs="Calibri"/>
          <w:kern w:val="0"/>
          <w:sz w:val="20"/>
          <w:lang w:val="en-US"/>
        </w:rPr>
        <w:t>1.</w:t>
      </w:r>
      <w:r w:rsidRPr="00A76E8F">
        <w:rPr>
          <w:rFonts w:ascii="Calibri" w:hAnsi="Calibri" w:cs="Calibri"/>
          <w:kern w:val="0"/>
          <w:sz w:val="20"/>
          <w:lang w:val="en-US"/>
        </w:rPr>
        <w:tab/>
        <w:t xml:space="preserve">Created in BioRender. </w:t>
      </w:r>
      <w:r w:rsidRPr="00A76E8F">
        <w:rPr>
          <w:rFonts w:ascii="Calibri" w:hAnsi="Calibri" w:cs="Calibri"/>
          <w:i/>
          <w:iCs/>
          <w:kern w:val="0"/>
          <w:sz w:val="20"/>
          <w:lang w:val="en-US"/>
        </w:rPr>
        <w:t>Safarian, S. (2025)</w:t>
      </w:r>
      <w:r w:rsidRPr="00A76E8F">
        <w:rPr>
          <w:rFonts w:ascii="Calibri" w:hAnsi="Calibri" w:cs="Calibri"/>
          <w:kern w:val="0"/>
          <w:sz w:val="20"/>
          <w:lang w:val="en-US"/>
        </w:rPr>
        <w:t xml:space="preserve"> https://BioRender.com/ qlelnew.</w:t>
      </w:r>
    </w:p>
    <w:p w14:paraId="259A507A" w14:textId="77777777" w:rsidR="00A76E8F" w:rsidRPr="00A76E8F" w:rsidRDefault="00A76E8F" w:rsidP="00A76E8F">
      <w:pPr>
        <w:pStyle w:val="Literaturverzeichnis"/>
        <w:rPr>
          <w:rFonts w:ascii="Calibri" w:hAnsi="Calibri" w:cs="Calibri"/>
          <w:kern w:val="0"/>
          <w:sz w:val="20"/>
          <w:lang w:val="en-US"/>
        </w:rPr>
      </w:pPr>
      <w:r w:rsidRPr="00A76E8F">
        <w:rPr>
          <w:rFonts w:ascii="Calibri" w:hAnsi="Calibri" w:cs="Calibri"/>
          <w:kern w:val="0"/>
          <w:sz w:val="20"/>
          <w:lang w:val="en-US"/>
        </w:rPr>
        <w:t>2.</w:t>
      </w:r>
      <w:r w:rsidRPr="00A76E8F">
        <w:rPr>
          <w:rFonts w:ascii="Calibri" w:hAnsi="Calibri" w:cs="Calibri"/>
          <w:kern w:val="0"/>
          <w:sz w:val="20"/>
          <w:lang w:val="en-US"/>
        </w:rPr>
        <w:tab/>
        <w:t xml:space="preserve">Created in BioRender. </w:t>
      </w:r>
      <w:r w:rsidRPr="00A76E8F">
        <w:rPr>
          <w:rFonts w:ascii="Calibri" w:hAnsi="Calibri" w:cs="Calibri"/>
          <w:i/>
          <w:iCs/>
          <w:kern w:val="0"/>
          <w:sz w:val="20"/>
          <w:lang w:val="en-US"/>
        </w:rPr>
        <w:t>Safarian, S. (2025)</w:t>
      </w:r>
      <w:r w:rsidRPr="00A76E8F">
        <w:rPr>
          <w:rFonts w:ascii="Calibri" w:hAnsi="Calibri" w:cs="Calibri"/>
          <w:kern w:val="0"/>
          <w:sz w:val="20"/>
          <w:lang w:val="en-US"/>
        </w:rPr>
        <w:t xml:space="preserve"> https://BioRender.com/ bfvbs3q.</w:t>
      </w:r>
    </w:p>
    <w:p w14:paraId="34795856" w14:textId="4B1E63CC" w:rsidR="00A76E8F" w:rsidRPr="00EF2036" w:rsidRDefault="00A76E8F" w:rsidP="00592F0B">
      <w:pPr>
        <w:spacing w:after="0" w:line="240" w:lineRule="auto"/>
        <w:jc w:val="both"/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</w:pPr>
      <w:r>
        <w:rPr>
          <w:rFonts w:ascii="Calibri" w:eastAsia="+mn-ea" w:hAnsi="Calibri" w:cs="Calibri"/>
          <w:color w:val="000000"/>
          <w:kern w:val="24"/>
          <w:sz w:val="20"/>
          <w:szCs w:val="20"/>
          <w:lang w:val="en-US" w:eastAsia="de-DE"/>
          <w14:ligatures w14:val="none"/>
        </w:rPr>
        <w:fldChar w:fldCharType="end"/>
      </w:r>
    </w:p>
    <w:p w14:paraId="55B1742C" w14:textId="77777777" w:rsidR="006F06E8" w:rsidRPr="00EF2036" w:rsidRDefault="006F06E8">
      <w:pPr>
        <w:rPr>
          <w:lang w:val="en-US"/>
        </w:rPr>
      </w:pPr>
    </w:p>
    <w:sectPr w:rsidR="006F06E8" w:rsidRPr="00EF20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36"/>
    <w:rsid w:val="00041E53"/>
    <w:rsid w:val="00065845"/>
    <w:rsid w:val="00073A5D"/>
    <w:rsid w:val="00100825"/>
    <w:rsid w:val="001306BC"/>
    <w:rsid w:val="00136143"/>
    <w:rsid w:val="001E4AD8"/>
    <w:rsid w:val="00287D9F"/>
    <w:rsid w:val="002E1AAC"/>
    <w:rsid w:val="003E5198"/>
    <w:rsid w:val="0045658F"/>
    <w:rsid w:val="004E0B5F"/>
    <w:rsid w:val="00592F0B"/>
    <w:rsid w:val="006438AC"/>
    <w:rsid w:val="006F06E8"/>
    <w:rsid w:val="00732327"/>
    <w:rsid w:val="0076424C"/>
    <w:rsid w:val="007B4E74"/>
    <w:rsid w:val="007E38CE"/>
    <w:rsid w:val="009C449E"/>
    <w:rsid w:val="009E0E85"/>
    <w:rsid w:val="00A25F07"/>
    <w:rsid w:val="00A6669A"/>
    <w:rsid w:val="00A76E8F"/>
    <w:rsid w:val="00B24036"/>
    <w:rsid w:val="00B72CC1"/>
    <w:rsid w:val="00B9772E"/>
    <w:rsid w:val="00BD0E0C"/>
    <w:rsid w:val="00D80CF7"/>
    <w:rsid w:val="00D8206E"/>
    <w:rsid w:val="00E03BB8"/>
    <w:rsid w:val="00EF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9563C"/>
  <w15:chartTrackingRefBased/>
  <w15:docId w15:val="{D5E95122-1612-47EB-99C0-1D5524B48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F2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F2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F2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F2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F2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F2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F2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F2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F2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F2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F2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F2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F203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F203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F203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F203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F203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F20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F2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F2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F2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2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F2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F203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F203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F203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F2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F203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F2036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20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F2036"/>
    <w:pPr>
      <w:spacing w:after="0" w:line="240" w:lineRule="auto"/>
    </w:pPr>
    <w:rPr>
      <w:rFonts w:eastAsia="SimSun"/>
      <w:kern w:val="0"/>
      <w:sz w:val="20"/>
      <w:szCs w:val="20"/>
      <w:lang w:val="en-US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F2036"/>
    <w:rPr>
      <w:rFonts w:eastAsia="SimSun"/>
      <w:kern w:val="0"/>
      <w:sz w:val="20"/>
      <w:szCs w:val="20"/>
      <w:lang w:val="en-US"/>
      <w14:ligatures w14:val="none"/>
    </w:rPr>
  </w:style>
  <w:style w:type="paragraph" w:customStyle="1" w:styleId="Text">
    <w:name w:val="Text"/>
    <w:rsid w:val="00EF20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eastAsia="de-DE"/>
      <w14:ligatures w14:val="none"/>
    </w:rPr>
  </w:style>
  <w:style w:type="table" w:styleId="Tabellenraster">
    <w:name w:val="Table Grid"/>
    <w:basedOn w:val="NormaleTabelle"/>
    <w:uiPriority w:val="59"/>
    <w:rsid w:val="00EF2036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E38CE"/>
    <w:pPr>
      <w:spacing w:after="160"/>
    </w:pPr>
    <w:rPr>
      <w:rFonts w:eastAsiaTheme="minorHAnsi"/>
      <w:b/>
      <w:bCs/>
      <w:kern w:val="2"/>
      <w:lang w:val="de-DE"/>
      <w14:ligatures w14:val="standardContextual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E38CE"/>
    <w:rPr>
      <w:rFonts w:eastAsia="SimSun"/>
      <w:b/>
      <w:bCs/>
      <w:kern w:val="0"/>
      <w:sz w:val="20"/>
      <w:szCs w:val="20"/>
      <w:lang w:val="en-US"/>
      <w14:ligatures w14:val="none"/>
    </w:rPr>
  </w:style>
  <w:style w:type="paragraph" w:styleId="berarbeitung">
    <w:name w:val="Revision"/>
    <w:hidden/>
    <w:uiPriority w:val="99"/>
    <w:semiHidden/>
    <w:rsid w:val="00D8206E"/>
    <w:pPr>
      <w:spacing w:after="0" w:line="240" w:lineRule="auto"/>
    </w:pPr>
  </w:style>
  <w:style w:type="paragraph" w:styleId="Literaturverzeichnis">
    <w:name w:val="Bibliography"/>
    <w:basedOn w:val="Standard"/>
    <w:next w:val="Standard"/>
    <w:uiPriority w:val="37"/>
    <w:unhideWhenUsed/>
    <w:rsid w:val="00A76E8F"/>
    <w:pPr>
      <w:tabs>
        <w:tab w:val="left" w:pos="264"/>
      </w:tabs>
      <w:spacing w:after="0" w:line="480" w:lineRule="auto"/>
      <w:ind w:left="264" w:hanging="2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1664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Seifert</dc:creator>
  <cp:keywords/>
  <dc:description/>
  <cp:lastModifiedBy>Seifert, Michelle</cp:lastModifiedBy>
  <cp:revision>11</cp:revision>
  <dcterms:created xsi:type="dcterms:W3CDTF">2025-08-02T14:57:00Z</dcterms:created>
  <dcterms:modified xsi:type="dcterms:W3CDTF">2025-08-11T08:15:00Z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zotero-version="7.0.22"&gt;&lt;session id="ooqTcBiz"/&gt;&lt;style id="http://www.zotero.org/styles/nature" hasBibliography="1" bibliographyStyleHasBeenSet="1"/&gt;&lt;prefs&gt;&lt;pref name="fieldType" value="Field"/&gt;&lt;/prefs&gt;&lt;/data&gt;</vt:lpwstr>
  </property>
</Properties>
</file>