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CB93E" w14:textId="77777777" w:rsidR="00C62C03" w:rsidRPr="00DE1276" w:rsidRDefault="00B30EA6" w:rsidP="00234B7D">
      <w:pPr>
        <w:jc w:val="center"/>
        <w:rPr>
          <w:rFonts w:ascii="Times New Roman" w:hAnsi="Times New Roman" w:cs="Times New Roman"/>
          <w:b/>
        </w:rPr>
      </w:pPr>
      <w:r w:rsidRPr="00DE1276">
        <w:rPr>
          <w:rFonts w:ascii="Times New Roman" w:hAnsi="Times New Roman" w:cs="Times New Roman"/>
          <w:b/>
        </w:rPr>
        <w:t>Supplementary Files</w:t>
      </w:r>
    </w:p>
    <w:p w14:paraId="1D1192DE" w14:textId="63EB5093" w:rsidR="00CD1DE4" w:rsidRPr="00DE1276" w:rsidRDefault="00CD1DE4" w:rsidP="00CD1DE4">
      <w:pPr>
        <w:widowControl/>
        <w:rPr>
          <w:rFonts w:ascii="Times New Roman" w:hAnsi="Times New Roman" w:cs="Times New Roman"/>
        </w:rPr>
      </w:pPr>
      <w:r w:rsidRPr="00DE1276">
        <w:rPr>
          <w:rFonts w:ascii="Times New Roman" w:hAnsi="Times New Roman" w:cs="Times New Roman"/>
          <w:b/>
          <w:color w:val="000000"/>
          <w:szCs w:val="24"/>
        </w:rPr>
        <w:t>Table</w:t>
      </w:r>
      <w:r w:rsidRPr="00DE1276">
        <w:rPr>
          <w:rFonts w:ascii="Times New Roman" w:hAnsi="Times New Roman" w:cs="Times New Roman"/>
          <w:b/>
          <w:color w:val="000000"/>
          <w:szCs w:val="24"/>
        </w:rPr>
        <w:t xml:space="preserve"> S</w:t>
      </w:r>
      <w:r w:rsidRPr="00DE1276">
        <w:rPr>
          <w:rFonts w:ascii="Times New Roman" w:hAnsi="Times New Roman" w:cs="Times New Roman"/>
          <w:b/>
          <w:color w:val="000000"/>
          <w:szCs w:val="24"/>
        </w:rPr>
        <w:t xml:space="preserve">1. Utilized proxy codes </w:t>
      </w:r>
      <w:r w:rsidRPr="00DE1276">
        <w:rPr>
          <w:rFonts w:ascii="Times New Roman" w:hAnsi="Times New Roman" w:cs="Times New Roman"/>
          <w:b/>
          <w:color w:val="000000"/>
          <w:szCs w:val="24"/>
          <w:vertAlign w:val="superscript"/>
        </w:rPr>
        <w:t>a</w:t>
      </w:r>
    </w:p>
    <w:tbl>
      <w:tblPr>
        <w:tblStyle w:val="a8"/>
        <w:tblW w:w="0" w:type="auto"/>
        <w:tblLook w:val="04A0" w:firstRow="1" w:lastRow="0" w:firstColumn="1" w:lastColumn="0" w:noHBand="0" w:noVBand="1"/>
      </w:tblPr>
      <w:tblGrid>
        <w:gridCol w:w="6974"/>
        <w:gridCol w:w="6974"/>
      </w:tblGrid>
      <w:tr w:rsidR="00CD1DE4" w:rsidRPr="00DE1276" w14:paraId="05A210F0" w14:textId="77777777" w:rsidTr="0050713B">
        <w:tc>
          <w:tcPr>
            <w:tcW w:w="6974" w:type="dxa"/>
          </w:tcPr>
          <w:p w14:paraId="463C1B86" w14:textId="77777777" w:rsidR="00CD1DE4" w:rsidRPr="00DE1276" w:rsidRDefault="00CD1DE4" w:rsidP="0050713B">
            <w:pPr>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Description</w:t>
            </w:r>
          </w:p>
        </w:tc>
        <w:tc>
          <w:tcPr>
            <w:tcW w:w="6974" w:type="dxa"/>
          </w:tcPr>
          <w:p w14:paraId="0AF8CB75" w14:textId="77777777" w:rsidR="00CD1DE4" w:rsidRPr="00DE1276" w:rsidRDefault="00CD1DE4" w:rsidP="0050713B">
            <w:pPr>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ICD-10-CM codes</w:t>
            </w:r>
          </w:p>
        </w:tc>
      </w:tr>
      <w:tr w:rsidR="00CD1DE4" w:rsidRPr="00DE1276" w14:paraId="65A405E9" w14:textId="77777777" w:rsidTr="0050713B">
        <w:tc>
          <w:tcPr>
            <w:tcW w:w="6974" w:type="dxa"/>
          </w:tcPr>
          <w:p w14:paraId="35707AF7" w14:textId="77777777" w:rsidR="00CD1DE4" w:rsidRPr="00DE1276" w:rsidRDefault="00CD1DE4" w:rsidP="0050713B">
            <w:pPr>
              <w:rPr>
                <w:rFonts w:ascii="Times New Roman" w:hAnsi="Times New Roman" w:cs="Times New Roman"/>
                <w:i/>
                <w:color w:val="000000"/>
                <w:sz w:val="20"/>
                <w:szCs w:val="20"/>
              </w:rPr>
            </w:pPr>
            <w:r w:rsidRPr="00DE1276">
              <w:rPr>
                <w:rFonts w:ascii="Times New Roman" w:hAnsi="Times New Roman" w:cs="Times New Roman"/>
                <w:i/>
                <w:color w:val="000000"/>
                <w:sz w:val="20"/>
                <w:szCs w:val="20"/>
              </w:rPr>
              <w:t>Study population</w:t>
            </w:r>
          </w:p>
        </w:tc>
        <w:tc>
          <w:tcPr>
            <w:tcW w:w="6974" w:type="dxa"/>
          </w:tcPr>
          <w:p w14:paraId="372A1CEA" w14:textId="77777777" w:rsidR="00CD1DE4" w:rsidRPr="00DE1276" w:rsidRDefault="00CD1DE4" w:rsidP="0050713B">
            <w:pPr>
              <w:rPr>
                <w:rFonts w:ascii="Times New Roman" w:hAnsi="Times New Roman" w:cs="Times New Roman"/>
                <w:b/>
                <w:color w:val="000000"/>
                <w:sz w:val="20"/>
                <w:szCs w:val="20"/>
              </w:rPr>
            </w:pPr>
          </w:p>
        </w:tc>
      </w:tr>
      <w:tr w:rsidR="00CD1DE4" w:rsidRPr="00DE1276" w14:paraId="1BB76804" w14:textId="77777777" w:rsidTr="0050713B">
        <w:tc>
          <w:tcPr>
            <w:tcW w:w="6974" w:type="dxa"/>
          </w:tcPr>
          <w:p w14:paraId="6083B1BB" w14:textId="77777777" w:rsidR="00CD1DE4" w:rsidRPr="00DE1276" w:rsidRDefault="00CD1DE4" w:rsidP="0050713B">
            <w:pPr>
              <w:ind w:firstLineChars="100" w:firstLine="200"/>
              <w:rPr>
                <w:rFonts w:ascii="Times New Roman" w:hAnsi="Times New Roman" w:cs="Times New Roman"/>
                <w:sz w:val="20"/>
                <w:szCs w:val="20"/>
              </w:rPr>
            </w:pPr>
            <w:bookmarkStart w:id="0" w:name="_Hlk197527920"/>
            <w:r w:rsidRPr="00DE1276">
              <w:rPr>
                <w:rFonts w:ascii="Times New Roman" w:hAnsi="Times New Roman" w:cs="Times New Roman"/>
                <w:sz w:val="20"/>
                <w:szCs w:val="20"/>
              </w:rPr>
              <w:t>Hidradenitis suppurativa</w:t>
            </w:r>
            <w:bookmarkEnd w:id="0"/>
          </w:p>
        </w:tc>
        <w:tc>
          <w:tcPr>
            <w:tcW w:w="6974" w:type="dxa"/>
          </w:tcPr>
          <w:p w14:paraId="374636F7" w14:textId="77777777" w:rsidR="00CD1DE4" w:rsidRPr="00DE1276" w:rsidRDefault="00CD1DE4" w:rsidP="0050713B">
            <w:pPr>
              <w:rPr>
                <w:rFonts w:ascii="Times New Roman" w:hAnsi="Times New Roman" w:cs="Times New Roman"/>
                <w:b/>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L73.2</w:t>
            </w:r>
          </w:p>
        </w:tc>
      </w:tr>
      <w:tr w:rsidR="00CD1DE4" w:rsidRPr="00DE1276" w14:paraId="0DD4F088" w14:textId="77777777" w:rsidTr="0050713B">
        <w:tc>
          <w:tcPr>
            <w:tcW w:w="6974" w:type="dxa"/>
          </w:tcPr>
          <w:p w14:paraId="661E2377" w14:textId="77777777" w:rsidR="00CD1DE4" w:rsidRPr="00DE1276" w:rsidRDefault="00CD1DE4" w:rsidP="0050713B">
            <w:pPr>
              <w:rPr>
                <w:rFonts w:ascii="Times New Roman" w:hAnsi="Times New Roman" w:cs="Times New Roman"/>
                <w:i/>
                <w:sz w:val="20"/>
                <w:szCs w:val="20"/>
              </w:rPr>
            </w:pPr>
            <w:r w:rsidRPr="00DE1276">
              <w:rPr>
                <w:rFonts w:ascii="Times New Roman" w:hAnsi="Times New Roman" w:cs="Times New Roman"/>
                <w:i/>
                <w:sz w:val="20"/>
                <w:szCs w:val="20"/>
              </w:rPr>
              <w:t>Outcome: Fracture risk</w:t>
            </w:r>
          </w:p>
        </w:tc>
        <w:tc>
          <w:tcPr>
            <w:tcW w:w="6974" w:type="dxa"/>
          </w:tcPr>
          <w:p w14:paraId="2D43670C" w14:textId="77777777" w:rsidR="00CD1DE4" w:rsidRPr="00DE1276" w:rsidRDefault="00CD1DE4" w:rsidP="0050713B">
            <w:pPr>
              <w:rPr>
                <w:rFonts w:ascii="Times New Roman" w:hAnsi="Times New Roman" w:cs="Times New Roman"/>
                <w:bCs/>
                <w:color w:val="000000"/>
                <w:sz w:val="20"/>
                <w:szCs w:val="20"/>
              </w:rPr>
            </w:pPr>
          </w:p>
        </w:tc>
      </w:tr>
      <w:tr w:rsidR="00CD1DE4" w:rsidRPr="00DE1276" w14:paraId="03D6D132" w14:textId="77777777" w:rsidTr="0050713B">
        <w:tc>
          <w:tcPr>
            <w:tcW w:w="6974" w:type="dxa"/>
            <w:vAlign w:val="center"/>
          </w:tcPr>
          <w:p w14:paraId="3D1C5B96"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All fractures</w:t>
            </w:r>
          </w:p>
        </w:tc>
        <w:tc>
          <w:tcPr>
            <w:tcW w:w="6974" w:type="dxa"/>
          </w:tcPr>
          <w:p w14:paraId="03F25C97"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S02, S12, S22, S32, S42, S62, S72, S82, S92</w:t>
            </w:r>
          </w:p>
        </w:tc>
      </w:tr>
      <w:tr w:rsidR="00CD1DE4" w:rsidRPr="00DE1276" w14:paraId="17C2E2E3" w14:textId="77777777" w:rsidTr="0050713B">
        <w:tc>
          <w:tcPr>
            <w:tcW w:w="6974" w:type="dxa"/>
            <w:vAlign w:val="center"/>
          </w:tcPr>
          <w:p w14:paraId="63241173"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Vertebral fractures</w:t>
            </w:r>
          </w:p>
        </w:tc>
        <w:tc>
          <w:tcPr>
            <w:tcW w:w="6974" w:type="dxa"/>
          </w:tcPr>
          <w:p w14:paraId="79BE6202"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S12.0, S12.1, S12.2, S12.3, S12.4, S12.5, S12.6, S22.0, S32.0</w:t>
            </w:r>
          </w:p>
        </w:tc>
      </w:tr>
      <w:tr w:rsidR="00CD1DE4" w:rsidRPr="00DE1276" w14:paraId="4BBD2D31" w14:textId="77777777" w:rsidTr="0050713B">
        <w:tc>
          <w:tcPr>
            <w:tcW w:w="6974" w:type="dxa"/>
            <w:vAlign w:val="center"/>
          </w:tcPr>
          <w:p w14:paraId="2A86D131"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Hip fractures</w:t>
            </w:r>
          </w:p>
        </w:tc>
        <w:tc>
          <w:tcPr>
            <w:tcW w:w="6974" w:type="dxa"/>
          </w:tcPr>
          <w:p w14:paraId="11141D85"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S72.0, S72.1, S72.2</w:t>
            </w:r>
          </w:p>
        </w:tc>
      </w:tr>
      <w:tr w:rsidR="00CD1DE4" w:rsidRPr="00DE1276" w14:paraId="4D28B00E" w14:textId="77777777" w:rsidTr="0050713B">
        <w:tc>
          <w:tcPr>
            <w:tcW w:w="6974" w:type="dxa"/>
            <w:vAlign w:val="center"/>
          </w:tcPr>
          <w:p w14:paraId="337B7B48"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Wrist fractures</w:t>
            </w:r>
          </w:p>
        </w:tc>
        <w:tc>
          <w:tcPr>
            <w:tcW w:w="6974" w:type="dxa"/>
          </w:tcPr>
          <w:p w14:paraId="233541C4"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S62.0, S62.1, S52.50, S52,51, S52.60, S52,61</w:t>
            </w:r>
          </w:p>
        </w:tc>
      </w:tr>
      <w:tr w:rsidR="00CD1DE4" w:rsidRPr="00DE1276" w14:paraId="26202B04" w14:textId="77777777" w:rsidTr="0050713B">
        <w:tc>
          <w:tcPr>
            <w:tcW w:w="6974" w:type="dxa"/>
            <w:vAlign w:val="center"/>
          </w:tcPr>
          <w:p w14:paraId="2CF6D73D"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Proximal humeral fractures</w:t>
            </w:r>
          </w:p>
        </w:tc>
        <w:tc>
          <w:tcPr>
            <w:tcW w:w="6974" w:type="dxa"/>
          </w:tcPr>
          <w:p w14:paraId="14AC03F3"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S42.2, S42.3</w:t>
            </w:r>
          </w:p>
        </w:tc>
      </w:tr>
      <w:tr w:rsidR="00CD1DE4" w:rsidRPr="00DE1276" w14:paraId="18575103" w14:textId="77777777" w:rsidTr="0050713B">
        <w:tc>
          <w:tcPr>
            <w:tcW w:w="6974" w:type="dxa"/>
            <w:vAlign w:val="center"/>
          </w:tcPr>
          <w:p w14:paraId="3B1EF299"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Lower leg fractures</w:t>
            </w:r>
            <w:bookmarkStart w:id="1" w:name="_GoBack"/>
            <w:bookmarkEnd w:id="1"/>
          </w:p>
        </w:tc>
        <w:tc>
          <w:tcPr>
            <w:tcW w:w="6974" w:type="dxa"/>
          </w:tcPr>
          <w:p w14:paraId="2D4DAFA0"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S82.0, S82.1, S82.2, S82.3, S82.4, S82.5, S82.6, S82.8, S82.9</w:t>
            </w:r>
          </w:p>
        </w:tc>
      </w:tr>
      <w:tr w:rsidR="00CD1DE4" w:rsidRPr="00DE1276" w14:paraId="43906B04" w14:textId="77777777" w:rsidTr="0050713B">
        <w:tc>
          <w:tcPr>
            <w:tcW w:w="6974" w:type="dxa"/>
          </w:tcPr>
          <w:p w14:paraId="68CBA94B" w14:textId="77777777" w:rsidR="00CD1DE4" w:rsidRPr="00DE1276" w:rsidRDefault="00CD1DE4" w:rsidP="0050713B">
            <w:pPr>
              <w:rPr>
                <w:rFonts w:ascii="Times New Roman" w:hAnsi="Times New Roman" w:cs="Times New Roman"/>
                <w:i/>
                <w:sz w:val="20"/>
                <w:szCs w:val="20"/>
              </w:rPr>
            </w:pPr>
            <w:r w:rsidRPr="00DE1276">
              <w:rPr>
                <w:rFonts w:ascii="Times New Roman" w:hAnsi="Times New Roman" w:cs="Times New Roman"/>
                <w:i/>
                <w:sz w:val="20"/>
                <w:szCs w:val="20"/>
              </w:rPr>
              <w:t>Other diseases or covariates</w:t>
            </w:r>
          </w:p>
        </w:tc>
        <w:tc>
          <w:tcPr>
            <w:tcW w:w="6974" w:type="dxa"/>
          </w:tcPr>
          <w:p w14:paraId="682A8DD7" w14:textId="77777777" w:rsidR="00CD1DE4" w:rsidRPr="00DE1276" w:rsidRDefault="00CD1DE4" w:rsidP="0050713B">
            <w:pPr>
              <w:rPr>
                <w:rFonts w:ascii="Times New Roman" w:hAnsi="Times New Roman" w:cs="Times New Roman"/>
                <w:bCs/>
                <w:color w:val="000000"/>
                <w:sz w:val="20"/>
                <w:szCs w:val="20"/>
              </w:rPr>
            </w:pPr>
          </w:p>
        </w:tc>
      </w:tr>
      <w:tr w:rsidR="00CD1DE4" w:rsidRPr="00DE1276" w14:paraId="0397D91D" w14:textId="77777777" w:rsidTr="0050713B">
        <w:tc>
          <w:tcPr>
            <w:tcW w:w="6974" w:type="dxa"/>
          </w:tcPr>
          <w:p w14:paraId="1666403D"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Neoplasms</w:t>
            </w:r>
          </w:p>
        </w:tc>
        <w:tc>
          <w:tcPr>
            <w:tcW w:w="6974" w:type="dxa"/>
          </w:tcPr>
          <w:p w14:paraId="6BBB1815"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xml:space="preserve">: </w:t>
            </w:r>
            <w:r w:rsidRPr="00DE1276">
              <w:rPr>
                <w:rFonts w:ascii="Times New Roman" w:hAnsi="Times New Roman" w:cs="Times New Roman"/>
                <w:sz w:val="20"/>
                <w:szCs w:val="20"/>
              </w:rPr>
              <w:t>C00-D49</w:t>
            </w:r>
          </w:p>
        </w:tc>
      </w:tr>
      <w:tr w:rsidR="00CD1DE4" w:rsidRPr="00DE1276" w14:paraId="103A3C24" w14:textId="77777777" w:rsidTr="0050713B">
        <w:tc>
          <w:tcPr>
            <w:tcW w:w="6974" w:type="dxa"/>
          </w:tcPr>
          <w:p w14:paraId="7370EE32"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Diabetes mellitus</w:t>
            </w:r>
          </w:p>
        </w:tc>
        <w:tc>
          <w:tcPr>
            <w:tcW w:w="6974" w:type="dxa"/>
          </w:tcPr>
          <w:p w14:paraId="4E6EEB00"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xml:space="preserve">: </w:t>
            </w:r>
            <w:r w:rsidRPr="00DE1276">
              <w:rPr>
                <w:rFonts w:ascii="Times New Roman" w:hAnsi="Times New Roman" w:cs="Times New Roman"/>
                <w:sz w:val="20"/>
                <w:szCs w:val="20"/>
              </w:rPr>
              <w:t>E08-E13</w:t>
            </w:r>
          </w:p>
        </w:tc>
      </w:tr>
      <w:tr w:rsidR="00CD1DE4" w:rsidRPr="00DE1276" w14:paraId="220B18B9" w14:textId="77777777" w:rsidTr="0050713B">
        <w:tc>
          <w:tcPr>
            <w:tcW w:w="6974" w:type="dxa"/>
          </w:tcPr>
          <w:p w14:paraId="2521DC17"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Hypertension</w:t>
            </w:r>
          </w:p>
        </w:tc>
        <w:tc>
          <w:tcPr>
            <w:tcW w:w="6974" w:type="dxa"/>
          </w:tcPr>
          <w:p w14:paraId="1F051BE0"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xml:space="preserve">: </w:t>
            </w:r>
            <w:r w:rsidRPr="00DE1276">
              <w:rPr>
                <w:rFonts w:ascii="Times New Roman" w:hAnsi="Times New Roman" w:cs="Times New Roman"/>
                <w:sz w:val="20"/>
                <w:szCs w:val="20"/>
              </w:rPr>
              <w:t>I10</w:t>
            </w:r>
          </w:p>
        </w:tc>
      </w:tr>
      <w:tr w:rsidR="00CD1DE4" w:rsidRPr="00DE1276" w14:paraId="12F54C0A" w14:textId="77777777" w:rsidTr="0050713B">
        <w:tc>
          <w:tcPr>
            <w:tcW w:w="6974" w:type="dxa"/>
          </w:tcPr>
          <w:p w14:paraId="1EC03B77"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Hyperlipidemia</w:t>
            </w:r>
          </w:p>
        </w:tc>
        <w:tc>
          <w:tcPr>
            <w:tcW w:w="6974" w:type="dxa"/>
          </w:tcPr>
          <w:p w14:paraId="4FB5F7EE"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xml:space="preserve">: </w:t>
            </w:r>
            <w:r w:rsidRPr="00DE1276">
              <w:rPr>
                <w:rFonts w:ascii="Times New Roman" w:hAnsi="Times New Roman" w:cs="Times New Roman"/>
                <w:sz w:val="20"/>
                <w:szCs w:val="20"/>
              </w:rPr>
              <w:t>E78.5</w:t>
            </w:r>
          </w:p>
        </w:tc>
      </w:tr>
      <w:tr w:rsidR="00CD1DE4" w:rsidRPr="00DE1276" w14:paraId="478FE293" w14:textId="77777777" w:rsidTr="0050713B">
        <w:tc>
          <w:tcPr>
            <w:tcW w:w="6974" w:type="dxa"/>
          </w:tcPr>
          <w:p w14:paraId="6772E8A8"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Vitamin D deficiency</w:t>
            </w:r>
          </w:p>
        </w:tc>
        <w:tc>
          <w:tcPr>
            <w:tcW w:w="6974" w:type="dxa"/>
          </w:tcPr>
          <w:p w14:paraId="3E546ABE"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xml:space="preserve">: </w:t>
            </w:r>
            <w:r w:rsidRPr="00DE1276">
              <w:rPr>
                <w:rFonts w:ascii="Times New Roman" w:hAnsi="Times New Roman" w:cs="Times New Roman"/>
                <w:bCs/>
                <w:color w:val="000000"/>
                <w:sz w:val="20"/>
                <w:szCs w:val="20"/>
              </w:rPr>
              <w:t>E55</w:t>
            </w:r>
          </w:p>
        </w:tc>
      </w:tr>
      <w:tr w:rsidR="00CD1DE4" w:rsidRPr="00DE1276" w14:paraId="43FD6106" w14:textId="77777777" w:rsidTr="0050713B">
        <w:tc>
          <w:tcPr>
            <w:tcW w:w="6974" w:type="dxa"/>
          </w:tcPr>
          <w:p w14:paraId="75F3FC4A"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Menopausal and other perimenopausal disorders</w:t>
            </w:r>
          </w:p>
        </w:tc>
        <w:tc>
          <w:tcPr>
            <w:tcW w:w="6974" w:type="dxa"/>
          </w:tcPr>
          <w:p w14:paraId="2C228963"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N95</w:t>
            </w:r>
          </w:p>
        </w:tc>
      </w:tr>
      <w:tr w:rsidR="00CD1DE4" w:rsidRPr="00DE1276" w14:paraId="3478BE18" w14:textId="77777777" w:rsidTr="0050713B">
        <w:tc>
          <w:tcPr>
            <w:tcW w:w="6974" w:type="dxa"/>
          </w:tcPr>
          <w:p w14:paraId="6A7FF6A6"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Persons with potential health hazards related to socioeconomic and psychosocial circumstances</w:t>
            </w:r>
          </w:p>
        </w:tc>
        <w:tc>
          <w:tcPr>
            <w:tcW w:w="6974" w:type="dxa"/>
          </w:tcPr>
          <w:p w14:paraId="4A26257B"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xml:space="preserve">: </w:t>
            </w:r>
            <w:r w:rsidRPr="00DE1276">
              <w:rPr>
                <w:rFonts w:ascii="Times New Roman" w:hAnsi="Times New Roman" w:cs="Times New Roman"/>
                <w:sz w:val="20"/>
                <w:szCs w:val="20"/>
              </w:rPr>
              <w:t>Z55-Z65</w:t>
            </w:r>
          </w:p>
        </w:tc>
      </w:tr>
      <w:tr w:rsidR="00CD1DE4" w:rsidRPr="00DE1276" w14:paraId="281AA796" w14:textId="77777777" w:rsidTr="0050713B">
        <w:tc>
          <w:tcPr>
            <w:tcW w:w="6974" w:type="dxa"/>
          </w:tcPr>
          <w:p w14:paraId="17217377"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Mental and behavioral disorders due to psychoactive substance use</w:t>
            </w:r>
          </w:p>
        </w:tc>
        <w:tc>
          <w:tcPr>
            <w:tcW w:w="6974" w:type="dxa"/>
          </w:tcPr>
          <w:p w14:paraId="79576069"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xml:space="preserve">: </w:t>
            </w:r>
            <w:r w:rsidRPr="00DE1276">
              <w:rPr>
                <w:rFonts w:ascii="Times New Roman" w:hAnsi="Times New Roman" w:cs="Times New Roman"/>
                <w:sz w:val="20"/>
                <w:szCs w:val="20"/>
              </w:rPr>
              <w:t>F10-F19</w:t>
            </w:r>
          </w:p>
        </w:tc>
      </w:tr>
      <w:tr w:rsidR="00CD1DE4" w:rsidRPr="00DE1276" w14:paraId="4F3039A5" w14:textId="77777777" w:rsidTr="0050713B">
        <w:tc>
          <w:tcPr>
            <w:tcW w:w="6974" w:type="dxa"/>
          </w:tcPr>
          <w:p w14:paraId="219C00AF"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lastRenderedPageBreak/>
              <w:t>Alopecia areata</w:t>
            </w:r>
          </w:p>
        </w:tc>
        <w:tc>
          <w:tcPr>
            <w:tcW w:w="6974" w:type="dxa"/>
          </w:tcPr>
          <w:p w14:paraId="78D2EF38"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L63.9</w:t>
            </w:r>
          </w:p>
        </w:tc>
      </w:tr>
      <w:tr w:rsidR="00CD1DE4" w:rsidRPr="00DE1276" w14:paraId="3086E0E7" w14:textId="77777777" w:rsidTr="0050713B">
        <w:tc>
          <w:tcPr>
            <w:tcW w:w="6974" w:type="dxa"/>
          </w:tcPr>
          <w:p w14:paraId="082043FD"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Contact Dermatitis</w:t>
            </w:r>
          </w:p>
        </w:tc>
        <w:tc>
          <w:tcPr>
            <w:tcW w:w="6974" w:type="dxa"/>
          </w:tcPr>
          <w:p w14:paraId="58DCFA9B"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L23.9</w:t>
            </w:r>
          </w:p>
        </w:tc>
      </w:tr>
      <w:tr w:rsidR="00CD1DE4" w:rsidRPr="00DE1276" w14:paraId="3F117C26" w14:textId="77777777" w:rsidTr="0050713B">
        <w:tc>
          <w:tcPr>
            <w:tcW w:w="6974" w:type="dxa"/>
          </w:tcPr>
          <w:p w14:paraId="416EDA88"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Psoriasis</w:t>
            </w:r>
          </w:p>
        </w:tc>
        <w:tc>
          <w:tcPr>
            <w:tcW w:w="6974" w:type="dxa"/>
          </w:tcPr>
          <w:p w14:paraId="54C25A5D" w14:textId="77777777" w:rsidR="00CD1DE4" w:rsidRPr="00DE1276" w:rsidRDefault="00CD1DE4" w:rsidP="0050713B">
            <w:pPr>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L40</w:t>
            </w:r>
          </w:p>
        </w:tc>
      </w:tr>
      <w:tr w:rsidR="00CD1DE4" w:rsidRPr="00DE1276" w14:paraId="360FD725" w14:textId="77777777" w:rsidTr="0050713B">
        <w:tc>
          <w:tcPr>
            <w:tcW w:w="6974" w:type="dxa"/>
          </w:tcPr>
          <w:p w14:paraId="1CD499E5" w14:textId="77777777" w:rsidR="00CD1DE4" w:rsidRPr="00DE1276" w:rsidRDefault="00CD1DE4" w:rsidP="0050713B">
            <w:pPr>
              <w:ind w:firstLineChars="100" w:firstLine="200"/>
              <w:rPr>
                <w:rFonts w:ascii="Times New Roman" w:hAnsi="Times New Roman" w:cs="Times New Roman"/>
                <w:sz w:val="20"/>
                <w:szCs w:val="20"/>
              </w:rPr>
            </w:pPr>
            <w:r w:rsidRPr="00DE1276">
              <w:rPr>
                <w:rFonts w:ascii="Times New Roman" w:hAnsi="Times New Roman" w:cs="Times New Roman"/>
                <w:sz w:val="20"/>
                <w:szCs w:val="20"/>
              </w:rPr>
              <w:t>Atopic dermatitis</w:t>
            </w:r>
          </w:p>
        </w:tc>
        <w:tc>
          <w:tcPr>
            <w:tcW w:w="6974" w:type="dxa"/>
          </w:tcPr>
          <w:p w14:paraId="2320A2BC"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bCs/>
                <w:color w:val="000000"/>
                <w:sz w:val="20"/>
                <w:szCs w:val="20"/>
              </w:rPr>
              <w:t>ICD-10-CM</w:t>
            </w:r>
            <w:r w:rsidRPr="00DE1276">
              <w:rPr>
                <w:rFonts w:ascii="Times New Roman" w:hAnsi="Times New Roman" w:cs="Times New Roman"/>
                <w:bCs/>
                <w:sz w:val="20"/>
                <w:szCs w:val="20"/>
              </w:rPr>
              <w:t>: L20.9</w:t>
            </w:r>
          </w:p>
        </w:tc>
      </w:tr>
      <w:tr w:rsidR="00CD1DE4" w:rsidRPr="00DE1276" w14:paraId="20AB5BF4" w14:textId="77777777" w:rsidTr="0050713B">
        <w:tc>
          <w:tcPr>
            <w:tcW w:w="6974" w:type="dxa"/>
          </w:tcPr>
          <w:p w14:paraId="18BD7FE9" w14:textId="77777777" w:rsidR="00CD1DE4" w:rsidRPr="00DE1276" w:rsidRDefault="00CD1DE4" w:rsidP="0050713B">
            <w:pPr>
              <w:rPr>
                <w:rFonts w:ascii="Times New Roman" w:hAnsi="Times New Roman" w:cs="Times New Roman"/>
                <w:i/>
                <w:sz w:val="20"/>
                <w:szCs w:val="20"/>
              </w:rPr>
            </w:pPr>
            <w:r w:rsidRPr="00DE1276">
              <w:rPr>
                <w:rFonts w:ascii="Times New Roman" w:hAnsi="Times New Roman" w:cs="Times New Roman"/>
                <w:i/>
                <w:sz w:val="20"/>
                <w:szCs w:val="20"/>
              </w:rPr>
              <w:t>Medications</w:t>
            </w:r>
          </w:p>
        </w:tc>
        <w:tc>
          <w:tcPr>
            <w:tcW w:w="6974" w:type="dxa"/>
          </w:tcPr>
          <w:p w14:paraId="38E0BC7A" w14:textId="77777777" w:rsidR="00CD1DE4" w:rsidRPr="00DE1276" w:rsidRDefault="00CD1DE4" w:rsidP="0050713B">
            <w:pPr>
              <w:rPr>
                <w:rFonts w:ascii="Times New Roman" w:hAnsi="Times New Roman" w:cs="Times New Roman"/>
                <w:b/>
                <w:sz w:val="20"/>
                <w:szCs w:val="20"/>
              </w:rPr>
            </w:pPr>
            <w:proofErr w:type="spellStart"/>
            <w:r w:rsidRPr="00DE1276">
              <w:rPr>
                <w:rFonts w:ascii="Times New Roman" w:hAnsi="Times New Roman" w:cs="Times New Roman"/>
                <w:b/>
                <w:sz w:val="20"/>
                <w:szCs w:val="20"/>
              </w:rPr>
              <w:t>RxNorm</w:t>
            </w:r>
            <w:proofErr w:type="spellEnd"/>
            <w:r w:rsidRPr="00DE1276">
              <w:rPr>
                <w:rFonts w:ascii="Times New Roman" w:hAnsi="Times New Roman" w:cs="Times New Roman"/>
                <w:b/>
                <w:sz w:val="20"/>
                <w:szCs w:val="20"/>
              </w:rPr>
              <w:t>/VA codes</w:t>
            </w:r>
          </w:p>
        </w:tc>
      </w:tr>
      <w:tr w:rsidR="00CD1DE4" w:rsidRPr="00DE1276" w14:paraId="7DF14920" w14:textId="77777777" w:rsidTr="0050713B">
        <w:tc>
          <w:tcPr>
            <w:tcW w:w="6974" w:type="dxa"/>
            <w:vAlign w:val="center"/>
          </w:tcPr>
          <w:p w14:paraId="68F36BFE" w14:textId="77777777" w:rsidR="00CD1DE4" w:rsidRPr="00DE1276" w:rsidRDefault="00CD1DE4" w:rsidP="0050713B">
            <w:pPr>
              <w:ind w:firstLineChars="100" w:firstLine="200"/>
              <w:rPr>
                <w:rFonts w:ascii="Times New Roman" w:hAnsi="Times New Roman" w:cs="Times New Roman"/>
                <w:i/>
                <w:sz w:val="20"/>
                <w:szCs w:val="20"/>
              </w:rPr>
            </w:pPr>
            <w:r w:rsidRPr="00DE1276">
              <w:rPr>
                <w:rFonts w:ascii="Times New Roman" w:hAnsi="Times New Roman" w:cs="Times New Roman"/>
                <w:sz w:val="20"/>
                <w:szCs w:val="20"/>
              </w:rPr>
              <w:t>Corticosteroids for systemic use</w:t>
            </w:r>
          </w:p>
        </w:tc>
        <w:tc>
          <w:tcPr>
            <w:tcW w:w="6974" w:type="dxa"/>
          </w:tcPr>
          <w:p w14:paraId="5D82CCA2"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sz w:val="20"/>
                <w:szCs w:val="20"/>
              </w:rPr>
              <w:t>ATC code: H02</w:t>
            </w:r>
          </w:p>
        </w:tc>
      </w:tr>
      <w:tr w:rsidR="00CD1DE4" w:rsidRPr="00DE1276" w14:paraId="38ACB4B8" w14:textId="77777777" w:rsidTr="0050713B">
        <w:tc>
          <w:tcPr>
            <w:tcW w:w="6974" w:type="dxa"/>
            <w:vAlign w:val="center"/>
          </w:tcPr>
          <w:p w14:paraId="2C8F4E82" w14:textId="77777777" w:rsidR="00CD1DE4" w:rsidRPr="00DE1276" w:rsidRDefault="00CD1DE4" w:rsidP="0050713B">
            <w:pPr>
              <w:ind w:firstLineChars="100" w:firstLine="200"/>
              <w:rPr>
                <w:rFonts w:ascii="Times New Roman" w:hAnsi="Times New Roman" w:cs="Times New Roman"/>
                <w:i/>
                <w:sz w:val="20"/>
                <w:szCs w:val="20"/>
              </w:rPr>
            </w:pPr>
            <w:r w:rsidRPr="00DE1276">
              <w:rPr>
                <w:rFonts w:ascii="Times New Roman" w:hAnsi="Times New Roman" w:cs="Times New Roman"/>
                <w:color w:val="000000"/>
                <w:sz w:val="20"/>
                <w:szCs w:val="20"/>
              </w:rPr>
              <w:t>Non-steroidal anti-inflammatory drugs</w:t>
            </w:r>
          </w:p>
        </w:tc>
        <w:tc>
          <w:tcPr>
            <w:tcW w:w="6974" w:type="dxa"/>
          </w:tcPr>
          <w:p w14:paraId="10C38AB3" w14:textId="77777777" w:rsidR="00CD1DE4" w:rsidRPr="00DE1276" w:rsidRDefault="00CD1DE4" w:rsidP="0050713B">
            <w:pPr>
              <w:rPr>
                <w:rFonts w:ascii="Times New Roman" w:hAnsi="Times New Roman" w:cs="Times New Roman"/>
                <w:sz w:val="20"/>
                <w:szCs w:val="20"/>
              </w:rPr>
            </w:pPr>
            <w:r w:rsidRPr="00DE1276">
              <w:rPr>
                <w:rFonts w:ascii="Times New Roman" w:hAnsi="Times New Roman" w:cs="Times New Roman"/>
                <w:sz w:val="20"/>
                <w:szCs w:val="20"/>
              </w:rPr>
              <w:t>VA: CN104</w:t>
            </w:r>
          </w:p>
        </w:tc>
      </w:tr>
      <w:tr w:rsidR="00CD1DE4" w:rsidRPr="00DE1276" w14:paraId="5D1B5F2B" w14:textId="77777777" w:rsidTr="0050713B">
        <w:tc>
          <w:tcPr>
            <w:tcW w:w="6974" w:type="dxa"/>
            <w:vAlign w:val="center"/>
          </w:tcPr>
          <w:p w14:paraId="549DB974" w14:textId="77777777" w:rsidR="00CD1DE4" w:rsidRPr="00DE1276" w:rsidRDefault="00CD1DE4" w:rsidP="0050713B">
            <w:pPr>
              <w:ind w:firstLineChars="100" w:firstLine="200"/>
              <w:rPr>
                <w:rFonts w:ascii="Times New Roman" w:hAnsi="Times New Roman" w:cs="Times New Roman"/>
                <w:i/>
                <w:sz w:val="20"/>
                <w:szCs w:val="20"/>
              </w:rPr>
            </w:pPr>
            <w:r w:rsidRPr="00DE1276">
              <w:rPr>
                <w:rFonts w:ascii="Times New Roman" w:hAnsi="Times New Roman" w:cs="Times New Roman"/>
                <w:color w:val="000000"/>
                <w:sz w:val="20"/>
                <w:szCs w:val="20"/>
              </w:rPr>
              <w:t>Estrogens</w:t>
            </w:r>
          </w:p>
        </w:tc>
        <w:tc>
          <w:tcPr>
            <w:tcW w:w="6974" w:type="dxa"/>
          </w:tcPr>
          <w:p w14:paraId="41E08356" w14:textId="77777777" w:rsidR="00CD1DE4" w:rsidRPr="00DE1276" w:rsidRDefault="00CD1DE4" w:rsidP="0050713B">
            <w:pPr>
              <w:rPr>
                <w:rFonts w:ascii="Times New Roman" w:hAnsi="Times New Roman" w:cs="Times New Roman"/>
                <w:b/>
                <w:sz w:val="20"/>
                <w:szCs w:val="20"/>
              </w:rPr>
            </w:pPr>
            <w:r w:rsidRPr="00DE1276">
              <w:rPr>
                <w:rFonts w:ascii="Times New Roman" w:hAnsi="Times New Roman" w:cs="Times New Roman"/>
                <w:sz w:val="20"/>
                <w:szCs w:val="20"/>
              </w:rPr>
              <w:t>ATC code: G03C</w:t>
            </w:r>
          </w:p>
        </w:tc>
      </w:tr>
      <w:tr w:rsidR="00CD1DE4" w:rsidRPr="00DE1276" w14:paraId="32D3A619" w14:textId="77777777" w:rsidTr="0050713B">
        <w:tc>
          <w:tcPr>
            <w:tcW w:w="6974" w:type="dxa"/>
            <w:vAlign w:val="center"/>
          </w:tcPr>
          <w:p w14:paraId="7E1EE828" w14:textId="77777777" w:rsidR="00CD1DE4" w:rsidRPr="00DE1276" w:rsidRDefault="00CD1DE4" w:rsidP="0050713B">
            <w:pPr>
              <w:ind w:firstLineChars="100" w:firstLine="200"/>
              <w:rPr>
                <w:rFonts w:ascii="Times New Roman" w:hAnsi="Times New Roman" w:cs="Times New Roman"/>
                <w:i/>
                <w:sz w:val="20"/>
                <w:szCs w:val="20"/>
              </w:rPr>
            </w:pPr>
            <w:r w:rsidRPr="00DE1276">
              <w:rPr>
                <w:rFonts w:ascii="Times New Roman" w:hAnsi="Times New Roman" w:cs="Times New Roman"/>
                <w:color w:val="000000"/>
                <w:sz w:val="20"/>
                <w:szCs w:val="20"/>
              </w:rPr>
              <w:t>Hormonal contraceptives for systemic use</w:t>
            </w:r>
          </w:p>
        </w:tc>
        <w:tc>
          <w:tcPr>
            <w:tcW w:w="6974" w:type="dxa"/>
          </w:tcPr>
          <w:p w14:paraId="02BD4A2F" w14:textId="77777777" w:rsidR="00CD1DE4" w:rsidRPr="00DE1276" w:rsidRDefault="00CD1DE4" w:rsidP="0050713B">
            <w:pPr>
              <w:rPr>
                <w:rFonts w:ascii="Times New Roman" w:hAnsi="Times New Roman" w:cs="Times New Roman"/>
                <w:b/>
                <w:sz w:val="20"/>
                <w:szCs w:val="20"/>
              </w:rPr>
            </w:pPr>
            <w:r w:rsidRPr="00DE1276">
              <w:rPr>
                <w:rFonts w:ascii="Times New Roman" w:hAnsi="Times New Roman" w:cs="Times New Roman"/>
                <w:sz w:val="20"/>
                <w:szCs w:val="20"/>
              </w:rPr>
              <w:t>ATC code: G03A</w:t>
            </w:r>
          </w:p>
        </w:tc>
      </w:tr>
    </w:tbl>
    <w:p w14:paraId="7C97C953" w14:textId="77777777" w:rsidR="00CD1DE4" w:rsidRPr="00DE1276" w:rsidRDefault="00CD1DE4" w:rsidP="00CD1DE4">
      <w:pPr>
        <w:rPr>
          <w:rFonts w:ascii="Times New Roman" w:hAnsi="Times New Roman" w:cs="Times New Roman"/>
          <w:color w:val="000000"/>
          <w:sz w:val="16"/>
          <w:szCs w:val="16"/>
        </w:rPr>
      </w:pPr>
      <w:r w:rsidRPr="00DE1276">
        <w:rPr>
          <w:rFonts w:ascii="Times New Roman" w:hAnsi="Times New Roman" w:cs="Times New Roman"/>
          <w:color w:val="000000"/>
          <w:sz w:val="16"/>
          <w:szCs w:val="16"/>
          <w:vertAlign w:val="superscript"/>
        </w:rPr>
        <w:t>a</w:t>
      </w:r>
      <w:r w:rsidRPr="00DE1276">
        <w:rPr>
          <w:rFonts w:ascii="Times New Roman" w:hAnsi="Times New Roman" w:cs="Times New Roman"/>
          <w:color w:val="000000"/>
          <w:sz w:val="16"/>
          <w:szCs w:val="16"/>
        </w:rPr>
        <w:t xml:space="preserve">ICD-10-CM: International Classification of Diseases, Tenth Revision, Clinical Modification; </w:t>
      </w:r>
    </w:p>
    <w:p w14:paraId="6613677E" w14:textId="77777777" w:rsidR="00CD1DE4" w:rsidRPr="00DE1276" w:rsidRDefault="00CD1DE4" w:rsidP="00CD1DE4">
      <w:pPr>
        <w:widowControl/>
        <w:rPr>
          <w:rFonts w:ascii="Times New Roman" w:hAnsi="Times New Roman" w:cs="Times New Roman"/>
          <w:b/>
          <w:color w:val="000000"/>
          <w:szCs w:val="24"/>
        </w:rPr>
      </w:pPr>
      <w:r w:rsidRPr="00DE1276">
        <w:rPr>
          <w:rFonts w:ascii="Times New Roman" w:hAnsi="Times New Roman" w:cs="Times New Roman"/>
          <w:b/>
          <w:color w:val="000000"/>
          <w:szCs w:val="24"/>
        </w:rPr>
        <w:br w:type="page"/>
      </w:r>
    </w:p>
    <w:p w14:paraId="11762DCF" w14:textId="691AF57C" w:rsidR="00CD1DE4" w:rsidRPr="00DE1276" w:rsidRDefault="00CD1DE4" w:rsidP="00CD1DE4">
      <w:pPr>
        <w:widowControl/>
        <w:rPr>
          <w:rFonts w:ascii="Times New Roman" w:hAnsi="Times New Roman" w:cs="Times New Roman"/>
          <w:b/>
          <w:color w:val="000000"/>
          <w:szCs w:val="24"/>
        </w:rPr>
      </w:pPr>
      <w:r w:rsidRPr="00DE1276">
        <w:rPr>
          <w:rFonts w:ascii="Times New Roman" w:hAnsi="Times New Roman" w:cs="Times New Roman"/>
          <w:b/>
          <w:color w:val="000000"/>
          <w:szCs w:val="24"/>
        </w:rPr>
        <w:lastRenderedPageBreak/>
        <w:t>Table</w:t>
      </w:r>
      <w:r w:rsidRPr="00DE1276">
        <w:rPr>
          <w:rFonts w:ascii="Times New Roman" w:hAnsi="Times New Roman" w:cs="Times New Roman"/>
          <w:b/>
          <w:color w:val="000000"/>
          <w:szCs w:val="24"/>
        </w:rPr>
        <w:t xml:space="preserve"> S</w:t>
      </w:r>
      <w:r w:rsidRPr="00DE1276">
        <w:rPr>
          <w:rFonts w:ascii="Times New Roman" w:hAnsi="Times New Roman" w:cs="Times New Roman"/>
          <w:b/>
          <w:color w:val="000000"/>
          <w:szCs w:val="24"/>
        </w:rPr>
        <w:t>2. Description of all applied sensitivity analysis models</w:t>
      </w:r>
    </w:p>
    <w:tbl>
      <w:tblPr>
        <w:tblStyle w:val="a8"/>
        <w:tblW w:w="0" w:type="auto"/>
        <w:tblLook w:val="04A0" w:firstRow="1" w:lastRow="0" w:firstColumn="1" w:lastColumn="0" w:noHBand="0" w:noVBand="1"/>
      </w:tblPr>
      <w:tblGrid>
        <w:gridCol w:w="6091"/>
        <w:gridCol w:w="4536"/>
        <w:gridCol w:w="3321"/>
      </w:tblGrid>
      <w:tr w:rsidR="00CD1DE4" w:rsidRPr="00DE1276" w14:paraId="41C6A32B" w14:textId="77777777" w:rsidTr="0050713B">
        <w:tc>
          <w:tcPr>
            <w:tcW w:w="6091" w:type="dxa"/>
          </w:tcPr>
          <w:p w14:paraId="7DC81A4A"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Models</w:t>
            </w:r>
          </w:p>
        </w:tc>
        <w:tc>
          <w:tcPr>
            <w:tcW w:w="4536" w:type="dxa"/>
          </w:tcPr>
          <w:p w14:paraId="00A57CA7"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Description</w:t>
            </w:r>
          </w:p>
        </w:tc>
        <w:tc>
          <w:tcPr>
            <w:tcW w:w="3321" w:type="dxa"/>
          </w:tcPr>
          <w:p w14:paraId="67ABB834"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Corresponding table</w:t>
            </w:r>
          </w:p>
        </w:tc>
      </w:tr>
      <w:tr w:rsidR="00CD1DE4" w:rsidRPr="00DE1276" w14:paraId="381988D2" w14:textId="77777777" w:rsidTr="0050713B">
        <w:tc>
          <w:tcPr>
            <w:tcW w:w="13948" w:type="dxa"/>
            <w:gridSpan w:val="3"/>
          </w:tcPr>
          <w:p w14:paraId="7C6E8CB9"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Applying different definitions of hidradenitis suppurativa (HS)</w:t>
            </w:r>
          </w:p>
        </w:tc>
      </w:tr>
      <w:tr w:rsidR="00CD1DE4" w:rsidRPr="00DE1276" w14:paraId="1BB382B6" w14:textId="77777777" w:rsidTr="0050713B">
        <w:tc>
          <w:tcPr>
            <w:tcW w:w="6091" w:type="dxa"/>
          </w:tcPr>
          <w:p w14:paraId="46A2C49E"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 xml:space="preserve">  Algorithm 1</w:t>
            </w:r>
          </w:p>
        </w:tc>
        <w:tc>
          <w:tcPr>
            <w:tcW w:w="4536" w:type="dxa"/>
          </w:tcPr>
          <w:p w14:paraId="6D5DC38D"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Only patients diagnosed HS and was never diagnosed of cutaneous abscess by specialists at the same time were included as HS group in this model. The algorithm has been validated in a previous validation study with the PPV of 88%.</w:t>
            </w:r>
          </w:p>
        </w:tc>
        <w:tc>
          <w:tcPr>
            <w:tcW w:w="3321" w:type="dxa"/>
            <w:vMerge w:val="restart"/>
          </w:tcPr>
          <w:p w14:paraId="4123F67A" w14:textId="2B14D161"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Figure 4</w:t>
            </w:r>
          </w:p>
        </w:tc>
      </w:tr>
      <w:tr w:rsidR="00CD1DE4" w:rsidRPr="00DE1276" w14:paraId="771A99C7" w14:textId="77777777" w:rsidTr="0050713B">
        <w:tc>
          <w:tcPr>
            <w:tcW w:w="6091" w:type="dxa"/>
          </w:tcPr>
          <w:p w14:paraId="50AA322B" w14:textId="77777777" w:rsidR="00CD1DE4" w:rsidRPr="00DE1276" w:rsidRDefault="00CD1DE4" w:rsidP="0050713B">
            <w:pPr>
              <w:widowControl/>
              <w:ind w:firstLineChars="100" w:firstLine="200"/>
              <w:rPr>
                <w:rFonts w:ascii="Times New Roman" w:hAnsi="Times New Roman" w:cs="Times New Roman"/>
                <w:color w:val="000000"/>
                <w:sz w:val="20"/>
                <w:szCs w:val="20"/>
              </w:rPr>
            </w:pPr>
            <w:r w:rsidRPr="00DE1276">
              <w:rPr>
                <w:rFonts w:ascii="Times New Roman" w:hAnsi="Times New Roman" w:cs="Times New Roman"/>
                <w:color w:val="000000"/>
                <w:sz w:val="20"/>
                <w:szCs w:val="20"/>
              </w:rPr>
              <w:t xml:space="preserve">Algorithm 2 </w:t>
            </w:r>
          </w:p>
          <w:p w14:paraId="2C538259" w14:textId="77777777" w:rsidR="00CD1DE4" w:rsidRPr="00DE1276" w:rsidRDefault="00CD1DE4" w:rsidP="0050713B">
            <w:pPr>
              <w:widowControl/>
              <w:rPr>
                <w:rFonts w:ascii="Times New Roman" w:hAnsi="Times New Roman" w:cs="Times New Roman"/>
                <w:color w:val="000000"/>
                <w:sz w:val="20"/>
                <w:szCs w:val="20"/>
              </w:rPr>
            </w:pPr>
          </w:p>
        </w:tc>
        <w:tc>
          <w:tcPr>
            <w:tcW w:w="4536" w:type="dxa"/>
          </w:tcPr>
          <w:p w14:paraId="1ABC6B4C"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Only patients diagnosed HS and with the record of being prescribed of systemic corticosteroids or non-steroidal anti-inflammatory drugs were included as HS group in this model.</w:t>
            </w:r>
          </w:p>
        </w:tc>
        <w:tc>
          <w:tcPr>
            <w:tcW w:w="3321" w:type="dxa"/>
            <w:vMerge/>
          </w:tcPr>
          <w:p w14:paraId="496D09B7" w14:textId="77777777" w:rsidR="00CD1DE4" w:rsidRPr="00DE1276" w:rsidRDefault="00CD1DE4" w:rsidP="0050713B">
            <w:pPr>
              <w:widowControl/>
              <w:rPr>
                <w:rFonts w:ascii="Times New Roman" w:hAnsi="Times New Roman" w:cs="Times New Roman"/>
                <w:b/>
                <w:color w:val="000000"/>
                <w:sz w:val="20"/>
                <w:szCs w:val="20"/>
              </w:rPr>
            </w:pPr>
          </w:p>
        </w:tc>
      </w:tr>
      <w:tr w:rsidR="00CD1DE4" w:rsidRPr="00DE1276" w14:paraId="3BD6D2C0" w14:textId="77777777" w:rsidTr="0050713B">
        <w:tc>
          <w:tcPr>
            <w:tcW w:w="6091" w:type="dxa"/>
          </w:tcPr>
          <w:p w14:paraId="528A6180"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 xml:space="preserve">  </w:t>
            </w:r>
            <w:r w:rsidRPr="00DE1276">
              <w:rPr>
                <w:rFonts w:ascii="Times New Roman" w:hAnsi="Times New Roman" w:cs="Times New Roman"/>
                <w:color w:val="000000"/>
                <w:sz w:val="20"/>
                <w:szCs w:val="20"/>
              </w:rPr>
              <w:t>Algorithm 3</w:t>
            </w:r>
          </w:p>
        </w:tc>
        <w:tc>
          <w:tcPr>
            <w:tcW w:w="4536" w:type="dxa"/>
          </w:tcPr>
          <w:p w14:paraId="21CB4F3B" w14:textId="77777777" w:rsidR="00CD1DE4" w:rsidRPr="00DE1276" w:rsidRDefault="00CD1DE4" w:rsidP="0050713B">
            <w:pPr>
              <w:widowControl/>
              <w:rPr>
                <w:rFonts w:ascii="Times New Roman" w:hAnsi="Times New Roman" w:cs="Times New Roman"/>
                <w:bCs/>
                <w:color w:val="000000"/>
                <w:sz w:val="20"/>
                <w:szCs w:val="20"/>
              </w:rPr>
            </w:pPr>
            <w:r w:rsidRPr="00DE1276">
              <w:rPr>
                <w:rFonts w:ascii="Times New Roman" w:hAnsi="Times New Roman" w:cs="Times New Roman"/>
                <w:bCs/>
                <w:color w:val="000000"/>
                <w:sz w:val="20"/>
                <w:szCs w:val="20"/>
              </w:rPr>
              <w:t>Only patients diagnosed HS and with the record of underwent drainage and incision were included as HS group in this model.</w:t>
            </w:r>
          </w:p>
        </w:tc>
        <w:tc>
          <w:tcPr>
            <w:tcW w:w="3321" w:type="dxa"/>
            <w:vMerge/>
          </w:tcPr>
          <w:p w14:paraId="0FAB5B36" w14:textId="77777777" w:rsidR="00CD1DE4" w:rsidRPr="00DE1276" w:rsidRDefault="00CD1DE4" w:rsidP="0050713B">
            <w:pPr>
              <w:widowControl/>
              <w:rPr>
                <w:rFonts w:ascii="Times New Roman" w:hAnsi="Times New Roman" w:cs="Times New Roman"/>
                <w:b/>
                <w:color w:val="000000"/>
                <w:sz w:val="20"/>
                <w:szCs w:val="20"/>
              </w:rPr>
            </w:pPr>
          </w:p>
        </w:tc>
      </w:tr>
      <w:tr w:rsidR="00CD1DE4" w:rsidRPr="00DE1276" w14:paraId="71E99221" w14:textId="77777777" w:rsidTr="0050713B">
        <w:tc>
          <w:tcPr>
            <w:tcW w:w="6091" w:type="dxa"/>
          </w:tcPr>
          <w:p w14:paraId="3B5FE911" w14:textId="77777777" w:rsidR="00CD1DE4" w:rsidRPr="00DE1276" w:rsidRDefault="00CD1DE4" w:rsidP="0050713B">
            <w:pPr>
              <w:widowControl/>
              <w:ind w:firstLineChars="100" w:firstLine="200"/>
              <w:rPr>
                <w:rFonts w:ascii="Times New Roman" w:hAnsi="Times New Roman" w:cs="Times New Roman"/>
                <w:b/>
                <w:color w:val="000000"/>
                <w:sz w:val="20"/>
                <w:szCs w:val="20"/>
              </w:rPr>
            </w:pPr>
            <w:r w:rsidRPr="00DE1276">
              <w:rPr>
                <w:rFonts w:ascii="Times New Roman" w:hAnsi="Times New Roman" w:cs="Times New Roman"/>
                <w:color w:val="000000"/>
                <w:sz w:val="20"/>
                <w:szCs w:val="20"/>
              </w:rPr>
              <w:t>Algorithm 4</w:t>
            </w:r>
          </w:p>
        </w:tc>
        <w:tc>
          <w:tcPr>
            <w:tcW w:w="4536" w:type="dxa"/>
          </w:tcPr>
          <w:p w14:paraId="697CF86E"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Only patients diagnosed HS and with a record of use of antibiotics with anti-inflammatory properties were included as HS group in this model.</w:t>
            </w:r>
          </w:p>
        </w:tc>
        <w:tc>
          <w:tcPr>
            <w:tcW w:w="3321" w:type="dxa"/>
            <w:vMerge/>
          </w:tcPr>
          <w:p w14:paraId="7A538A32" w14:textId="77777777" w:rsidR="00CD1DE4" w:rsidRPr="00DE1276" w:rsidRDefault="00CD1DE4" w:rsidP="0050713B">
            <w:pPr>
              <w:widowControl/>
              <w:rPr>
                <w:rFonts w:ascii="Times New Roman" w:hAnsi="Times New Roman" w:cs="Times New Roman"/>
                <w:b/>
                <w:color w:val="000000"/>
                <w:sz w:val="20"/>
                <w:szCs w:val="20"/>
              </w:rPr>
            </w:pPr>
          </w:p>
        </w:tc>
      </w:tr>
      <w:tr w:rsidR="00CD1DE4" w:rsidRPr="00DE1276" w14:paraId="658B2565" w14:textId="77777777" w:rsidTr="0050713B">
        <w:tc>
          <w:tcPr>
            <w:tcW w:w="13948" w:type="dxa"/>
            <w:gridSpan w:val="3"/>
          </w:tcPr>
          <w:p w14:paraId="2897E078"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Applying different follow-up time after index date</w:t>
            </w:r>
          </w:p>
        </w:tc>
      </w:tr>
      <w:tr w:rsidR="00CD1DE4" w:rsidRPr="00DE1276" w14:paraId="4C668E5A" w14:textId="77777777" w:rsidTr="0050713B">
        <w:trPr>
          <w:trHeight w:val="187"/>
        </w:trPr>
        <w:tc>
          <w:tcPr>
            <w:tcW w:w="6091" w:type="dxa"/>
          </w:tcPr>
          <w:p w14:paraId="262690AC"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 xml:space="preserve">  5 years /10 years /15 years after index date</w:t>
            </w:r>
          </w:p>
        </w:tc>
        <w:tc>
          <w:tcPr>
            <w:tcW w:w="4536" w:type="dxa"/>
          </w:tcPr>
          <w:p w14:paraId="3088EF6D"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Only the outcome event occurs within the set follow-up time will be counted. In all sub-analyses, the wash-out period was set as 3 months.</w:t>
            </w:r>
          </w:p>
        </w:tc>
        <w:tc>
          <w:tcPr>
            <w:tcW w:w="3321" w:type="dxa"/>
          </w:tcPr>
          <w:p w14:paraId="1055F361" w14:textId="74447E8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Figure 4</w:t>
            </w:r>
          </w:p>
        </w:tc>
      </w:tr>
      <w:tr w:rsidR="00CD1DE4" w:rsidRPr="00DE1276" w14:paraId="0527CF09" w14:textId="77777777" w:rsidTr="0050713B">
        <w:tc>
          <w:tcPr>
            <w:tcW w:w="13948" w:type="dxa"/>
            <w:gridSpan w:val="3"/>
          </w:tcPr>
          <w:p w14:paraId="157002CA"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lastRenderedPageBreak/>
              <w:t>Applying different wash-out period after index date</w:t>
            </w:r>
          </w:p>
        </w:tc>
      </w:tr>
      <w:tr w:rsidR="00CD1DE4" w:rsidRPr="00DE1276" w14:paraId="74702B0C" w14:textId="77777777" w:rsidTr="0050713B">
        <w:tc>
          <w:tcPr>
            <w:tcW w:w="6091" w:type="dxa"/>
          </w:tcPr>
          <w:p w14:paraId="633E42F7"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 xml:space="preserve">  12 months/24 months/36 months after index date</w:t>
            </w:r>
          </w:p>
        </w:tc>
        <w:tc>
          <w:tcPr>
            <w:tcW w:w="4536" w:type="dxa"/>
          </w:tcPr>
          <w:p w14:paraId="669BEE7F"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color w:val="000000"/>
                <w:sz w:val="20"/>
                <w:szCs w:val="20"/>
              </w:rPr>
              <w:t>Outcome event occurs within the set wash-out period will be excluded from further analysis. In all sub-analyses, the follow-up period was set as 15 years.</w:t>
            </w:r>
          </w:p>
        </w:tc>
        <w:tc>
          <w:tcPr>
            <w:tcW w:w="3321" w:type="dxa"/>
          </w:tcPr>
          <w:p w14:paraId="07196624" w14:textId="420DDBC1"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Figure 4</w:t>
            </w:r>
          </w:p>
        </w:tc>
      </w:tr>
      <w:tr w:rsidR="00CD1DE4" w:rsidRPr="00DE1276" w14:paraId="70CC79F4" w14:textId="77777777" w:rsidTr="0050713B">
        <w:tc>
          <w:tcPr>
            <w:tcW w:w="13948" w:type="dxa"/>
            <w:gridSpan w:val="3"/>
          </w:tcPr>
          <w:p w14:paraId="0E305F80"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Applying different matching covariates</w:t>
            </w:r>
          </w:p>
        </w:tc>
      </w:tr>
      <w:tr w:rsidR="00CD1DE4" w:rsidRPr="00DE1276" w14:paraId="1C8E97C6" w14:textId="77777777" w:rsidTr="0050713B">
        <w:tc>
          <w:tcPr>
            <w:tcW w:w="6091" w:type="dxa"/>
          </w:tcPr>
          <w:p w14:paraId="6F6F7847" w14:textId="77777777" w:rsidR="00CD1DE4" w:rsidRPr="00DE1276" w:rsidRDefault="00CD1DE4" w:rsidP="0050713B">
            <w:pPr>
              <w:widowControl/>
              <w:ind w:firstLineChars="100" w:firstLine="200"/>
              <w:rPr>
                <w:rFonts w:ascii="Times New Roman" w:hAnsi="Times New Roman" w:cs="Times New Roman"/>
                <w:color w:val="000000"/>
                <w:sz w:val="20"/>
                <w:szCs w:val="20"/>
              </w:rPr>
            </w:pPr>
            <w:r w:rsidRPr="00DE1276">
              <w:rPr>
                <w:rFonts w:ascii="Times New Roman" w:hAnsi="Times New Roman" w:cs="Times New Roman"/>
                <w:color w:val="000000"/>
                <w:sz w:val="20"/>
                <w:szCs w:val="20"/>
              </w:rPr>
              <w:t>Crude model</w:t>
            </w:r>
          </w:p>
        </w:tc>
        <w:tc>
          <w:tcPr>
            <w:tcW w:w="4536" w:type="dxa"/>
          </w:tcPr>
          <w:p w14:paraId="226638B3"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color w:val="000000"/>
                <w:sz w:val="20"/>
                <w:szCs w:val="20"/>
              </w:rPr>
              <w:t>Analysis did not undergo propensity score matching.</w:t>
            </w:r>
          </w:p>
        </w:tc>
        <w:tc>
          <w:tcPr>
            <w:tcW w:w="3321" w:type="dxa"/>
            <w:vMerge w:val="restart"/>
          </w:tcPr>
          <w:p w14:paraId="4699FD13" w14:textId="28B452EF"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Figure 4</w:t>
            </w:r>
          </w:p>
        </w:tc>
      </w:tr>
      <w:tr w:rsidR="00CD1DE4" w:rsidRPr="00DE1276" w14:paraId="18DE5043" w14:textId="77777777" w:rsidTr="0050713B">
        <w:tc>
          <w:tcPr>
            <w:tcW w:w="6091" w:type="dxa"/>
          </w:tcPr>
          <w:p w14:paraId="2561408D" w14:textId="77777777" w:rsidR="00CD1DE4" w:rsidRPr="00DE1276" w:rsidRDefault="00CD1DE4" w:rsidP="0050713B">
            <w:pPr>
              <w:widowControl/>
              <w:ind w:firstLineChars="100" w:firstLine="200"/>
              <w:rPr>
                <w:rFonts w:ascii="Times New Roman" w:hAnsi="Times New Roman" w:cs="Times New Roman"/>
                <w:b/>
                <w:color w:val="000000"/>
                <w:sz w:val="20"/>
                <w:szCs w:val="20"/>
              </w:rPr>
            </w:pPr>
            <w:r w:rsidRPr="00DE1276">
              <w:rPr>
                <w:rFonts w:ascii="Times New Roman" w:hAnsi="Times New Roman" w:cs="Times New Roman"/>
                <w:color w:val="000000"/>
                <w:sz w:val="20"/>
                <w:szCs w:val="20"/>
              </w:rPr>
              <w:t>Matching model 1</w:t>
            </w:r>
          </w:p>
        </w:tc>
        <w:tc>
          <w:tcPr>
            <w:tcW w:w="4536" w:type="dxa"/>
          </w:tcPr>
          <w:p w14:paraId="1EF62EDA"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Matching covariates include age at index, sex, race, BMI, medical utilization status (inpatient encounter, ambulatory).</w:t>
            </w:r>
          </w:p>
        </w:tc>
        <w:tc>
          <w:tcPr>
            <w:tcW w:w="3321" w:type="dxa"/>
            <w:vMerge/>
          </w:tcPr>
          <w:p w14:paraId="65701B90" w14:textId="77777777" w:rsidR="00CD1DE4" w:rsidRPr="00DE1276" w:rsidRDefault="00CD1DE4" w:rsidP="0050713B">
            <w:pPr>
              <w:widowControl/>
              <w:rPr>
                <w:rFonts w:ascii="Times New Roman" w:hAnsi="Times New Roman" w:cs="Times New Roman"/>
                <w:b/>
                <w:color w:val="000000"/>
                <w:sz w:val="20"/>
                <w:szCs w:val="20"/>
              </w:rPr>
            </w:pPr>
          </w:p>
        </w:tc>
      </w:tr>
      <w:tr w:rsidR="00CD1DE4" w:rsidRPr="00DE1276" w14:paraId="52F573A1" w14:textId="77777777" w:rsidTr="0050713B">
        <w:tc>
          <w:tcPr>
            <w:tcW w:w="6091" w:type="dxa"/>
          </w:tcPr>
          <w:p w14:paraId="23B9D1DD" w14:textId="77777777" w:rsidR="00CD1DE4" w:rsidRPr="00DE1276" w:rsidRDefault="00CD1DE4" w:rsidP="0050713B">
            <w:pPr>
              <w:widowControl/>
              <w:ind w:firstLineChars="100" w:firstLine="200"/>
              <w:rPr>
                <w:rFonts w:ascii="Times New Roman" w:hAnsi="Times New Roman" w:cs="Times New Roman"/>
                <w:color w:val="000000"/>
                <w:sz w:val="20"/>
                <w:szCs w:val="20"/>
              </w:rPr>
            </w:pPr>
            <w:r w:rsidRPr="00DE1276">
              <w:rPr>
                <w:rFonts w:ascii="Times New Roman" w:hAnsi="Times New Roman" w:cs="Times New Roman"/>
                <w:color w:val="000000"/>
                <w:sz w:val="20"/>
                <w:szCs w:val="20"/>
              </w:rPr>
              <w:t>Matching model 2</w:t>
            </w:r>
          </w:p>
        </w:tc>
        <w:tc>
          <w:tcPr>
            <w:tcW w:w="4536" w:type="dxa"/>
          </w:tcPr>
          <w:p w14:paraId="2AB4D59E"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Matching covariates include age at index, sex, race, BMI, medical utilization status (inpatient encounter, ambulatory), comorbidity status (including diabetes mellitus, hypertension, hyperlipidemia, vitamin D deficiency, menopausal and other perimenopausal disorders).</w:t>
            </w:r>
          </w:p>
        </w:tc>
        <w:tc>
          <w:tcPr>
            <w:tcW w:w="3321" w:type="dxa"/>
            <w:vMerge/>
          </w:tcPr>
          <w:p w14:paraId="7673C910" w14:textId="77777777" w:rsidR="00CD1DE4" w:rsidRPr="00DE1276" w:rsidRDefault="00CD1DE4" w:rsidP="0050713B">
            <w:pPr>
              <w:widowControl/>
              <w:rPr>
                <w:rFonts w:ascii="Times New Roman" w:hAnsi="Times New Roman" w:cs="Times New Roman"/>
                <w:b/>
                <w:color w:val="000000"/>
                <w:sz w:val="20"/>
                <w:szCs w:val="20"/>
              </w:rPr>
            </w:pPr>
          </w:p>
        </w:tc>
      </w:tr>
      <w:tr w:rsidR="00CD1DE4" w:rsidRPr="00DE1276" w14:paraId="1E2AD82F" w14:textId="77777777" w:rsidTr="0050713B">
        <w:tc>
          <w:tcPr>
            <w:tcW w:w="13948" w:type="dxa"/>
            <w:gridSpan w:val="3"/>
          </w:tcPr>
          <w:p w14:paraId="2D61DB67" w14:textId="7777777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Applying different active comparators</w:t>
            </w:r>
          </w:p>
        </w:tc>
      </w:tr>
      <w:tr w:rsidR="00CD1DE4" w:rsidRPr="00DE1276" w14:paraId="50F09336" w14:textId="77777777" w:rsidTr="0050713B">
        <w:tc>
          <w:tcPr>
            <w:tcW w:w="6091" w:type="dxa"/>
          </w:tcPr>
          <w:p w14:paraId="6CB44DC6" w14:textId="451D8253"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Comparing with psoriasis patients/ comparing with comparing with alopecia areata patients</w:t>
            </w:r>
          </w:p>
        </w:tc>
        <w:tc>
          <w:tcPr>
            <w:tcW w:w="4536" w:type="dxa"/>
          </w:tcPr>
          <w:p w14:paraId="5C18A8CD" w14:textId="77777777"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The control cohort in each sub-analysis will consist of the respective inflammatory skin diseases (psoriasis, alopecia areata) that has been reported to be associated with autoimmune disorders. In all sub-analyses, the follow-up period was set as 15 years and the wash-out period was set as 3 months.</w:t>
            </w:r>
          </w:p>
        </w:tc>
        <w:tc>
          <w:tcPr>
            <w:tcW w:w="3321" w:type="dxa"/>
          </w:tcPr>
          <w:p w14:paraId="3910B4B0" w14:textId="28DE60CF" w:rsidR="00CD1DE4" w:rsidRPr="00DE1276" w:rsidRDefault="00CD1DE4" w:rsidP="0050713B">
            <w:pPr>
              <w:widowControl/>
              <w:rPr>
                <w:rFonts w:ascii="Times New Roman" w:hAnsi="Times New Roman" w:cs="Times New Roman"/>
                <w:color w:val="000000"/>
                <w:sz w:val="20"/>
                <w:szCs w:val="20"/>
              </w:rPr>
            </w:pPr>
            <w:r w:rsidRPr="00DE1276">
              <w:rPr>
                <w:rFonts w:ascii="Times New Roman" w:hAnsi="Times New Roman" w:cs="Times New Roman"/>
                <w:b/>
                <w:color w:val="000000"/>
                <w:sz w:val="20"/>
                <w:szCs w:val="20"/>
              </w:rPr>
              <w:t>Figure 4</w:t>
            </w:r>
          </w:p>
        </w:tc>
      </w:tr>
      <w:tr w:rsidR="00CD1DE4" w:rsidRPr="00DE1276" w14:paraId="35F9149A" w14:textId="77777777" w:rsidTr="00590930">
        <w:tc>
          <w:tcPr>
            <w:tcW w:w="13948" w:type="dxa"/>
            <w:gridSpan w:val="3"/>
          </w:tcPr>
          <w:p w14:paraId="142DA3FE" w14:textId="2BC7BB13" w:rsidR="00CD1DE4" w:rsidRPr="00DE1276" w:rsidRDefault="00BD1822"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lastRenderedPageBreak/>
              <w:t>Applying different models considering the influence of osteoporosis</w:t>
            </w:r>
          </w:p>
        </w:tc>
      </w:tr>
      <w:tr w:rsidR="00CD1DE4" w:rsidRPr="00DE1276" w14:paraId="682A59E7" w14:textId="77777777" w:rsidTr="0050713B">
        <w:tc>
          <w:tcPr>
            <w:tcW w:w="6091" w:type="dxa"/>
          </w:tcPr>
          <w:p w14:paraId="0D85D94E" w14:textId="3119B28B" w:rsidR="00BD1822" w:rsidRPr="00DE1276" w:rsidRDefault="00BD1822" w:rsidP="00BD1822">
            <w:pPr>
              <w:rPr>
                <w:rFonts w:ascii="Times New Roman" w:hAnsi="Times New Roman" w:cs="Times New Roman"/>
                <w:sz w:val="20"/>
                <w:szCs w:val="20"/>
              </w:rPr>
            </w:pPr>
            <w:r w:rsidRPr="00DE1276">
              <w:rPr>
                <w:rFonts w:ascii="Times New Roman" w:hAnsi="Times New Roman" w:cs="Times New Roman"/>
                <w:sz w:val="20"/>
                <w:szCs w:val="20"/>
              </w:rPr>
              <w:t>N</w:t>
            </w:r>
            <w:r w:rsidRPr="00DE1276">
              <w:rPr>
                <w:rFonts w:ascii="Times New Roman" w:hAnsi="Times New Roman" w:cs="Times New Roman"/>
                <w:sz w:val="20"/>
                <w:szCs w:val="20"/>
              </w:rPr>
              <w:t>ot excluding osteoporosis patients from study population</w:t>
            </w:r>
            <w:r w:rsidRPr="00DE1276">
              <w:rPr>
                <w:rFonts w:ascii="Times New Roman" w:hAnsi="Times New Roman" w:cs="Times New Roman"/>
                <w:sz w:val="20"/>
                <w:szCs w:val="20"/>
              </w:rPr>
              <w:t xml:space="preserve">/ </w:t>
            </w:r>
          </w:p>
          <w:p w14:paraId="4165C18A" w14:textId="77777777" w:rsidR="00BD1822" w:rsidRPr="00DE1276" w:rsidRDefault="00BD1822" w:rsidP="00BD1822">
            <w:pPr>
              <w:rPr>
                <w:rFonts w:ascii="Times New Roman" w:hAnsi="Times New Roman" w:cs="Times New Roman"/>
                <w:sz w:val="20"/>
                <w:szCs w:val="20"/>
              </w:rPr>
            </w:pPr>
            <w:r w:rsidRPr="00DE1276">
              <w:rPr>
                <w:rFonts w:ascii="Times New Roman" w:hAnsi="Times New Roman" w:cs="Times New Roman"/>
                <w:sz w:val="20"/>
                <w:szCs w:val="20"/>
              </w:rPr>
              <w:t>excluding osteoporosis patients before index date</w:t>
            </w:r>
          </w:p>
          <w:p w14:paraId="043E83D5" w14:textId="77777777" w:rsidR="00CD1DE4" w:rsidRPr="00DE1276" w:rsidRDefault="00CD1DE4" w:rsidP="0050713B">
            <w:pPr>
              <w:widowControl/>
              <w:rPr>
                <w:rFonts w:ascii="Times New Roman" w:hAnsi="Times New Roman" w:cs="Times New Roman"/>
                <w:color w:val="000000"/>
                <w:sz w:val="20"/>
                <w:szCs w:val="20"/>
              </w:rPr>
            </w:pPr>
          </w:p>
        </w:tc>
        <w:tc>
          <w:tcPr>
            <w:tcW w:w="4536" w:type="dxa"/>
          </w:tcPr>
          <w:p w14:paraId="6D542358" w14:textId="2E6942A3" w:rsidR="00CD1DE4" w:rsidRPr="00DE1276" w:rsidRDefault="00BD1822" w:rsidP="0050713B">
            <w:pPr>
              <w:widowControl/>
              <w:rPr>
                <w:rFonts w:ascii="Times New Roman" w:hAnsi="Times New Roman" w:cs="Times New Roman"/>
                <w:color w:val="000000"/>
                <w:sz w:val="20"/>
                <w:szCs w:val="20"/>
              </w:rPr>
            </w:pPr>
            <w:r w:rsidRPr="00DE1276">
              <w:rPr>
                <w:rFonts w:ascii="Times New Roman" w:hAnsi="Times New Roman" w:cs="Times New Roman"/>
                <w:color w:val="000000"/>
                <w:sz w:val="20"/>
                <w:szCs w:val="20"/>
              </w:rPr>
              <w:t>In these two analyses, osteoporosis patients were either excluded or not excluded before the index date. The analyses were performed to evaluate whether osteoporosis influences the observed HS-fracture association, given its significant impact on new-onset fractures.</w:t>
            </w:r>
          </w:p>
        </w:tc>
        <w:tc>
          <w:tcPr>
            <w:tcW w:w="3321" w:type="dxa"/>
          </w:tcPr>
          <w:p w14:paraId="4FDCE42C" w14:textId="45D399D7" w:rsidR="00CD1DE4" w:rsidRPr="00DE1276" w:rsidRDefault="00CD1DE4" w:rsidP="0050713B">
            <w:pPr>
              <w:widowControl/>
              <w:rPr>
                <w:rFonts w:ascii="Times New Roman" w:hAnsi="Times New Roman" w:cs="Times New Roman"/>
                <w:b/>
                <w:color w:val="000000"/>
                <w:sz w:val="20"/>
                <w:szCs w:val="20"/>
              </w:rPr>
            </w:pPr>
            <w:r w:rsidRPr="00DE1276">
              <w:rPr>
                <w:rFonts w:ascii="Times New Roman" w:hAnsi="Times New Roman" w:cs="Times New Roman"/>
                <w:b/>
                <w:color w:val="000000"/>
                <w:sz w:val="20"/>
                <w:szCs w:val="20"/>
              </w:rPr>
              <w:t>Tables S3-S4</w:t>
            </w:r>
          </w:p>
        </w:tc>
      </w:tr>
    </w:tbl>
    <w:p w14:paraId="384C5F33" w14:textId="77777777" w:rsidR="00CD1DE4" w:rsidRPr="00DE1276" w:rsidRDefault="00CD1DE4" w:rsidP="00CD1DE4">
      <w:pPr>
        <w:widowControl/>
        <w:rPr>
          <w:rFonts w:ascii="Times New Roman" w:hAnsi="Times New Roman" w:cs="Times New Roman"/>
          <w:b/>
          <w:color w:val="000000"/>
          <w:szCs w:val="24"/>
        </w:rPr>
      </w:pPr>
      <w:r w:rsidRPr="00DE1276">
        <w:rPr>
          <w:rFonts w:ascii="Times New Roman" w:hAnsi="Times New Roman" w:cs="Times New Roman"/>
          <w:b/>
          <w:color w:val="000000"/>
          <w:sz w:val="20"/>
          <w:szCs w:val="20"/>
        </w:rPr>
        <w:br w:type="page"/>
      </w:r>
    </w:p>
    <w:p w14:paraId="3D589F39" w14:textId="5DC46667" w:rsidR="00270944" w:rsidRPr="00DE1276" w:rsidRDefault="00926BA5" w:rsidP="00DD2A73">
      <w:pPr>
        <w:rPr>
          <w:rFonts w:ascii="Times New Roman" w:hAnsi="Times New Roman" w:cs="Times New Roman"/>
        </w:rPr>
      </w:pPr>
      <w:r w:rsidRPr="00DE1276">
        <w:rPr>
          <w:rFonts w:ascii="Times New Roman" w:hAnsi="Times New Roman" w:cs="Times New Roman"/>
          <w:b/>
        </w:rPr>
        <w:lastRenderedPageBreak/>
        <w:t>Table S</w:t>
      </w:r>
      <w:r w:rsidR="00CD1DE4" w:rsidRPr="00DE1276">
        <w:rPr>
          <w:rFonts w:ascii="Times New Roman" w:hAnsi="Times New Roman" w:cs="Times New Roman"/>
          <w:b/>
        </w:rPr>
        <w:t>3</w:t>
      </w:r>
      <w:r w:rsidRPr="00DE1276">
        <w:rPr>
          <w:rFonts w:ascii="Times New Roman" w:hAnsi="Times New Roman" w:cs="Times New Roman"/>
          <w:b/>
        </w:rPr>
        <w:t>.</w:t>
      </w:r>
      <w:r w:rsidRPr="00DE1276">
        <w:rPr>
          <w:rFonts w:ascii="Times New Roman" w:hAnsi="Times New Roman" w:cs="Times New Roman"/>
        </w:rPr>
        <w:t xml:space="preserve"> Sensitivity analysis: not excluding osteoporosis patients from study population</w:t>
      </w:r>
    </w:p>
    <w:tbl>
      <w:tblPr>
        <w:tblW w:w="13664" w:type="dxa"/>
        <w:tblCellMar>
          <w:left w:w="28" w:type="dxa"/>
          <w:right w:w="28" w:type="dxa"/>
        </w:tblCellMar>
        <w:tblLook w:val="04A0" w:firstRow="1" w:lastRow="0" w:firstColumn="1" w:lastColumn="0" w:noHBand="0" w:noVBand="1"/>
      </w:tblPr>
      <w:tblGrid>
        <w:gridCol w:w="5076"/>
        <w:gridCol w:w="2456"/>
        <w:gridCol w:w="3416"/>
        <w:gridCol w:w="2716"/>
      </w:tblGrid>
      <w:tr w:rsidR="00270944" w:rsidRPr="00DE1276" w14:paraId="7F686C9A" w14:textId="77777777" w:rsidTr="007004D2">
        <w:trPr>
          <w:trHeight w:val="340"/>
        </w:trPr>
        <w:tc>
          <w:tcPr>
            <w:tcW w:w="5076" w:type="dxa"/>
            <w:vMerge w:val="restart"/>
            <w:tcBorders>
              <w:top w:val="single" w:sz="8" w:space="0" w:color="auto"/>
              <w:left w:val="nil"/>
              <w:bottom w:val="nil"/>
              <w:right w:val="nil"/>
            </w:tcBorders>
            <w:shd w:val="clear" w:color="auto" w:fill="auto"/>
            <w:vAlign w:val="center"/>
            <w:hideMark/>
          </w:tcPr>
          <w:p w14:paraId="1CA25B49" w14:textId="77777777" w:rsidR="00270944" w:rsidRPr="00DE1276" w:rsidRDefault="00270944" w:rsidP="00270944">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Outcome: New-onset fracture</w:t>
            </w:r>
          </w:p>
        </w:tc>
        <w:tc>
          <w:tcPr>
            <w:tcW w:w="5872" w:type="dxa"/>
            <w:gridSpan w:val="2"/>
            <w:tcBorders>
              <w:top w:val="single" w:sz="8" w:space="0" w:color="auto"/>
              <w:left w:val="nil"/>
              <w:bottom w:val="nil"/>
              <w:right w:val="nil"/>
            </w:tcBorders>
            <w:shd w:val="clear" w:color="auto" w:fill="auto"/>
            <w:vAlign w:val="center"/>
            <w:hideMark/>
          </w:tcPr>
          <w:p w14:paraId="1B94D22B"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 xml:space="preserve">Study cohort with incident outcome event, n (%) </w:t>
            </w:r>
          </w:p>
        </w:tc>
        <w:tc>
          <w:tcPr>
            <w:tcW w:w="2716" w:type="dxa"/>
            <w:vMerge w:val="restart"/>
            <w:tcBorders>
              <w:top w:val="single" w:sz="4" w:space="0" w:color="auto"/>
              <w:left w:val="nil"/>
              <w:bottom w:val="nil"/>
              <w:right w:val="nil"/>
            </w:tcBorders>
            <w:shd w:val="clear" w:color="auto" w:fill="auto"/>
            <w:vAlign w:val="center"/>
            <w:hideMark/>
          </w:tcPr>
          <w:p w14:paraId="374F7C83"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Hazard ratio (95% CI)</w:t>
            </w:r>
          </w:p>
        </w:tc>
      </w:tr>
      <w:tr w:rsidR="00270944" w:rsidRPr="00DE1276" w14:paraId="50588D56" w14:textId="77777777" w:rsidTr="00270944">
        <w:trPr>
          <w:trHeight w:val="340"/>
        </w:trPr>
        <w:tc>
          <w:tcPr>
            <w:tcW w:w="5076" w:type="dxa"/>
            <w:vMerge/>
            <w:tcBorders>
              <w:top w:val="single" w:sz="8" w:space="0" w:color="auto"/>
              <w:left w:val="nil"/>
              <w:bottom w:val="nil"/>
              <w:right w:val="nil"/>
            </w:tcBorders>
            <w:vAlign w:val="center"/>
            <w:hideMark/>
          </w:tcPr>
          <w:p w14:paraId="641B46EE" w14:textId="77777777" w:rsidR="00270944" w:rsidRPr="00DE1276" w:rsidRDefault="00270944" w:rsidP="00270944">
            <w:pPr>
              <w:widowControl/>
              <w:rPr>
                <w:rFonts w:ascii="Times New Roman" w:eastAsia="新細明體" w:hAnsi="Times New Roman" w:cs="Times New Roman"/>
                <w:b/>
                <w:bCs/>
                <w:color w:val="000000"/>
                <w:kern w:val="0"/>
                <w:szCs w:val="24"/>
              </w:rPr>
            </w:pPr>
          </w:p>
        </w:tc>
        <w:tc>
          <w:tcPr>
            <w:tcW w:w="2456" w:type="dxa"/>
            <w:tcBorders>
              <w:top w:val="nil"/>
              <w:left w:val="nil"/>
              <w:bottom w:val="nil"/>
              <w:right w:val="nil"/>
            </w:tcBorders>
            <w:shd w:val="clear" w:color="auto" w:fill="auto"/>
            <w:vAlign w:val="center"/>
            <w:hideMark/>
          </w:tcPr>
          <w:p w14:paraId="057D0363"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 xml:space="preserve">Case patients </w:t>
            </w:r>
          </w:p>
        </w:tc>
        <w:tc>
          <w:tcPr>
            <w:tcW w:w="3416" w:type="dxa"/>
            <w:tcBorders>
              <w:top w:val="nil"/>
              <w:left w:val="nil"/>
              <w:bottom w:val="nil"/>
              <w:right w:val="nil"/>
            </w:tcBorders>
            <w:shd w:val="clear" w:color="auto" w:fill="auto"/>
            <w:vAlign w:val="center"/>
            <w:hideMark/>
          </w:tcPr>
          <w:p w14:paraId="27F7A829"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Control patients</w:t>
            </w:r>
          </w:p>
        </w:tc>
        <w:tc>
          <w:tcPr>
            <w:tcW w:w="2716" w:type="dxa"/>
            <w:vMerge/>
            <w:tcBorders>
              <w:top w:val="nil"/>
              <w:left w:val="nil"/>
              <w:bottom w:val="nil"/>
              <w:right w:val="nil"/>
            </w:tcBorders>
            <w:vAlign w:val="center"/>
            <w:hideMark/>
          </w:tcPr>
          <w:p w14:paraId="62FAF366" w14:textId="77777777" w:rsidR="00270944" w:rsidRPr="00DE1276" w:rsidRDefault="00270944" w:rsidP="00270944">
            <w:pPr>
              <w:widowControl/>
              <w:rPr>
                <w:rFonts w:ascii="Times New Roman" w:eastAsia="新細明體" w:hAnsi="Times New Roman" w:cs="Times New Roman"/>
                <w:color w:val="000000"/>
                <w:kern w:val="0"/>
                <w:szCs w:val="24"/>
              </w:rPr>
            </w:pPr>
          </w:p>
        </w:tc>
      </w:tr>
      <w:tr w:rsidR="00270944" w:rsidRPr="00DE1276" w14:paraId="6D217C68" w14:textId="77777777" w:rsidTr="00270944">
        <w:trPr>
          <w:trHeight w:val="340"/>
        </w:trPr>
        <w:tc>
          <w:tcPr>
            <w:tcW w:w="5076" w:type="dxa"/>
            <w:tcBorders>
              <w:top w:val="nil"/>
              <w:left w:val="nil"/>
              <w:bottom w:val="nil"/>
              <w:right w:val="nil"/>
            </w:tcBorders>
            <w:shd w:val="clear" w:color="000000" w:fill="EDEDED"/>
            <w:vAlign w:val="center"/>
            <w:hideMark/>
          </w:tcPr>
          <w:p w14:paraId="7032EAB1" w14:textId="77777777" w:rsidR="00270944" w:rsidRPr="00DE1276" w:rsidRDefault="00270944" w:rsidP="00270944">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Primary Analyses</w:t>
            </w:r>
          </w:p>
        </w:tc>
        <w:tc>
          <w:tcPr>
            <w:tcW w:w="2456" w:type="dxa"/>
            <w:tcBorders>
              <w:top w:val="nil"/>
              <w:left w:val="nil"/>
              <w:bottom w:val="nil"/>
              <w:right w:val="nil"/>
            </w:tcBorders>
            <w:shd w:val="clear" w:color="000000" w:fill="EDEDED"/>
            <w:vAlign w:val="center"/>
            <w:hideMark/>
          </w:tcPr>
          <w:p w14:paraId="6C6268F5" w14:textId="77777777" w:rsidR="00270944" w:rsidRPr="00DE1276" w:rsidRDefault="00270944" w:rsidP="00270944">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3416" w:type="dxa"/>
            <w:tcBorders>
              <w:top w:val="nil"/>
              <w:left w:val="nil"/>
              <w:bottom w:val="nil"/>
              <w:right w:val="nil"/>
            </w:tcBorders>
            <w:shd w:val="clear" w:color="000000" w:fill="EDEDED"/>
            <w:vAlign w:val="center"/>
            <w:hideMark/>
          </w:tcPr>
          <w:p w14:paraId="16616522" w14:textId="77777777" w:rsidR="00270944" w:rsidRPr="00DE1276" w:rsidRDefault="00270944" w:rsidP="00270944">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2716" w:type="dxa"/>
            <w:tcBorders>
              <w:top w:val="nil"/>
              <w:left w:val="nil"/>
              <w:bottom w:val="nil"/>
              <w:right w:val="nil"/>
            </w:tcBorders>
            <w:shd w:val="clear" w:color="000000" w:fill="EDEDED"/>
            <w:vAlign w:val="center"/>
            <w:hideMark/>
          </w:tcPr>
          <w:p w14:paraId="31719302" w14:textId="77777777" w:rsidR="00270944" w:rsidRPr="00DE1276" w:rsidRDefault="00270944" w:rsidP="00270944">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r>
      <w:tr w:rsidR="00270944" w:rsidRPr="00DE1276" w14:paraId="52C2F6DF" w14:textId="77777777" w:rsidTr="00270944">
        <w:trPr>
          <w:trHeight w:val="340"/>
        </w:trPr>
        <w:tc>
          <w:tcPr>
            <w:tcW w:w="5076" w:type="dxa"/>
            <w:tcBorders>
              <w:top w:val="nil"/>
              <w:left w:val="nil"/>
              <w:bottom w:val="nil"/>
              <w:right w:val="nil"/>
            </w:tcBorders>
            <w:shd w:val="clear" w:color="auto" w:fill="auto"/>
            <w:noWrap/>
            <w:vAlign w:val="center"/>
            <w:hideMark/>
          </w:tcPr>
          <w:p w14:paraId="38AE82F7" w14:textId="77777777" w:rsidR="00270944" w:rsidRPr="00DE1276" w:rsidRDefault="00270944" w:rsidP="00270944">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All fractures</w:t>
            </w:r>
          </w:p>
        </w:tc>
        <w:tc>
          <w:tcPr>
            <w:tcW w:w="2456" w:type="dxa"/>
            <w:tcBorders>
              <w:top w:val="nil"/>
              <w:left w:val="nil"/>
              <w:bottom w:val="nil"/>
              <w:right w:val="nil"/>
            </w:tcBorders>
            <w:shd w:val="clear" w:color="auto" w:fill="auto"/>
            <w:vAlign w:val="center"/>
            <w:hideMark/>
          </w:tcPr>
          <w:p w14:paraId="19E307D6"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3,685(6.8)</w:t>
            </w:r>
          </w:p>
        </w:tc>
        <w:tc>
          <w:tcPr>
            <w:tcW w:w="3416" w:type="dxa"/>
            <w:tcBorders>
              <w:top w:val="nil"/>
              <w:left w:val="nil"/>
              <w:bottom w:val="nil"/>
              <w:right w:val="nil"/>
            </w:tcBorders>
            <w:shd w:val="clear" w:color="auto" w:fill="auto"/>
            <w:vAlign w:val="center"/>
            <w:hideMark/>
          </w:tcPr>
          <w:p w14:paraId="35B068DF"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3,045(5.7)</w:t>
            </w:r>
          </w:p>
        </w:tc>
        <w:tc>
          <w:tcPr>
            <w:tcW w:w="2716" w:type="dxa"/>
            <w:tcBorders>
              <w:top w:val="nil"/>
              <w:left w:val="nil"/>
              <w:bottom w:val="nil"/>
              <w:right w:val="nil"/>
            </w:tcBorders>
            <w:shd w:val="clear" w:color="auto" w:fill="auto"/>
            <w:vAlign w:val="center"/>
            <w:hideMark/>
          </w:tcPr>
          <w:p w14:paraId="4BB3FB78" w14:textId="77777777" w:rsidR="00270944" w:rsidRPr="00DE1276" w:rsidRDefault="00270944" w:rsidP="00270944">
            <w:pPr>
              <w:widowControl/>
              <w:jc w:val="center"/>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1.27 (1.21,1.33)</w:t>
            </w:r>
          </w:p>
        </w:tc>
      </w:tr>
      <w:tr w:rsidR="00270944" w:rsidRPr="00DE1276" w14:paraId="4AD09F07" w14:textId="77777777" w:rsidTr="00D5573F">
        <w:trPr>
          <w:trHeight w:val="340"/>
        </w:trPr>
        <w:tc>
          <w:tcPr>
            <w:tcW w:w="5076" w:type="dxa"/>
            <w:tcBorders>
              <w:top w:val="nil"/>
              <w:left w:val="nil"/>
              <w:bottom w:val="nil"/>
              <w:right w:val="nil"/>
            </w:tcBorders>
            <w:shd w:val="clear" w:color="000000" w:fill="EDEDED"/>
            <w:vAlign w:val="center"/>
            <w:hideMark/>
          </w:tcPr>
          <w:p w14:paraId="62C92C76" w14:textId="68C2F1B4" w:rsidR="00270944" w:rsidRPr="00DE1276" w:rsidRDefault="00F8264A"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Subtypes</w:t>
            </w:r>
            <w:r w:rsidR="00DC68F7" w:rsidRPr="00DE1276">
              <w:rPr>
                <w:rFonts w:ascii="Times New Roman" w:eastAsia="新細明體" w:hAnsi="Times New Roman" w:cs="Times New Roman"/>
                <w:b/>
                <w:bCs/>
                <w:color w:val="000000"/>
                <w:kern w:val="0"/>
                <w:szCs w:val="24"/>
              </w:rPr>
              <w:t xml:space="preserve"> of fractures</w:t>
            </w:r>
          </w:p>
        </w:tc>
        <w:tc>
          <w:tcPr>
            <w:tcW w:w="2456" w:type="dxa"/>
            <w:tcBorders>
              <w:top w:val="nil"/>
              <w:left w:val="nil"/>
              <w:bottom w:val="nil"/>
              <w:right w:val="nil"/>
            </w:tcBorders>
            <w:shd w:val="clear" w:color="000000" w:fill="EDEDED"/>
            <w:vAlign w:val="center"/>
            <w:hideMark/>
          </w:tcPr>
          <w:p w14:paraId="5ABBA3A6" w14:textId="77777777" w:rsidR="00270944" w:rsidRPr="00DE1276" w:rsidRDefault="00270944"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3416" w:type="dxa"/>
            <w:tcBorders>
              <w:top w:val="nil"/>
              <w:left w:val="nil"/>
              <w:bottom w:val="nil"/>
              <w:right w:val="nil"/>
            </w:tcBorders>
            <w:shd w:val="clear" w:color="000000" w:fill="EDEDED"/>
            <w:vAlign w:val="center"/>
            <w:hideMark/>
          </w:tcPr>
          <w:p w14:paraId="6B821003" w14:textId="77777777" w:rsidR="00270944" w:rsidRPr="00DE1276" w:rsidRDefault="00270944"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2716" w:type="dxa"/>
            <w:tcBorders>
              <w:top w:val="nil"/>
              <w:left w:val="nil"/>
              <w:bottom w:val="nil"/>
              <w:right w:val="nil"/>
            </w:tcBorders>
            <w:shd w:val="clear" w:color="000000" w:fill="EDEDED"/>
            <w:vAlign w:val="center"/>
            <w:hideMark/>
          </w:tcPr>
          <w:p w14:paraId="77AD34D4" w14:textId="77777777" w:rsidR="00270944" w:rsidRPr="00DE1276" w:rsidRDefault="00270944"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r>
      <w:tr w:rsidR="00270944" w:rsidRPr="00DE1276" w14:paraId="354D45B4" w14:textId="77777777" w:rsidTr="00270944">
        <w:trPr>
          <w:trHeight w:val="340"/>
        </w:trPr>
        <w:tc>
          <w:tcPr>
            <w:tcW w:w="5076" w:type="dxa"/>
            <w:tcBorders>
              <w:top w:val="nil"/>
              <w:left w:val="nil"/>
              <w:bottom w:val="nil"/>
              <w:right w:val="nil"/>
            </w:tcBorders>
            <w:shd w:val="clear" w:color="auto" w:fill="auto"/>
            <w:noWrap/>
            <w:vAlign w:val="center"/>
            <w:hideMark/>
          </w:tcPr>
          <w:p w14:paraId="1C859F68" w14:textId="77777777" w:rsidR="00270944" w:rsidRPr="00DE1276" w:rsidRDefault="00270944" w:rsidP="00270944">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Vertebral fractures</w:t>
            </w:r>
          </w:p>
        </w:tc>
        <w:tc>
          <w:tcPr>
            <w:tcW w:w="2456" w:type="dxa"/>
            <w:tcBorders>
              <w:top w:val="nil"/>
              <w:left w:val="nil"/>
              <w:bottom w:val="nil"/>
              <w:right w:val="nil"/>
            </w:tcBorders>
            <w:shd w:val="clear" w:color="auto" w:fill="auto"/>
            <w:noWrap/>
            <w:vAlign w:val="center"/>
            <w:hideMark/>
          </w:tcPr>
          <w:p w14:paraId="4D411CD1"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340(0.6)</w:t>
            </w:r>
          </w:p>
        </w:tc>
        <w:tc>
          <w:tcPr>
            <w:tcW w:w="3416" w:type="dxa"/>
            <w:tcBorders>
              <w:top w:val="nil"/>
              <w:left w:val="nil"/>
              <w:bottom w:val="nil"/>
              <w:right w:val="nil"/>
            </w:tcBorders>
            <w:shd w:val="clear" w:color="auto" w:fill="auto"/>
            <w:noWrap/>
            <w:vAlign w:val="center"/>
            <w:hideMark/>
          </w:tcPr>
          <w:p w14:paraId="55FB5511"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245(0.5)</w:t>
            </w:r>
          </w:p>
        </w:tc>
        <w:tc>
          <w:tcPr>
            <w:tcW w:w="2716" w:type="dxa"/>
            <w:tcBorders>
              <w:top w:val="nil"/>
              <w:left w:val="nil"/>
              <w:bottom w:val="nil"/>
              <w:right w:val="nil"/>
            </w:tcBorders>
            <w:shd w:val="clear" w:color="auto" w:fill="auto"/>
            <w:noWrap/>
            <w:vAlign w:val="center"/>
            <w:hideMark/>
          </w:tcPr>
          <w:p w14:paraId="25FB5088" w14:textId="77777777" w:rsidR="00270944" w:rsidRPr="00DE1276" w:rsidRDefault="00270944" w:rsidP="00270944">
            <w:pPr>
              <w:widowControl/>
              <w:jc w:val="center"/>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1.44 (1.22,1.69)</w:t>
            </w:r>
          </w:p>
        </w:tc>
      </w:tr>
      <w:tr w:rsidR="00270944" w:rsidRPr="00DE1276" w14:paraId="1DB5F525" w14:textId="77777777" w:rsidTr="00270944">
        <w:trPr>
          <w:trHeight w:val="340"/>
        </w:trPr>
        <w:tc>
          <w:tcPr>
            <w:tcW w:w="5076" w:type="dxa"/>
            <w:tcBorders>
              <w:top w:val="nil"/>
              <w:left w:val="nil"/>
              <w:bottom w:val="nil"/>
              <w:right w:val="nil"/>
            </w:tcBorders>
            <w:shd w:val="clear" w:color="auto" w:fill="auto"/>
            <w:noWrap/>
            <w:vAlign w:val="center"/>
            <w:hideMark/>
          </w:tcPr>
          <w:p w14:paraId="7077CB20" w14:textId="77777777" w:rsidR="00270944" w:rsidRPr="00DE1276" w:rsidRDefault="00270944" w:rsidP="00270944">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Hip fractures</w:t>
            </w:r>
          </w:p>
        </w:tc>
        <w:tc>
          <w:tcPr>
            <w:tcW w:w="2456" w:type="dxa"/>
            <w:tcBorders>
              <w:top w:val="nil"/>
              <w:left w:val="nil"/>
              <w:bottom w:val="nil"/>
              <w:right w:val="nil"/>
            </w:tcBorders>
            <w:shd w:val="clear" w:color="auto" w:fill="auto"/>
            <w:noWrap/>
            <w:vAlign w:val="center"/>
            <w:hideMark/>
          </w:tcPr>
          <w:p w14:paraId="3EB8886E"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93(0.2)</w:t>
            </w:r>
          </w:p>
        </w:tc>
        <w:tc>
          <w:tcPr>
            <w:tcW w:w="3416" w:type="dxa"/>
            <w:tcBorders>
              <w:top w:val="nil"/>
              <w:left w:val="nil"/>
              <w:bottom w:val="nil"/>
              <w:right w:val="nil"/>
            </w:tcBorders>
            <w:shd w:val="clear" w:color="auto" w:fill="auto"/>
            <w:noWrap/>
            <w:vAlign w:val="center"/>
            <w:hideMark/>
          </w:tcPr>
          <w:p w14:paraId="4856BCE7"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86(0.2)</w:t>
            </w:r>
          </w:p>
        </w:tc>
        <w:tc>
          <w:tcPr>
            <w:tcW w:w="2716" w:type="dxa"/>
            <w:tcBorders>
              <w:top w:val="nil"/>
              <w:left w:val="nil"/>
              <w:bottom w:val="nil"/>
              <w:right w:val="nil"/>
            </w:tcBorders>
            <w:shd w:val="clear" w:color="auto" w:fill="auto"/>
            <w:noWrap/>
            <w:vAlign w:val="center"/>
            <w:hideMark/>
          </w:tcPr>
          <w:p w14:paraId="4299B4B2"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1.12 (0.84,1.51)</w:t>
            </w:r>
          </w:p>
        </w:tc>
      </w:tr>
      <w:tr w:rsidR="00270944" w:rsidRPr="00DE1276" w14:paraId="4463E725" w14:textId="77777777" w:rsidTr="00270944">
        <w:trPr>
          <w:trHeight w:val="340"/>
        </w:trPr>
        <w:tc>
          <w:tcPr>
            <w:tcW w:w="5076" w:type="dxa"/>
            <w:tcBorders>
              <w:top w:val="nil"/>
              <w:left w:val="nil"/>
              <w:bottom w:val="nil"/>
              <w:right w:val="nil"/>
            </w:tcBorders>
            <w:shd w:val="clear" w:color="auto" w:fill="auto"/>
            <w:noWrap/>
            <w:vAlign w:val="center"/>
            <w:hideMark/>
          </w:tcPr>
          <w:p w14:paraId="688A562B" w14:textId="77777777" w:rsidR="00270944" w:rsidRPr="00DE1276" w:rsidRDefault="00270944" w:rsidP="00270944">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Wrist fractures</w:t>
            </w:r>
          </w:p>
        </w:tc>
        <w:tc>
          <w:tcPr>
            <w:tcW w:w="2456" w:type="dxa"/>
            <w:tcBorders>
              <w:top w:val="nil"/>
              <w:left w:val="nil"/>
              <w:bottom w:val="nil"/>
              <w:right w:val="nil"/>
            </w:tcBorders>
            <w:shd w:val="clear" w:color="auto" w:fill="auto"/>
            <w:noWrap/>
            <w:vAlign w:val="center"/>
            <w:hideMark/>
          </w:tcPr>
          <w:p w14:paraId="1E18A5A3"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313(0.6)</w:t>
            </w:r>
          </w:p>
        </w:tc>
        <w:tc>
          <w:tcPr>
            <w:tcW w:w="3416" w:type="dxa"/>
            <w:tcBorders>
              <w:top w:val="nil"/>
              <w:left w:val="nil"/>
              <w:bottom w:val="nil"/>
              <w:right w:val="nil"/>
            </w:tcBorders>
            <w:shd w:val="clear" w:color="auto" w:fill="auto"/>
            <w:noWrap/>
            <w:vAlign w:val="center"/>
            <w:hideMark/>
          </w:tcPr>
          <w:p w14:paraId="329714EA"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302(0.6)</w:t>
            </w:r>
          </w:p>
        </w:tc>
        <w:tc>
          <w:tcPr>
            <w:tcW w:w="2716" w:type="dxa"/>
            <w:tcBorders>
              <w:top w:val="nil"/>
              <w:left w:val="nil"/>
              <w:bottom w:val="nil"/>
              <w:right w:val="nil"/>
            </w:tcBorders>
            <w:shd w:val="clear" w:color="auto" w:fill="auto"/>
            <w:noWrap/>
            <w:vAlign w:val="center"/>
            <w:hideMark/>
          </w:tcPr>
          <w:p w14:paraId="690A1F69"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1.07 (0.92,1.26)</w:t>
            </w:r>
          </w:p>
        </w:tc>
      </w:tr>
      <w:tr w:rsidR="00270944" w:rsidRPr="00DE1276" w14:paraId="658AD76B" w14:textId="77777777" w:rsidTr="0026339B">
        <w:trPr>
          <w:trHeight w:val="340"/>
        </w:trPr>
        <w:tc>
          <w:tcPr>
            <w:tcW w:w="5076" w:type="dxa"/>
            <w:tcBorders>
              <w:top w:val="nil"/>
              <w:left w:val="nil"/>
              <w:bottom w:val="nil"/>
              <w:right w:val="nil"/>
            </w:tcBorders>
            <w:shd w:val="clear" w:color="auto" w:fill="auto"/>
            <w:noWrap/>
          </w:tcPr>
          <w:p w14:paraId="034EA14A" w14:textId="047B759B" w:rsidR="00270944" w:rsidRPr="00DE1276" w:rsidRDefault="00270944" w:rsidP="00270944">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Proximal humeral fractures</w:t>
            </w:r>
          </w:p>
        </w:tc>
        <w:tc>
          <w:tcPr>
            <w:tcW w:w="2456" w:type="dxa"/>
            <w:tcBorders>
              <w:top w:val="nil"/>
              <w:left w:val="nil"/>
              <w:bottom w:val="nil"/>
              <w:right w:val="nil"/>
            </w:tcBorders>
            <w:shd w:val="clear" w:color="auto" w:fill="auto"/>
            <w:noWrap/>
          </w:tcPr>
          <w:p w14:paraId="7A8E3526" w14:textId="0F5B7F46"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rPr>
              <w:t>188(0.4)</w:t>
            </w:r>
          </w:p>
        </w:tc>
        <w:tc>
          <w:tcPr>
            <w:tcW w:w="3416" w:type="dxa"/>
            <w:tcBorders>
              <w:top w:val="nil"/>
              <w:left w:val="nil"/>
              <w:bottom w:val="nil"/>
              <w:right w:val="nil"/>
            </w:tcBorders>
            <w:shd w:val="clear" w:color="auto" w:fill="auto"/>
            <w:noWrap/>
          </w:tcPr>
          <w:p w14:paraId="3C99E586" w14:textId="1CB2452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148(0.3)</w:t>
            </w:r>
          </w:p>
        </w:tc>
        <w:tc>
          <w:tcPr>
            <w:tcW w:w="2716" w:type="dxa"/>
            <w:tcBorders>
              <w:top w:val="nil"/>
              <w:left w:val="nil"/>
              <w:bottom w:val="nil"/>
              <w:right w:val="nil"/>
            </w:tcBorders>
            <w:shd w:val="clear" w:color="auto" w:fill="auto"/>
            <w:noWrap/>
          </w:tcPr>
          <w:p w14:paraId="770713AD" w14:textId="0273C19C" w:rsidR="00270944" w:rsidRPr="00DE1276" w:rsidRDefault="00270944" w:rsidP="00270944">
            <w:pPr>
              <w:widowControl/>
              <w:jc w:val="center"/>
              <w:rPr>
                <w:rFonts w:ascii="Times New Roman" w:eastAsia="新細明體" w:hAnsi="Times New Roman" w:cs="Times New Roman"/>
                <w:b/>
                <w:color w:val="000000"/>
                <w:kern w:val="0"/>
                <w:szCs w:val="24"/>
              </w:rPr>
            </w:pPr>
            <w:r w:rsidRPr="00DE1276">
              <w:rPr>
                <w:rFonts w:ascii="Times New Roman" w:eastAsia="新細明體" w:hAnsi="Times New Roman" w:cs="Times New Roman"/>
                <w:b/>
                <w:color w:val="000000"/>
                <w:kern w:val="0"/>
                <w:szCs w:val="24"/>
              </w:rPr>
              <w:t>1.31</w:t>
            </w:r>
            <w:r w:rsidRPr="00DE1276">
              <w:rPr>
                <w:rFonts w:ascii="Times New Roman" w:eastAsia="新細明體" w:hAnsi="Times New Roman" w:cs="Times New Roman"/>
                <w:b/>
                <w:color w:val="000000"/>
                <w:kern w:val="0"/>
                <w:szCs w:val="24"/>
              </w:rPr>
              <w:tab/>
              <w:t>(1.06,1.63)</w:t>
            </w:r>
          </w:p>
        </w:tc>
      </w:tr>
      <w:tr w:rsidR="00270944" w:rsidRPr="00DE1276" w14:paraId="0BEA56D1" w14:textId="77777777" w:rsidTr="00270944">
        <w:trPr>
          <w:trHeight w:val="334"/>
        </w:trPr>
        <w:tc>
          <w:tcPr>
            <w:tcW w:w="5076" w:type="dxa"/>
            <w:tcBorders>
              <w:top w:val="nil"/>
              <w:left w:val="nil"/>
              <w:bottom w:val="single" w:sz="4" w:space="0" w:color="auto"/>
              <w:right w:val="nil"/>
            </w:tcBorders>
            <w:shd w:val="clear" w:color="auto" w:fill="auto"/>
            <w:noWrap/>
            <w:vAlign w:val="center"/>
            <w:hideMark/>
          </w:tcPr>
          <w:p w14:paraId="377B8A60" w14:textId="77777777" w:rsidR="00270944" w:rsidRPr="00DE1276" w:rsidRDefault="00270944" w:rsidP="00270944">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Lower leg fractures</w:t>
            </w:r>
          </w:p>
        </w:tc>
        <w:tc>
          <w:tcPr>
            <w:tcW w:w="2456" w:type="dxa"/>
            <w:tcBorders>
              <w:top w:val="nil"/>
              <w:left w:val="nil"/>
              <w:bottom w:val="single" w:sz="4" w:space="0" w:color="auto"/>
              <w:right w:val="nil"/>
            </w:tcBorders>
            <w:shd w:val="clear" w:color="auto" w:fill="auto"/>
            <w:noWrap/>
            <w:vAlign w:val="center"/>
            <w:hideMark/>
          </w:tcPr>
          <w:p w14:paraId="197844B7"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790(1.5)</w:t>
            </w:r>
          </w:p>
        </w:tc>
        <w:tc>
          <w:tcPr>
            <w:tcW w:w="3416" w:type="dxa"/>
            <w:tcBorders>
              <w:top w:val="nil"/>
              <w:left w:val="nil"/>
              <w:bottom w:val="single" w:sz="4" w:space="0" w:color="auto"/>
              <w:right w:val="nil"/>
            </w:tcBorders>
            <w:shd w:val="clear" w:color="auto" w:fill="auto"/>
            <w:noWrap/>
            <w:vAlign w:val="center"/>
            <w:hideMark/>
          </w:tcPr>
          <w:p w14:paraId="35F0F108" w14:textId="77777777" w:rsidR="00270944" w:rsidRPr="00DE1276" w:rsidRDefault="00270944" w:rsidP="00270944">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645(1.2)</w:t>
            </w:r>
          </w:p>
        </w:tc>
        <w:tc>
          <w:tcPr>
            <w:tcW w:w="2716" w:type="dxa"/>
            <w:tcBorders>
              <w:top w:val="nil"/>
              <w:left w:val="nil"/>
              <w:bottom w:val="single" w:sz="4" w:space="0" w:color="auto"/>
              <w:right w:val="nil"/>
            </w:tcBorders>
            <w:shd w:val="clear" w:color="auto" w:fill="auto"/>
            <w:noWrap/>
            <w:vAlign w:val="center"/>
            <w:hideMark/>
          </w:tcPr>
          <w:p w14:paraId="775B7D7F" w14:textId="77777777" w:rsidR="00270944" w:rsidRPr="00DE1276" w:rsidRDefault="00270944" w:rsidP="00270944">
            <w:pPr>
              <w:widowControl/>
              <w:jc w:val="center"/>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1.27 (1.14,1.41)</w:t>
            </w:r>
          </w:p>
        </w:tc>
      </w:tr>
    </w:tbl>
    <w:p w14:paraId="50724E64" w14:textId="0FA38F82" w:rsidR="00192D0C" w:rsidRPr="00DE1276" w:rsidRDefault="00926BA5" w:rsidP="00DD2A73">
      <w:pPr>
        <w:rPr>
          <w:rFonts w:ascii="Times New Roman" w:hAnsi="Times New Roman" w:cs="Times New Roman"/>
        </w:rPr>
      </w:pPr>
      <w:r w:rsidRPr="00DE1276">
        <w:rPr>
          <w:rFonts w:ascii="Times New Roman" w:hAnsi="Times New Roman" w:cs="Times New Roman"/>
        </w:rPr>
        <w:t xml:space="preserve"> </w:t>
      </w:r>
    </w:p>
    <w:p w14:paraId="10C52E25" w14:textId="77777777" w:rsidR="00192D0C" w:rsidRPr="00DE1276" w:rsidRDefault="00192D0C">
      <w:pPr>
        <w:widowControl/>
        <w:rPr>
          <w:rFonts w:ascii="Times New Roman" w:hAnsi="Times New Roman" w:cs="Times New Roman"/>
        </w:rPr>
      </w:pPr>
      <w:r w:rsidRPr="00DE1276">
        <w:rPr>
          <w:rFonts w:ascii="Times New Roman" w:hAnsi="Times New Roman" w:cs="Times New Roman"/>
        </w:rPr>
        <w:br w:type="page"/>
      </w:r>
    </w:p>
    <w:p w14:paraId="7787F297" w14:textId="62EB6BA9" w:rsidR="00192D0C" w:rsidRPr="00DE1276" w:rsidRDefault="00192D0C" w:rsidP="00192D0C">
      <w:pPr>
        <w:rPr>
          <w:rFonts w:ascii="Times New Roman" w:hAnsi="Times New Roman" w:cs="Times New Roman"/>
        </w:rPr>
      </w:pPr>
      <w:r w:rsidRPr="00DE1276">
        <w:rPr>
          <w:rFonts w:ascii="Times New Roman" w:hAnsi="Times New Roman" w:cs="Times New Roman"/>
          <w:b/>
        </w:rPr>
        <w:lastRenderedPageBreak/>
        <w:t>Table S</w:t>
      </w:r>
      <w:r w:rsidR="00CD1DE4" w:rsidRPr="00DE1276">
        <w:rPr>
          <w:rFonts w:ascii="Times New Roman" w:hAnsi="Times New Roman" w:cs="Times New Roman"/>
          <w:b/>
        </w:rPr>
        <w:t>4</w:t>
      </w:r>
      <w:r w:rsidRPr="00DE1276">
        <w:rPr>
          <w:rFonts w:ascii="Times New Roman" w:hAnsi="Times New Roman" w:cs="Times New Roman"/>
          <w:b/>
        </w:rPr>
        <w:t>.</w:t>
      </w:r>
      <w:r w:rsidRPr="00DE1276">
        <w:rPr>
          <w:rFonts w:ascii="Times New Roman" w:hAnsi="Times New Roman" w:cs="Times New Roman"/>
        </w:rPr>
        <w:t xml:space="preserve"> Sensitivity analysis: excluding osteoporosis patients before index date</w:t>
      </w:r>
    </w:p>
    <w:tbl>
      <w:tblPr>
        <w:tblW w:w="13664" w:type="dxa"/>
        <w:tblCellMar>
          <w:left w:w="28" w:type="dxa"/>
          <w:right w:w="28" w:type="dxa"/>
        </w:tblCellMar>
        <w:tblLook w:val="04A0" w:firstRow="1" w:lastRow="0" w:firstColumn="1" w:lastColumn="0" w:noHBand="0" w:noVBand="1"/>
      </w:tblPr>
      <w:tblGrid>
        <w:gridCol w:w="5076"/>
        <w:gridCol w:w="2456"/>
        <w:gridCol w:w="3416"/>
        <w:gridCol w:w="2716"/>
      </w:tblGrid>
      <w:tr w:rsidR="00192D0C" w:rsidRPr="00DE1276" w14:paraId="258A2502" w14:textId="77777777" w:rsidTr="007004D2">
        <w:trPr>
          <w:trHeight w:val="340"/>
        </w:trPr>
        <w:tc>
          <w:tcPr>
            <w:tcW w:w="5076" w:type="dxa"/>
            <w:vMerge w:val="restart"/>
            <w:tcBorders>
              <w:top w:val="single" w:sz="8" w:space="0" w:color="auto"/>
              <w:left w:val="nil"/>
              <w:bottom w:val="nil"/>
              <w:right w:val="nil"/>
            </w:tcBorders>
            <w:shd w:val="clear" w:color="auto" w:fill="auto"/>
            <w:vAlign w:val="center"/>
            <w:hideMark/>
          </w:tcPr>
          <w:p w14:paraId="3572910E"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Outcome: New-onset fracture</w:t>
            </w:r>
          </w:p>
        </w:tc>
        <w:tc>
          <w:tcPr>
            <w:tcW w:w="5872" w:type="dxa"/>
            <w:gridSpan w:val="2"/>
            <w:tcBorders>
              <w:top w:val="single" w:sz="8" w:space="0" w:color="auto"/>
              <w:left w:val="nil"/>
              <w:bottom w:val="nil"/>
              <w:right w:val="nil"/>
            </w:tcBorders>
            <w:shd w:val="clear" w:color="auto" w:fill="auto"/>
            <w:vAlign w:val="center"/>
            <w:hideMark/>
          </w:tcPr>
          <w:p w14:paraId="073385DB" w14:textId="77777777" w:rsidR="00192D0C" w:rsidRPr="00DE1276" w:rsidRDefault="00192D0C" w:rsidP="00D5573F">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 xml:space="preserve">Study cohort with incident outcome event, n (%) </w:t>
            </w:r>
          </w:p>
        </w:tc>
        <w:tc>
          <w:tcPr>
            <w:tcW w:w="2716" w:type="dxa"/>
            <w:vMerge w:val="restart"/>
            <w:tcBorders>
              <w:top w:val="single" w:sz="4" w:space="0" w:color="auto"/>
              <w:left w:val="nil"/>
              <w:bottom w:val="nil"/>
              <w:right w:val="nil"/>
            </w:tcBorders>
            <w:shd w:val="clear" w:color="auto" w:fill="auto"/>
            <w:vAlign w:val="center"/>
            <w:hideMark/>
          </w:tcPr>
          <w:p w14:paraId="5EA2C5C6" w14:textId="77777777" w:rsidR="00192D0C" w:rsidRPr="00DE1276" w:rsidRDefault="00192D0C" w:rsidP="00D5573F">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Hazard ratio (95% CI)</w:t>
            </w:r>
          </w:p>
        </w:tc>
      </w:tr>
      <w:tr w:rsidR="00192D0C" w:rsidRPr="00DE1276" w14:paraId="41BD1D59" w14:textId="77777777" w:rsidTr="00D5573F">
        <w:trPr>
          <w:trHeight w:val="340"/>
        </w:trPr>
        <w:tc>
          <w:tcPr>
            <w:tcW w:w="5076" w:type="dxa"/>
            <w:vMerge/>
            <w:tcBorders>
              <w:top w:val="single" w:sz="8" w:space="0" w:color="auto"/>
              <w:left w:val="nil"/>
              <w:bottom w:val="nil"/>
              <w:right w:val="nil"/>
            </w:tcBorders>
            <w:vAlign w:val="center"/>
            <w:hideMark/>
          </w:tcPr>
          <w:p w14:paraId="3FBA7CAB" w14:textId="77777777" w:rsidR="00192D0C" w:rsidRPr="00DE1276" w:rsidRDefault="00192D0C" w:rsidP="00D5573F">
            <w:pPr>
              <w:widowControl/>
              <w:rPr>
                <w:rFonts w:ascii="Times New Roman" w:eastAsia="新細明體" w:hAnsi="Times New Roman" w:cs="Times New Roman"/>
                <w:b/>
                <w:bCs/>
                <w:color w:val="000000"/>
                <w:kern w:val="0"/>
                <w:szCs w:val="24"/>
              </w:rPr>
            </w:pPr>
          </w:p>
        </w:tc>
        <w:tc>
          <w:tcPr>
            <w:tcW w:w="2456" w:type="dxa"/>
            <w:tcBorders>
              <w:top w:val="nil"/>
              <w:left w:val="nil"/>
              <w:bottom w:val="nil"/>
              <w:right w:val="nil"/>
            </w:tcBorders>
            <w:shd w:val="clear" w:color="auto" w:fill="auto"/>
            <w:vAlign w:val="center"/>
            <w:hideMark/>
          </w:tcPr>
          <w:p w14:paraId="704D75C6" w14:textId="77777777" w:rsidR="00192D0C" w:rsidRPr="00DE1276" w:rsidRDefault="00192D0C" w:rsidP="00D5573F">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 xml:space="preserve">Case patients </w:t>
            </w:r>
          </w:p>
        </w:tc>
        <w:tc>
          <w:tcPr>
            <w:tcW w:w="3416" w:type="dxa"/>
            <w:tcBorders>
              <w:top w:val="nil"/>
              <w:left w:val="nil"/>
              <w:bottom w:val="nil"/>
              <w:right w:val="nil"/>
            </w:tcBorders>
            <w:shd w:val="clear" w:color="auto" w:fill="auto"/>
            <w:vAlign w:val="center"/>
            <w:hideMark/>
          </w:tcPr>
          <w:p w14:paraId="66AC1BF9" w14:textId="77777777" w:rsidR="00192D0C" w:rsidRPr="00DE1276" w:rsidRDefault="00192D0C" w:rsidP="00D5573F">
            <w:pPr>
              <w:widowControl/>
              <w:jc w:val="center"/>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Control patients</w:t>
            </w:r>
          </w:p>
        </w:tc>
        <w:tc>
          <w:tcPr>
            <w:tcW w:w="2716" w:type="dxa"/>
            <w:vMerge/>
            <w:tcBorders>
              <w:top w:val="nil"/>
              <w:left w:val="nil"/>
              <w:bottom w:val="nil"/>
              <w:right w:val="nil"/>
            </w:tcBorders>
            <w:vAlign w:val="center"/>
            <w:hideMark/>
          </w:tcPr>
          <w:p w14:paraId="73BA00C9" w14:textId="77777777" w:rsidR="00192D0C" w:rsidRPr="00DE1276" w:rsidRDefault="00192D0C" w:rsidP="00D5573F">
            <w:pPr>
              <w:widowControl/>
              <w:rPr>
                <w:rFonts w:ascii="Times New Roman" w:eastAsia="新細明體" w:hAnsi="Times New Roman" w:cs="Times New Roman"/>
                <w:color w:val="000000"/>
                <w:kern w:val="0"/>
                <w:szCs w:val="24"/>
              </w:rPr>
            </w:pPr>
          </w:p>
        </w:tc>
      </w:tr>
      <w:tr w:rsidR="00192D0C" w:rsidRPr="00DE1276" w14:paraId="4962DEDA" w14:textId="77777777" w:rsidTr="00D5573F">
        <w:trPr>
          <w:trHeight w:val="340"/>
        </w:trPr>
        <w:tc>
          <w:tcPr>
            <w:tcW w:w="5076" w:type="dxa"/>
            <w:tcBorders>
              <w:top w:val="nil"/>
              <w:left w:val="nil"/>
              <w:bottom w:val="nil"/>
              <w:right w:val="nil"/>
            </w:tcBorders>
            <w:shd w:val="clear" w:color="000000" w:fill="EDEDED"/>
            <w:vAlign w:val="center"/>
            <w:hideMark/>
          </w:tcPr>
          <w:p w14:paraId="0F1BC2C4"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Primary Analyses</w:t>
            </w:r>
          </w:p>
        </w:tc>
        <w:tc>
          <w:tcPr>
            <w:tcW w:w="2456" w:type="dxa"/>
            <w:tcBorders>
              <w:top w:val="nil"/>
              <w:left w:val="nil"/>
              <w:bottom w:val="nil"/>
              <w:right w:val="nil"/>
            </w:tcBorders>
            <w:shd w:val="clear" w:color="000000" w:fill="EDEDED"/>
            <w:vAlign w:val="center"/>
            <w:hideMark/>
          </w:tcPr>
          <w:p w14:paraId="370B8E1A"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3416" w:type="dxa"/>
            <w:tcBorders>
              <w:top w:val="nil"/>
              <w:left w:val="nil"/>
              <w:bottom w:val="nil"/>
              <w:right w:val="nil"/>
            </w:tcBorders>
            <w:shd w:val="clear" w:color="000000" w:fill="EDEDED"/>
            <w:vAlign w:val="center"/>
            <w:hideMark/>
          </w:tcPr>
          <w:p w14:paraId="51575E6D"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2716" w:type="dxa"/>
            <w:tcBorders>
              <w:top w:val="nil"/>
              <w:left w:val="nil"/>
              <w:bottom w:val="nil"/>
              <w:right w:val="nil"/>
            </w:tcBorders>
            <w:shd w:val="clear" w:color="000000" w:fill="EDEDED"/>
            <w:vAlign w:val="center"/>
            <w:hideMark/>
          </w:tcPr>
          <w:p w14:paraId="1FCE536A"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r>
      <w:tr w:rsidR="004933A3" w:rsidRPr="00DE1276" w14:paraId="02AD65C7" w14:textId="77777777" w:rsidTr="00A44134">
        <w:trPr>
          <w:trHeight w:val="340"/>
        </w:trPr>
        <w:tc>
          <w:tcPr>
            <w:tcW w:w="5076" w:type="dxa"/>
            <w:tcBorders>
              <w:top w:val="nil"/>
              <w:left w:val="nil"/>
              <w:bottom w:val="nil"/>
              <w:right w:val="nil"/>
            </w:tcBorders>
            <w:shd w:val="clear" w:color="auto" w:fill="auto"/>
            <w:noWrap/>
            <w:vAlign w:val="center"/>
            <w:hideMark/>
          </w:tcPr>
          <w:p w14:paraId="710C26C3" w14:textId="77777777" w:rsidR="004933A3" w:rsidRPr="00DE1276" w:rsidRDefault="004933A3" w:rsidP="004933A3">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All fractures</w:t>
            </w:r>
          </w:p>
        </w:tc>
        <w:tc>
          <w:tcPr>
            <w:tcW w:w="2456" w:type="dxa"/>
            <w:tcBorders>
              <w:top w:val="nil"/>
              <w:left w:val="nil"/>
              <w:bottom w:val="nil"/>
              <w:right w:val="nil"/>
            </w:tcBorders>
            <w:shd w:val="clear" w:color="auto" w:fill="auto"/>
            <w:hideMark/>
          </w:tcPr>
          <w:p w14:paraId="7A37F14F" w14:textId="6F05D350" w:rsidR="004933A3" w:rsidRPr="00DE1276" w:rsidRDefault="004933A3" w:rsidP="004933A3">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rPr>
              <w:t>3,429(6.7)</w:t>
            </w:r>
          </w:p>
        </w:tc>
        <w:tc>
          <w:tcPr>
            <w:tcW w:w="3416" w:type="dxa"/>
            <w:tcBorders>
              <w:top w:val="nil"/>
              <w:left w:val="nil"/>
              <w:bottom w:val="nil"/>
              <w:right w:val="nil"/>
            </w:tcBorders>
            <w:shd w:val="clear" w:color="auto" w:fill="auto"/>
            <w:hideMark/>
          </w:tcPr>
          <w:p w14:paraId="4F31683F" w14:textId="0C076DFE" w:rsidR="004933A3" w:rsidRPr="00DE1276" w:rsidRDefault="004933A3" w:rsidP="004933A3">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rPr>
              <w:t>2,814(5.5)</w:t>
            </w:r>
          </w:p>
        </w:tc>
        <w:tc>
          <w:tcPr>
            <w:tcW w:w="2716" w:type="dxa"/>
            <w:tcBorders>
              <w:top w:val="nil"/>
              <w:left w:val="nil"/>
              <w:bottom w:val="nil"/>
              <w:right w:val="nil"/>
            </w:tcBorders>
            <w:shd w:val="clear" w:color="auto" w:fill="auto"/>
            <w:hideMark/>
          </w:tcPr>
          <w:p w14:paraId="35791F2A" w14:textId="6245097D" w:rsidR="004933A3" w:rsidRPr="00DE1276" w:rsidRDefault="004933A3" w:rsidP="004933A3">
            <w:pPr>
              <w:widowControl/>
              <w:jc w:val="center"/>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1.27(1.21,1.33)</w:t>
            </w:r>
          </w:p>
        </w:tc>
      </w:tr>
      <w:tr w:rsidR="00192D0C" w:rsidRPr="00DE1276" w14:paraId="4464928F" w14:textId="77777777" w:rsidTr="00D5573F">
        <w:trPr>
          <w:trHeight w:val="340"/>
        </w:trPr>
        <w:tc>
          <w:tcPr>
            <w:tcW w:w="5076" w:type="dxa"/>
            <w:tcBorders>
              <w:top w:val="nil"/>
              <w:left w:val="nil"/>
              <w:bottom w:val="nil"/>
              <w:right w:val="nil"/>
            </w:tcBorders>
            <w:shd w:val="clear" w:color="000000" w:fill="EDEDED"/>
            <w:vAlign w:val="center"/>
            <w:hideMark/>
          </w:tcPr>
          <w:p w14:paraId="51263CC3"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Subtypes of fractures</w:t>
            </w:r>
          </w:p>
        </w:tc>
        <w:tc>
          <w:tcPr>
            <w:tcW w:w="2456" w:type="dxa"/>
            <w:tcBorders>
              <w:top w:val="nil"/>
              <w:left w:val="nil"/>
              <w:bottom w:val="nil"/>
              <w:right w:val="nil"/>
            </w:tcBorders>
            <w:shd w:val="clear" w:color="000000" w:fill="EDEDED"/>
            <w:vAlign w:val="center"/>
            <w:hideMark/>
          </w:tcPr>
          <w:p w14:paraId="42F5EAE5"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3416" w:type="dxa"/>
            <w:tcBorders>
              <w:top w:val="nil"/>
              <w:left w:val="nil"/>
              <w:bottom w:val="nil"/>
              <w:right w:val="nil"/>
            </w:tcBorders>
            <w:shd w:val="clear" w:color="000000" w:fill="EDEDED"/>
            <w:vAlign w:val="center"/>
            <w:hideMark/>
          </w:tcPr>
          <w:p w14:paraId="6F412CCE"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c>
          <w:tcPr>
            <w:tcW w:w="2716" w:type="dxa"/>
            <w:tcBorders>
              <w:top w:val="nil"/>
              <w:left w:val="nil"/>
              <w:bottom w:val="nil"/>
              <w:right w:val="nil"/>
            </w:tcBorders>
            <w:shd w:val="clear" w:color="000000" w:fill="EDEDED"/>
            <w:vAlign w:val="center"/>
            <w:hideMark/>
          </w:tcPr>
          <w:p w14:paraId="3260BDF8" w14:textId="77777777" w:rsidR="00192D0C" w:rsidRPr="00DE1276" w:rsidRDefault="00192D0C" w:rsidP="00D5573F">
            <w:pPr>
              <w:widowControl/>
              <w:rPr>
                <w:rFonts w:ascii="Times New Roman" w:eastAsia="新細明體" w:hAnsi="Times New Roman" w:cs="Times New Roman"/>
                <w:b/>
                <w:bCs/>
                <w:color w:val="000000"/>
                <w:kern w:val="0"/>
                <w:szCs w:val="24"/>
              </w:rPr>
            </w:pPr>
            <w:r w:rsidRPr="00DE1276">
              <w:rPr>
                <w:rFonts w:ascii="Times New Roman" w:eastAsia="新細明體" w:hAnsi="Times New Roman" w:cs="Times New Roman"/>
                <w:b/>
                <w:bCs/>
                <w:color w:val="000000"/>
                <w:kern w:val="0"/>
                <w:szCs w:val="24"/>
              </w:rPr>
              <w:t xml:space="preserve">　</w:t>
            </w:r>
          </w:p>
        </w:tc>
      </w:tr>
      <w:tr w:rsidR="00C64AB5" w:rsidRPr="00DE1276" w14:paraId="4A659333" w14:textId="77777777" w:rsidTr="00CB681B">
        <w:trPr>
          <w:trHeight w:val="340"/>
        </w:trPr>
        <w:tc>
          <w:tcPr>
            <w:tcW w:w="5076" w:type="dxa"/>
            <w:tcBorders>
              <w:top w:val="nil"/>
              <w:left w:val="nil"/>
              <w:bottom w:val="nil"/>
              <w:right w:val="nil"/>
            </w:tcBorders>
            <w:shd w:val="clear" w:color="auto" w:fill="auto"/>
            <w:noWrap/>
            <w:vAlign w:val="center"/>
            <w:hideMark/>
          </w:tcPr>
          <w:p w14:paraId="61574C04" w14:textId="77777777" w:rsidR="00C64AB5" w:rsidRPr="00DE1276" w:rsidRDefault="00C64AB5" w:rsidP="00C64AB5">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Vertebral fractures</w:t>
            </w:r>
          </w:p>
        </w:tc>
        <w:tc>
          <w:tcPr>
            <w:tcW w:w="2456" w:type="dxa"/>
            <w:tcBorders>
              <w:top w:val="nil"/>
              <w:left w:val="nil"/>
              <w:bottom w:val="nil"/>
              <w:right w:val="nil"/>
            </w:tcBorders>
            <w:shd w:val="clear" w:color="auto" w:fill="auto"/>
            <w:noWrap/>
            <w:vAlign w:val="center"/>
          </w:tcPr>
          <w:p w14:paraId="6D0C2E03" w14:textId="13AF02C0"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302(0.6)</w:t>
            </w:r>
          </w:p>
        </w:tc>
        <w:tc>
          <w:tcPr>
            <w:tcW w:w="3416" w:type="dxa"/>
            <w:tcBorders>
              <w:top w:val="nil"/>
              <w:left w:val="nil"/>
              <w:bottom w:val="nil"/>
              <w:right w:val="nil"/>
            </w:tcBorders>
            <w:shd w:val="clear" w:color="auto" w:fill="auto"/>
            <w:noWrap/>
            <w:vAlign w:val="center"/>
          </w:tcPr>
          <w:p w14:paraId="074E0CE6" w14:textId="3C0949EE"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239(0.5)</w:t>
            </w:r>
          </w:p>
        </w:tc>
        <w:tc>
          <w:tcPr>
            <w:tcW w:w="2716" w:type="dxa"/>
            <w:tcBorders>
              <w:top w:val="nil"/>
              <w:left w:val="nil"/>
              <w:bottom w:val="nil"/>
              <w:right w:val="nil"/>
            </w:tcBorders>
            <w:shd w:val="clear" w:color="auto" w:fill="auto"/>
            <w:noWrap/>
            <w:vAlign w:val="center"/>
          </w:tcPr>
          <w:p w14:paraId="585184EE" w14:textId="4B66028E" w:rsidR="00C64AB5" w:rsidRPr="00DE1276" w:rsidRDefault="00C64AB5" w:rsidP="00C64AB5">
            <w:pPr>
              <w:widowControl/>
              <w:jc w:val="center"/>
              <w:rPr>
                <w:rFonts w:ascii="Times New Roman" w:eastAsia="新細明體" w:hAnsi="Times New Roman" w:cs="Times New Roman"/>
                <w:b/>
                <w:bCs/>
                <w:color w:val="000000"/>
                <w:kern w:val="0"/>
                <w:szCs w:val="24"/>
              </w:rPr>
            </w:pPr>
            <w:r w:rsidRPr="00DE1276">
              <w:rPr>
                <w:rFonts w:ascii="Times New Roman" w:hAnsi="Times New Roman" w:cs="Times New Roman"/>
                <w:b/>
                <w:bCs/>
                <w:color w:val="000000"/>
              </w:rPr>
              <w:t xml:space="preserve">1.30 (1.10,1.54) </w:t>
            </w:r>
          </w:p>
        </w:tc>
      </w:tr>
      <w:tr w:rsidR="00C64AB5" w:rsidRPr="00DE1276" w14:paraId="1A62B3DB" w14:textId="77777777" w:rsidTr="00CB681B">
        <w:trPr>
          <w:trHeight w:val="340"/>
        </w:trPr>
        <w:tc>
          <w:tcPr>
            <w:tcW w:w="5076" w:type="dxa"/>
            <w:tcBorders>
              <w:top w:val="nil"/>
              <w:left w:val="nil"/>
              <w:bottom w:val="nil"/>
              <w:right w:val="nil"/>
            </w:tcBorders>
            <w:shd w:val="clear" w:color="auto" w:fill="auto"/>
            <w:noWrap/>
            <w:vAlign w:val="center"/>
            <w:hideMark/>
          </w:tcPr>
          <w:p w14:paraId="35CCE538" w14:textId="77777777" w:rsidR="00C64AB5" w:rsidRPr="00DE1276" w:rsidRDefault="00C64AB5" w:rsidP="00C64AB5">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Hip fractures</w:t>
            </w:r>
          </w:p>
        </w:tc>
        <w:tc>
          <w:tcPr>
            <w:tcW w:w="2456" w:type="dxa"/>
            <w:tcBorders>
              <w:top w:val="nil"/>
              <w:left w:val="nil"/>
              <w:bottom w:val="nil"/>
              <w:right w:val="nil"/>
            </w:tcBorders>
            <w:shd w:val="clear" w:color="auto" w:fill="auto"/>
            <w:noWrap/>
            <w:vAlign w:val="center"/>
          </w:tcPr>
          <w:p w14:paraId="10825915" w14:textId="237CEC49"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88(0.2)</w:t>
            </w:r>
          </w:p>
        </w:tc>
        <w:tc>
          <w:tcPr>
            <w:tcW w:w="3416" w:type="dxa"/>
            <w:tcBorders>
              <w:top w:val="nil"/>
              <w:left w:val="nil"/>
              <w:bottom w:val="nil"/>
              <w:right w:val="nil"/>
            </w:tcBorders>
            <w:shd w:val="clear" w:color="auto" w:fill="auto"/>
            <w:noWrap/>
            <w:vAlign w:val="center"/>
          </w:tcPr>
          <w:p w14:paraId="73A035E5" w14:textId="0A81792D"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94(0.2)</w:t>
            </w:r>
          </w:p>
        </w:tc>
        <w:tc>
          <w:tcPr>
            <w:tcW w:w="2716" w:type="dxa"/>
            <w:tcBorders>
              <w:top w:val="nil"/>
              <w:left w:val="nil"/>
              <w:bottom w:val="nil"/>
              <w:right w:val="nil"/>
            </w:tcBorders>
            <w:shd w:val="clear" w:color="auto" w:fill="auto"/>
            <w:noWrap/>
            <w:vAlign w:val="center"/>
          </w:tcPr>
          <w:p w14:paraId="64408607" w14:textId="24125FDB"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0.96 (0.72,1.29)</w:t>
            </w:r>
          </w:p>
        </w:tc>
      </w:tr>
      <w:tr w:rsidR="00C64AB5" w:rsidRPr="00DE1276" w14:paraId="33F91070" w14:textId="77777777" w:rsidTr="00CB681B">
        <w:trPr>
          <w:trHeight w:val="340"/>
        </w:trPr>
        <w:tc>
          <w:tcPr>
            <w:tcW w:w="5076" w:type="dxa"/>
            <w:tcBorders>
              <w:top w:val="nil"/>
              <w:left w:val="nil"/>
              <w:bottom w:val="nil"/>
              <w:right w:val="nil"/>
            </w:tcBorders>
            <w:shd w:val="clear" w:color="auto" w:fill="auto"/>
            <w:noWrap/>
            <w:vAlign w:val="center"/>
            <w:hideMark/>
          </w:tcPr>
          <w:p w14:paraId="579A8EF5" w14:textId="77777777" w:rsidR="00C64AB5" w:rsidRPr="00DE1276" w:rsidRDefault="00C64AB5" w:rsidP="00C64AB5">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Wrist fractures</w:t>
            </w:r>
          </w:p>
        </w:tc>
        <w:tc>
          <w:tcPr>
            <w:tcW w:w="2456" w:type="dxa"/>
            <w:tcBorders>
              <w:top w:val="nil"/>
              <w:left w:val="nil"/>
              <w:bottom w:val="nil"/>
              <w:right w:val="nil"/>
            </w:tcBorders>
            <w:shd w:val="clear" w:color="auto" w:fill="auto"/>
            <w:noWrap/>
            <w:vAlign w:val="center"/>
          </w:tcPr>
          <w:p w14:paraId="5F6B21E5" w14:textId="6FF42A59"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278(0.1)</w:t>
            </w:r>
          </w:p>
        </w:tc>
        <w:tc>
          <w:tcPr>
            <w:tcW w:w="3416" w:type="dxa"/>
            <w:tcBorders>
              <w:top w:val="nil"/>
              <w:left w:val="nil"/>
              <w:bottom w:val="nil"/>
              <w:right w:val="nil"/>
            </w:tcBorders>
            <w:shd w:val="clear" w:color="auto" w:fill="auto"/>
            <w:noWrap/>
            <w:vAlign w:val="center"/>
          </w:tcPr>
          <w:p w14:paraId="2C0046AD" w14:textId="050997B7"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273(0.1)</w:t>
            </w:r>
          </w:p>
        </w:tc>
        <w:tc>
          <w:tcPr>
            <w:tcW w:w="2716" w:type="dxa"/>
            <w:tcBorders>
              <w:top w:val="nil"/>
              <w:left w:val="nil"/>
              <w:bottom w:val="nil"/>
              <w:right w:val="nil"/>
            </w:tcBorders>
            <w:shd w:val="clear" w:color="auto" w:fill="auto"/>
            <w:noWrap/>
            <w:vAlign w:val="center"/>
          </w:tcPr>
          <w:p w14:paraId="21A437B0" w14:textId="5C0DF2DD"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1.05 (0.89,1.24)</w:t>
            </w:r>
          </w:p>
        </w:tc>
      </w:tr>
      <w:tr w:rsidR="00C64AB5" w:rsidRPr="00DE1276" w14:paraId="3A5C137C" w14:textId="77777777" w:rsidTr="008133E8">
        <w:trPr>
          <w:trHeight w:val="340"/>
        </w:trPr>
        <w:tc>
          <w:tcPr>
            <w:tcW w:w="5076" w:type="dxa"/>
            <w:tcBorders>
              <w:top w:val="nil"/>
              <w:left w:val="nil"/>
              <w:bottom w:val="nil"/>
              <w:right w:val="nil"/>
            </w:tcBorders>
            <w:shd w:val="clear" w:color="auto" w:fill="auto"/>
            <w:noWrap/>
          </w:tcPr>
          <w:p w14:paraId="74F866AF" w14:textId="77777777" w:rsidR="00C64AB5" w:rsidRPr="00DE1276" w:rsidRDefault="00C64AB5" w:rsidP="00C64AB5">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Proximal humeral fractures</w:t>
            </w:r>
          </w:p>
        </w:tc>
        <w:tc>
          <w:tcPr>
            <w:tcW w:w="2456" w:type="dxa"/>
            <w:tcBorders>
              <w:top w:val="nil"/>
              <w:left w:val="nil"/>
              <w:bottom w:val="nil"/>
              <w:right w:val="nil"/>
            </w:tcBorders>
            <w:shd w:val="clear" w:color="auto" w:fill="auto"/>
            <w:noWrap/>
            <w:vAlign w:val="center"/>
          </w:tcPr>
          <w:p w14:paraId="78884B25" w14:textId="1E2AE8A5"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165(0.3)</w:t>
            </w:r>
          </w:p>
        </w:tc>
        <w:tc>
          <w:tcPr>
            <w:tcW w:w="3416" w:type="dxa"/>
            <w:tcBorders>
              <w:top w:val="nil"/>
              <w:left w:val="nil"/>
              <w:bottom w:val="nil"/>
              <w:right w:val="nil"/>
            </w:tcBorders>
            <w:shd w:val="clear" w:color="auto" w:fill="auto"/>
            <w:noWrap/>
            <w:vAlign w:val="center"/>
          </w:tcPr>
          <w:p w14:paraId="1FB7C926" w14:textId="6F2BCC0B"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118(0.2)</w:t>
            </w:r>
          </w:p>
        </w:tc>
        <w:tc>
          <w:tcPr>
            <w:tcW w:w="2716" w:type="dxa"/>
            <w:tcBorders>
              <w:top w:val="nil"/>
              <w:left w:val="nil"/>
              <w:bottom w:val="nil"/>
              <w:right w:val="nil"/>
            </w:tcBorders>
            <w:shd w:val="clear" w:color="auto" w:fill="auto"/>
            <w:noWrap/>
            <w:vAlign w:val="center"/>
          </w:tcPr>
          <w:p w14:paraId="68AC7046" w14:textId="7E3FB47C" w:rsidR="00C64AB5" w:rsidRPr="00DE1276" w:rsidRDefault="00C64AB5" w:rsidP="00C64AB5">
            <w:pPr>
              <w:widowControl/>
              <w:jc w:val="center"/>
              <w:rPr>
                <w:rFonts w:ascii="Times New Roman" w:eastAsia="新細明體" w:hAnsi="Times New Roman" w:cs="Times New Roman"/>
                <w:b/>
                <w:color w:val="000000"/>
                <w:kern w:val="0"/>
                <w:szCs w:val="24"/>
              </w:rPr>
            </w:pPr>
            <w:r w:rsidRPr="00DE1276">
              <w:rPr>
                <w:rFonts w:ascii="Times New Roman" w:hAnsi="Times New Roman" w:cs="Times New Roman"/>
                <w:b/>
                <w:bCs/>
                <w:color w:val="000000"/>
              </w:rPr>
              <w:t>1.44 (1.13,1.82)</w:t>
            </w:r>
          </w:p>
        </w:tc>
      </w:tr>
      <w:tr w:rsidR="00C64AB5" w:rsidRPr="00DE1276" w14:paraId="08E7F5A3" w14:textId="77777777" w:rsidTr="00CB681B">
        <w:trPr>
          <w:trHeight w:val="334"/>
        </w:trPr>
        <w:tc>
          <w:tcPr>
            <w:tcW w:w="5076" w:type="dxa"/>
            <w:tcBorders>
              <w:top w:val="nil"/>
              <w:left w:val="nil"/>
              <w:bottom w:val="single" w:sz="4" w:space="0" w:color="auto"/>
              <w:right w:val="nil"/>
            </w:tcBorders>
            <w:shd w:val="clear" w:color="auto" w:fill="auto"/>
            <w:noWrap/>
            <w:vAlign w:val="center"/>
            <w:hideMark/>
          </w:tcPr>
          <w:p w14:paraId="79643EA8" w14:textId="77777777" w:rsidR="00C64AB5" w:rsidRPr="00DE1276" w:rsidRDefault="00C64AB5" w:rsidP="00C64AB5">
            <w:pPr>
              <w:widowControl/>
              <w:ind w:firstLineChars="100" w:firstLine="240"/>
              <w:rPr>
                <w:rFonts w:ascii="Times New Roman" w:eastAsia="新細明體" w:hAnsi="Times New Roman" w:cs="Times New Roman"/>
                <w:color w:val="000000"/>
                <w:kern w:val="0"/>
                <w:szCs w:val="24"/>
              </w:rPr>
            </w:pPr>
            <w:r w:rsidRPr="00DE1276">
              <w:rPr>
                <w:rFonts w:ascii="Times New Roman" w:eastAsia="新細明體" w:hAnsi="Times New Roman" w:cs="Times New Roman"/>
                <w:color w:val="000000"/>
                <w:kern w:val="0"/>
                <w:szCs w:val="24"/>
              </w:rPr>
              <w:t>Lower leg fractures</w:t>
            </w:r>
          </w:p>
        </w:tc>
        <w:tc>
          <w:tcPr>
            <w:tcW w:w="2456" w:type="dxa"/>
            <w:tcBorders>
              <w:top w:val="nil"/>
              <w:left w:val="nil"/>
              <w:bottom w:val="single" w:sz="4" w:space="0" w:color="auto"/>
              <w:right w:val="nil"/>
            </w:tcBorders>
            <w:shd w:val="clear" w:color="auto" w:fill="auto"/>
            <w:noWrap/>
            <w:vAlign w:val="center"/>
          </w:tcPr>
          <w:p w14:paraId="15C49F3B" w14:textId="6CFBE7DD"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733(1.4)</w:t>
            </w:r>
          </w:p>
        </w:tc>
        <w:tc>
          <w:tcPr>
            <w:tcW w:w="3416" w:type="dxa"/>
            <w:tcBorders>
              <w:top w:val="nil"/>
              <w:left w:val="nil"/>
              <w:bottom w:val="single" w:sz="4" w:space="0" w:color="auto"/>
              <w:right w:val="nil"/>
            </w:tcBorders>
            <w:shd w:val="clear" w:color="auto" w:fill="auto"/>
            <w:noWrap/>
            <w:vAlign w:val="center"/>
          </w:tcPr>
          <w:p w14:paraId="331D5900" w14:textId="16FAFC01" w:rsidR="00C64AB5" w:rsidRPr="00DE1276" w:rsidRDefault="00C64AB5" w:rsidP="00C64AB5">
            <w:pPr>
              <w:widowControl/>
              <w:jc w:val="center"/>
              <w:rPr>
                <w:rFonts w:ascii="Times New Roman" w:eastAsia="新細明體" w:hAnsi="Times New Roman" w:cs="Times New Roman"/>
                <w:color w:val="000000"/>
                <w:kern w:val="0"/>
                <w:szCs w:val="24"/>
              </w:rPr>
            </w:pPr>
            <w:r w:rsidRPr="00DE1276">
              <w:rPr>
                <w:rFonts w:ascii="Times New Roman" w:hAnsi="Times New Roman" w:cs="Times New Roman"/>
                <w:color w:val="000000"/>
              </w:rPr>
              <w:t>599(1.2)</w:t>
            </w:r>
          </w:p>
        </w:tc>
        <w:tc>
          <w:tcPr>
            <w:tcW w:w="2716" w:type="dxa"/>
            <w:tcBorders>
              <w:top w:val="nil"/>
              <w:left w:val="nil"/>
              <w:bottom w:val="single" w:sz="4" w:space="0" w:color="auto"/>
              <w:right w:val="nil"/>
            </w:tcBorders>
            <w:shd w:val="clear" w:color="auto" w:fill="auto"/>
            <w:noWrap/>
            <w:vAlign w:val="center"/>
          </w:tcPr>
          <w:p w14:paraId="07EC222E" w14:textId="35A26970" w:rsidR="00C64AB5" w:rsidRPr="00DE1276" w:rsidRDefault="00C64AB5" w:rsidP="00C64AB5">
            <w:pPr>
              <w:widowControl/>
              <w:jc w:val="center"/>
              <w:rPr>
                <w:rFonts w:ascii="Times New Roman" w:eastAsia="新細明體" w:hAnsi="Times New Roman" w:cs="Times New Roman"/>
                <w:b/>
                <w:bCs/>
                <w:color w:val="000000"/>
                <w:kern w:val="0"/>
                <w:szCs w:val="24"/>
              </w:rPr>
            </w:pPr>
            <w:r w:rsidRPr="00DE1276">
              <w:rPr>
                <w:rFonts w:ascii="Times New Roman" w:hAnsi="Times New Roman" w:cs="Times New Roman"/>
                <w:b/>
                <w:bCs/>
                <w:color w:val="000000"/>
              </w:rPr>
              <w:t>1.26 (1.13,1.40)</w:t>
            </w:r>
          </w:p>
        </w:tc>
      </w:tr>
    </w:tbl>
    <w:p w14:paraId="45C72729" w14:textId="77777777" w:rsidR="00192D0C" w:rsidRPr="00DE1276" w:rsidRDefault="00192D0C" w:rsidP="00192D0C">
      <w:pPr>
        <w:rPr>
          <w:rFonts w:ascii="Times New Roman" w:hAnsi="Times New Roman" w:cs="Times New Roman"/>
          <w:color w:val="000000"/>
          <w:sz w:val="20"/>
          <w:szCs w:val="20"/>
        </w:rPr>
      </w:pPr>
      <w:r w:rsidRPr="00DE1276">
        <w:rPr>
          <w:rFonts w:ascii="Times New Roman" w:hAnsi="Times New Roman" w:cs="Times New Roman"/>
        </w:rPr>
        <w:t xml:space="preserve"> </w:t>
      </w:r>
    </w:p>
    <w:p w14:paraId="3D876E69" w14:textId="77777777" w:rsidR="00426399" w:rsidRPr="00DE1276" w:rsidRDefault="00426399" w:rsidP="00DD2A73">
      <w:pPr>
        <w:rPr>
          <w:rFonts w:ascii="Times New Roman" w:hAnsi="Times New Roman" w:cs="Times New Roman"/>
          <w:color w:val="000000"/>
          <w:sz w:val="20"/>
          <w:szCs w:val="20"/>
        </w:rPr>
      </w:pPr>
    </w:p>
    <w:sectPr w:rsidR="00426399" w:rsidRPr="00DE1276" w:rsidSect="00A7157E">
      <w:pgSz w:w="16838" w:h="11906" w:orient="landscape"/>
      <w:pgMar w:top="1797" w:right="1440" w:bottom="179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B8827" w14:textId="77777777" w:rsidR="00BF7BB0" w:rsidRDefault="00BF7BB0" w:rsidP="002E35A1">
      <w:r>
        <w:separator/>
      </w:r>
    </w:p>
  </w:endnote>
  <w:endnote w:type="continuationSeparator" w:id="0">
    <w:p w14:paraId="57CB7783" w14:textId="77777777" w:rsidR="00BF7BB0" w:rsidRDefault="00BF7BB0" w:rsidP="002E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F69EE" w14:textId="77777777" w:rsidR="00BF7BB0" w:rsidRDefault="00BF7BB0" w:rsidP="002E35A1">
      <w:r>
        <w:separator/>
      </w:r>
    </w:p>
  </w:footnote>
  <w:footnote w:type="continuationSeparator" w:id="0">
    <w:p w14:paraId="6B4189CF" w14:textId="77777777" w:rsidR="00BF7BB0" w:rsidRDefault="00BF7BB0" w:rsidP="002E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742A4"/>
    <w:multiLevelType w:val="hybridMultilevel"/>
    <w:tmpl w:val="B612788C"/>
    <w:lvl w:ilvl="0" w:tplc="C80AA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A6"/>
    <w:rsid w:val="00001066"/>
    <w:rsid w:val="00001487"/>
    <w:rsid w:val="000040CD"/>
    <w:rsid w:val="00004121"/>
    <w:rsid w:val="00005F82"/>
    <w:rsid w:val="000154C5"/>
    <w:rsid w:val="00023F9D"/>
    <w:rsid w:val="00025B67"/>
    <w:rsid w:val="00030A80"/>
    <w:rsid w:val="00030B5E"/>
    <w:rsid w:val="00033240"/>
    <w:rsid w:val="00051C33"/>
    <w:rsid w:val="00053FFF"/>
    <w:rsid w:val="00060744"/>
    <w:rsid w:val="000623E8"/>
    <w:rsid w:val="00063B73"/>
    <w:rsid w:val="00063E2A"/>
    <w:rsid w:val="00065A82"/>
    <w:rsid w:val="000702B5"/>
    <w:rsid w:val="000709F5"/>
    <w:rsid w:val="00073AF5"/>
    <w:rsid w:val="000744C0"/>
    <w:rsid w:val="00075B17"/>
    <w:rsid w:val="000774CA"/>
    <w:rsid w:val="00077CBE"/>
    <w:rsid w:val="00080AC8"/>
    <w:rsid w:val="00082836"/>
    <w:rsid w:val="00084F60"/>
    <w:rsid w:val="000855D8"/>
    <w:rsid w:val="000875D0"/>
    <w:rsid w:val="00090875"/>
    <w:rsid w:val="00093197"/>
    <w:rsid w:val="0009532D"/>
    <w:rsid w:val="0009727C"/>
    <w:rsid w:val="00097BB1"/>
    <w:rsid w:val="000A5804"/>
    <w:rsid w:val="000B36AB"/>
    <w:rsid w:val="000B4DD9"/>
    <w:rsid w:val="000B5F14"/>
    <w:rsid w:val="000C0DD1"/>
    <w:rsid w:val="000C7532"/>
    <w:rsid w:val="000C75C1"/>
    <w:rsid w:val="000D05A4"/>
    <w:rsid w:val="000D2AF0"/>
    <w:rsid w:val="000D499E"/>
    <w:rsid w:val="000D4B94"/>
    <w:rsid w:val="000D4D36"/>
    <w:rsid w:val="000D64EE"/>
    <w:rsid w:val="000E14C9"/>
    <w:rsid w:val="000E3E63"/>
    <w:rsid w:val="000E4D69"/>
    <w:rsid w:val="000E4D8B"/>
    <w:rsid w:val="000E4F83"/>
    <w:rsid w:val="000E5F70"/>
    <w:rsid w:val="000F3F61"/>
    <w:rsid w:val="00103E90"/>
    <w:rsid w:val="001078AF"/>
    <w:rsid w:val="00112EC6"/>
    <w:rsid w:val="00116BF5"/>
    <w:rsid w:val="0012360B"/>
    <w:rsid w:val="00127374"/>
    <w:rsid w:val="001300A0"/>
    <w:rsid w:val="001303EC"/>
    <w:rsid w:val="00130822"/>
    <w:rsid w:val="00131F46"/>
    <w:rsid w:val="00132115"/>
    <w:rsid w:val="00134600"/>
    <w:rsid w:val="00142FC7"/>
    <w:rsid w:val="0014339A"/>
    <w:rsid w:val="001444F8"/>
    <w:rsid w:val="00150F8E"/>
    <w:rsid w:val="001533DE"/>
    <w:rsid w:val="00161893"/>
    <w:rsid w:val="0016209A"/>
    <w:rsid w:val="00166190"/>
    <w:rsid w:val="0016794D"/>
    <w:rsid w:val="001755DE"/>
    <w:rsid w:val="001830B5"/>
    <w:rsid w:val="0018513C"/>
    <w:rsid w:val="00187C3B"/>
    <w:rsid w:val="00192D0C"/>
    <w:rsid w:val="00194590"/>
    <w:rsid w:val="001A06BA"/>
    <w:rsid w:val="001A195C"/>
    <w:rsid w:val="001A32A4"/>
    <w:rsid w:val="001A5E8C"/>
    <w:rsid w:val="001A5FCF"/>
    <w:rsid w:val="001B074D"/>
    <w:rsid w:val="001B0DF8"/>
    <w:rsid w:val="001B173A"/>
    <w:rsid w:val="001B3885"/>
    <w:rsid w:val="001B4038"/>
    <w:rsid w:val="001B6E9A"/>
    <w:rsid w:val="001B71B7"/>
    <w:rsid w:val="001C0A63"/>
    <w:rsid w:val="001C160C"/>
    <w:rsid w:val="001C5049"/>
    <w:rsid w:val="001C6AD6"/>
    <w:rsid w:val="001D254B"/>
    <w:rsid w:val="001D47D3"/>
    <w:rsid w:val="001E575C"/>
    <w:rsid w:val="001E6C0C"/>
    <w:rsid w:val="001F364A"/>
    <w:rsid w:val="001F4FFD"/>
    <w:rsid w:val="001F65C8"/>
    <w:rsid w:val="00200648"/>
    <w:rsid w:val="00205D46"/>
    <w:rsid w:val="00211DC7"/>
    <w:rsid w:val="00214087"/>
    <w:rsid w:val="00214C6A"/>
    <w:rsid w:val="00216A9B"/>
    <w:rsid w:val="00217A24"/>
    <w:rsid w:val="00225444"/>
    <w:rsid w:val="00230782"/>
    <w:rsid w:val="00230F2D"/>
    <w:rsid w:val="002324DA"/>
    <w:rsid w:val="00234563"/>
    <w:rsid w:val="00234B7D"/>
    <w:rsid w:val="00236266"/>
    <w:rsid w:val="002376F1"/>
    <w:rsid w:val="0024133E"/>
    <w:rsid w:val="00243115"/>
    <w:rsid w:val="00254AB4"/>
    <w:rsid w:val="00255821"/>
    <w:rsid w:val="00257228"/>
    <w:rsid w:val="00260C64"/>
    <w:rsid w:val="00261F3C"/>
    <w:rsid w:val="002626B9"/>
    <w:rsid w:val="00265539"/>
    <w:rsid w:val="00265A89"/>
    <w:rsid w:val="00270944"/>
    <w:rsid w:val="0027333B"/>
    <w:rsid w:val="00275FA6"/>
    <w:rsid w:val="00276ABA"/>
    <w:rsid w:val="00276DBF"/>
    <w:rsid w:val="002778FB"/>
    <w:rsid w:val="00287CD5"/>
    <w:rsid w:val="00290695"/>
    <w:rsid w:val="002908BF"/>
    <w:rsid w:val="00291DA2"/>
    <w:rsid w:val="002927F3"/>
    <w:rsid w:val="00294B08"/>
    <w:rsid w:val="00296035"/>
    <w:rsid w:val="002A678A"/>
    <w:rsid w:val="002A6BA2"/>
    <w:rsid w:val="002B15C9"/>
    <w:rsid w:val="002B5F53"/>
    <w:rsid w:val="002C34D0"/>
    <w:rsid w:val="002C6F8D"/>
    <w:rsid w:val="002C7802"/>
    <w:rsid w:val="002D397F"/>
    <w:rsid w:val="002D54DE"/>
    <w:rsid w:val="002D57F0"/>
    <w:rsid w:val="002D5F92"/>
    <w:rsid w:val="002D71E2"/>
    <w:rsid w:val="002E0138"/>
    <w:rsid w:val="002E35A1"/>
    <w:rsid w:val="002E4C5C"/>
    <w:rsid w:val="002F1BE8"/>
    <w:rsid w:val="00310A47"/>
    <w:rsid w:val="00310F02"/>
    <w:rsid w:val="003151C3"/>
    <w:rsid w:val="00322327"/>
    <w:rsid w:val="00324341"/>
    <w:rsid w:val="0032436A"/>
    <w:rsid w:val="0032582F"/>
    <w:rsid w:val="00327372"/>
    <w:rsid w:val="003305BF"/>
    <w:rsid w:val="00341B70"/>
    <w:rsid w:val="00343EBD"/>
    <w:rsid w:val="00353EAC"/>
    <w:rsid w:val="00364E4B"/>
    <w:rsid w:val="00365477"/>
    <w:rsid w:val="00367F0E"/>
    <w:rsid w:val="00371D88"/>
    <w:rsid w:val="0037429E"/>
    <w:rsid w:val="003763F6"/>
    <w:rsid w:val="003801DD"/>
    <w:rsid w:val="00380AC0"/>
    <w:rsid w:val="00382A08"/>
    <w:rsid w:val="00385C66"/>
    <w:rsid w:val="00386191"/>
    <w:rsid w:val="00387439"/>
    <w:rsid w:val="003878A9"/>
    <w:rsid w:val="003911ED"/>
    <w:rsid w:val="00393567"/>
    <w:rsid w:val="003958A7"/>
    <w:rsid w:val="00397F3A"/>
    <w:rsid w:val="003A22C7"/>
    <w:rsid w:val="003A2B81"/>
    <w:rsid w:val="003A33F6"/>
    <w:rsid w:val="003A5AB1"/>
    <w:rsid w:val="003B1053"/>
    <w:rsid w:val="003B33BA"/>
    <w:rsid w:val="003C33AF"/>
    <w:rsid w:val="003C5B41"/>
    <w:rsid w:val="003C6803"/>
    <w:rsid w:val="003D66F3"/>
    <w:rsid w:val="003D6A1B"/>
    <w:rsid w:val="003E0DB4"/>
    <w:rsid w:val="003E4FD6"/>
    <w:rsid w:val="003F3C14"/>
    <w:rsid w:val="003F50E2"/>
    <w:rsid w:val="003F5385"/>
    <w:rsid w:val="003F59B0"/>
    <w:rsid w:val="004002DE"/>
    <w:rsid w:val="00410436"/>
    <w:rsid w:val="004109F9"/>
    <w:rsid w:val="00411E4F"/>
    <w:rsid w:val="00411F88"/>
    <w:rsid w:val="00415D7C"/>
    <w:rsid w:val="004170EC"/>
    <w:rsid w:val="00425473"/>
    <w:rsid w:val="00426399"/>
    <w:rsid w:val="00426E73"/>
    <w:rsid w:val="004327C4"/>
    <w:rsid w:val="004362AD"/>
    <w:rsid w:val="00440A15"/>
    <w:rsid w:val="00440BAB"/>
    <w:rsid w:val="00447F11"/>
    <w:rsid w:val="00451981"/>
    <w:rsid w:val="00455221"/>
    <w:rsid w:val="0045540C"/>
    <w:rsid w:val="00456E76"/>
    <w:rsid w:val="00460497"/>
    <w:rsid w:val="004617D9"/>
    <w:rsid w:val="004843AF"/>
    <w:rsid w:val="00486767"/>
    <w:rsid w:val="004871EA"/>
    <w:rsid w:val="00487AA1"/>
    <w:rsid w:val="00487FF4"/>
    <w:rsid w:val="004901A1"/>
    <w:rsid w:val="00491466"/>
    <w:rsid w:val="00491F7C"/>
    <w:rsid w:val="004922F5"/>
    <w:rsid w:val="004933A3"/>
    <w:rsid w:val="004948E9"/>
    <w:rsid w:val="00497BBC"/>
    <w:rsid w:val="004A128B"/>
    <w:rsid w:val="004A2D2B"/>
    <w:rsid w:val="004A4B50"/>
    <w:rsid w:val="004B1DE7"/>
    <w:rsid w:val="004B38BF"/>
    <w:rsid w:val="004D0C83"/>
    <w:rsid w:val="004D1F4F"/>
    <w:rsid w:val="004D31DB"/>
    <w:rsid w:val="004D5869"/>
    <w:rsid w:val="004E1033"/>
    <w:rsid w:val="004E42A1"/>
    <w:rsid w:val="004E6E3B"/>
    <w:rsid w:val="004E7F76"/>
    <w:rsid w:val="004F46D9"/>
    <w:rsid w:val="00500753"/>
    <w:rsid w:val="00503C63"/>
    <w:rsid w:val="00504827"/>
    <w:rsid w:val="00505002"/>
    <w:rsid w:val="005061EC"/>
    <w:rsid w:val="0050692C"/>
    <w:rsid w:val="00507272"/>
    <w:rsid w:val="00507EAC"/>
    <w:rsid w:val="00511BA7"/>
    <w:rsid w:val="00513242"/>
    <w:rsid w:val="00513800"/>
    <w:rsid w:val="00513E5F"/>
    <w:rsid w:val="00523440"/>
    <w:rsid w:val="00523D09"/>
    <w:rsid w:val="0053654F"/>
    <w:rsid w:val="005401B2"/>
    <w:rsid w:val="00541817"/>
    <w:rsid w:val="005436CC"/>
    <w:rsid w:val="00554427"/>
    <w:rsid w:val="00567A37"/>
    <w:rsid w:val="00570DA5"/>
    <w:rsid w:val="0057276A"/>
    <w:rsid w:val="00582D05"/>
    <w:rsid w:val="005830B9"/>
    <w:rsid w:val="005863F6"/>
    <w:rsid w:val="00590D72"/>
    <w:rsid w:val="005A0937"/>
    <w:rsid w:val="005A4572"/>
    <w:rsid w:val="005B156F"/>
    <w:rsid w:val="005B3FA1"/>
    <w:rsid w:val="005B5892"/>
    <w:rsid w:val="005B6B6E"/>
    <w:rsid w:val="005C0729"/>
    <w:rsid w:val="005D43B4"/>
    <w:rsid w:val="005D5C7F"/>
    <w:rsid w:val="005E292F"/>
    <w:rsid w:val="005E50F4"/>
    <w:rsid w:val="005E51F3"/>
    <w:rsid w:val="005F3F08"/>
    <w:rsid w:val="005F4BE7"/>
    <w:rsid w:val="005F54FD"/>
    <w:rsid w:val="005F576C"/>
    <w:rsid w:val="005F61A8"/>
    <w:rsid w:val="005F650A"/>
    <w:rsid w:val="005F6767"/>
    <w:rsid w:val="006005D8"/>
    <w:rsid w:val="00607A6F"/>
    <w:rsid w:val="00611AD2"/>
    <w:rsid w:val="00613E3C"/>
    <w:rsid w:val="00614657"/>
    <w:rsid w:val="006149FF"/>
    <w:rsid w:val="00625836"/>
    <w:rsid w:val="0062632E"/>
    <w:rsid w:val="006268C7"/>
    <w:rsid w:val="006272F3"/>
    <w:rsid w:val="006316BE"/>
    <w:rsid w:val="006402D9"/>
    <w:rsid w:val="00644389"/>
    <w:rsid w:val="0064684E"/>
    <w:rsid w:val="00651AE1"/>
    <w:rsid w:val="00655649"/>
    <w:rsid w:val="0066529A"/>
    <w:rsid w:val="0067159F"/>
    <w:rsid w:val="00674757"/>
    <w:rsid w:val="00674F64"/>
    <w:rsid w:val="006763E4"/>
    <w:rsid w:val="00680560"/>
    <w:rsid w:val="00681285"/>
    <w:rsid w:val="00685597"/>
    <w:rsid w:val="00691C2B"/>
    <w:rsid w:val="006922EA"/>
    <w:rsid w:val="006B34A9"/>
    <w:rsid w:val="006C2523"/>
    <w:rsid w:val="006C405C"/>
    <w:rsid w:val="006C4D6A"/>
    <w:rsid w:val="006C7075"/>
    <w:rsid w:val="006D04E8"/>
    <w:rsid w:val="006D1CA0"/>
    <w:rsid w:val="006D1CA3"/>
    <w:rsid w:val="006D2B16"/>
    <w:rsid w:val="006D2CAC"/>
    <w:rsid w:val="006F2B24"/>
    <w:rsid w:val="007004D2"/>
    <w:rsid w:val="00700EE1"/>
    <w:rsid w:val="00701AC4"/>
    <w:rsid w:val="00705BFA"/>
    <w:rsid w:val="007115A9"/>
    <w:rsid w:val="0071210B"/>
    <w:rsid w:val="0071396B"/>
    <w:rsid w:val="007162EA"/>
    <w:rsid w:val="00722AFF"/>
    <w:rsid w:val="00723A2C"/>
    <w:rsid w:val="007310A8"/>
    <w:rsid w:val="00732541"/>
    <w:rsid w:val="007350FA"/>
    <w:rsid w:val="007401F3"/>
    <w:rsid w:val="007410F2"/>
    <w:rsid w:val="00745583"/>
    <w:rsid w:val="007503FA"/>
    <w:rsid w:val="0075759E"/>
    <w:rsid w:val="00760ACD"/>
    <w:rsid w:val="00760F3C"/>
    <w:rsid w:val="00761A6A"/>
    <w:rsid w:val="007625E2"/>
    <w:rsid w:val="00762D8A"/>
    <w:rsid w:val="007630D3"/>
    <w:rsid w:val="00767CD5"/>
    <w:rsid w:val="00767F51"/>
    <w:rsid w:val="00776BB7"/>
    <w:rsid w:val="00785A6E"/>
    <w:rsid w:val="007869EE"/>
    <w:rsid w:val="007872B7"/>
    <w:rsid w:val="0079339B"/>
    <w:rsid w:val="00793EB0"/>
    <w:rsid w:val="0079629E"/>
    <w:rsid w:val="00797EB8"/>
    <w:rsid w:val="007A5122"/>
    <w:rsid w:val="007A695B"/>
    <w:rsid w:val="007B1C40"/>
    <w:rsid w:val="007B754F"/>
    <w:rsid w:val="007C4D04"/>
    <w:rsid w:val="007C7E07"/>
    <w:rsid w:val="007E6C3D"/>
    <w:rsid w:val="007E7692"/>
    <w:rsid w:val="007F1AA5"/>
    <w:rsid w:val="007F5DAB"/>
    <w:rsid w:val="00816953"/>
    <w:rsid w:val="00820589"/>
    <w:rsid w:val="00823507"/>
    <w:rsid w:val="008252EA"/>
    <w:rsid w:val="0082573E"/>
    <w:rsid w:val="00826631"/>
    <w:rsid w:val="0084078F"/>
    <w:rsid w:val="0084357B"/>
    <w:rsid w:val="00844A8A"/>
    <w:rsid w:val="00844C13"/>
    <w:rsid w:val="008521D2"/>
    <w:rsid w:val="00855F12"/>
    <w:rsid w:val="00863209"/>
    <w:rsid w:val="00863CC8"/>
    <w:rsid w:val="00866280"/>
    <w:rsid w:val="008715D6"/>
    <w:rsid w:val="0087256B"/>
    <w:rsid w:val="00872A3E"/>
    <w:rsid w:val="00882DBF"/>
    <w:rsid w:val="008832DC"/>
    <w:rsid w:val="00884AE7"/>
    <w:rsid w:val="00887D48"/>
    <w:rsid w:val="008941E4"/>
    <w:rsid w:val="008949C9"/>
    <w:rsid w:val="00895539"/>
    <w:rsid w:val="0089727A"/>
    <w:rsid w:val="008A5DF5"/>
    <w:rsid w:val="008B0231"/>
    <w:rsid w:val="008B0DB5"/>
    <w:rsid w:val="008B2FF2"/>
    <w:rsid w:val="008B37C9"/>
    <w:rsid w:val="008B3F18"/>
    <w:rsid w:val="008B7E85"/>
    <w:rsid w:val="008C0C24"/>
    <w:rsid w:val="008C0F53"/>
    <w:rsid w:val="008C2DC7"/>
    <w:rsid w:val="008C6AEB"/>
    <w:rsid w:val="008D6AA7"/>
    <w:rsid w:val="008D781A"/>
    <w:rsid w:val="008E428F"/>
    <w:rsid w:val="008F5543"/>
    <w:rsid w:val="008F7812"/>
    <w:rsid w:val="008F7BD0"/>
    <w:rsid w:val="008F7DE1"/>
    <w:rsid w:val="00900A77"/>
    <w:rsid w:val="00907298"/>
    <w:rsid w:val="00910F49"/>
    <w:rsid w:val="009112E7"/>
    <w:rsid w:val="00914DCB"/>
    <w:rsid w:val="00915FD8"/>
    <w:rsid w:val="00917798"/>
    <w:rsid w:val="009255E1"/>
    <w:rsid w:val="00926BA5"/>
    <w:rsid w:val="00931606"/>
    <w:rsid w:val="009330FB"/>
    <w:rsid w:val="009344C3"/>
    <w:rsid w:val="009344FB"/>
    <w:rsid w:val="00941257"/>
    <w:rsid w:val="00941584"/>
    <w:rsid w:val="00952E7C"/>
    <w:rsid w:val="00954D51"/>
    <w:rsid w:val="009551A4"/>
    <w:rsid w:val="009575FE"/>
    <w:rsid w:val="00967BCB"/>
    <w:rsid w:val="00972A9E"/>
    <w:rsid w:val="009740D8"/>
    <w:rsid w:val="009763B2"/>
    <w:rsid w:val="00984F27"/>
    <w:rsid w:val="00985E44"/>
    <w:rsid w:val="0098687E"/>
    <w:rsid w:val="00986C97"/>
    <w:rsid w:val="00991768"/>
    <w:rsid w:val="009937DE"/>
    <w:rsid w:val="009A214A"/>
    <w:rsid w:val="009A4112"/>
    <w:rsid w:val="009A656B"/>
    <w:rsid w:val="009A7720"/>
    <w:rsid w:val="009B3916"/>
    <w:rsid w:val="009B5A3F"/>
    <w:rsid w:val="009D0B9B"/>
    <w:rsid w:val="009D77F8"/>
    <w:rsid w:val="009E1260"/>
    <w:rsid w:val="009E6848"/>
    <w:rsid w:val="009F13DC"/>
    <w:rsid w:val="009F37B9"/>
    <w:rsid w:val="009F778A"/>
    <w:rsid w:val="00A03FB1"/>
    <w:rsid w:val="00A04A8F"/>
    <w:rsid w:val="00A05F6D"/>
    <w:rsid w:val="00A06679"/>
    <w:rsid w:val="00A15B68"/>
    <w:rsid w:val="00A15F5A"/>
    <w:rsid w:val="00A2209C"/>
    <w:rsid w:val="00A23804"/>
    <w:rsid w:val="00A264BF"/>
    <w:rsid w:val="00A30C49"/>
    <w:rsid w:val="00A31631"/>
    <w:rsid w:val="00A338AE"/>
    <w:rsid w:val="00A35903"/>
    <w:rsid w:val="00A35D4C"/>
    <w:rsid w:val="00A40484"/>
    <w:rsid w:val="00A43741"/>
    <w:rsid w:val="00A46B36"/>
    <w:rsid w:val="00A547DB"/>
    <w:rsid w:val="00A63329"/>
    <w:rsid w:val="00A659B3"/>
    <w:rsid w:val="00A7157E"/>
    <w:rsid w:val="00A750D4"/>
    <w:rsid w:val="00A759E7"/>
    <w:rsid w:val="00A806A8"/>
    <w:rsid w:val="00A84D43"/>
    <w:rsid w:val="00A860C2"/>
    <w:rsid w:val="00A901C9"/>
    <w:rsid w:val="00A97F03"/>
    <w:rsid w:val="00AA4663"/>
    <w:rsid w:val="00AA5893"/>
    <w:rsid w:val="00AA757D"/>
    <w:rsid w:val="00AC782E"/>
    <w:rsid w:val="00AD025B"/>
    <w:rsid w:val="00AD2970"/>
    <w:rsid w:val="00AD2DE1"/>
    <w:rsid w:val="00AD48C3"/>
    <w:rsid w:val="00AD4934"/>
    <w:rsid w:val="00AD4D7B"/>
    <w:rsid w:val="00AE2F9C"/>
    <w:rsid w:val="00AF3605"/>
    <w:rsid w:val="00AF5129"/>
    <w:rsid w:val="00AF5977"/>
    <w:rsid w:val="00B00D6F"/>
    <w:rsid w:val="00B0309F"/>
    <w:rsid w:val="00B06A50"/>
    <w:rsid w:val="00B06F07"/>
    <w:rsid w:val="00B1079D"/>
    <w:rsid w:val="00B20128"/>
    <w:rsid w:val="00B270FF"/>
    <w:rsid w:val="00B30EA6"/>
    <w:rsid w:val="00B32489"/>
    <w:rsid w:val="00B3402E"/>
    <w:rsid w:val="00B3538D"/>
    <w:rsid w:val="00B40DA3"/>
    <w:rsid w:val="00B45B0A"/>
    <w:rsid w:val="00B57E81"/>
    <w:rsid w:val="00B57F5B"/>
    <w:rsid w:val="00B6370B"/>
    <w:rsid w:val="00B6467E"/>
    <w:rsid w:val="00B657ED"/>
    <w:rsid w:val="00B70B74"/>
    <w:rsid w:val="00B76D68"/>
    <w:rsid w:val="00B81489"/>
    <w:rsid w:val="00B81768"/>
    <w:rsid w:val="00B86C5A"/>
    <w:rsid w:val="00B923B0"/>
    <w:rsid w:val="00BA6B69"/>
    <w:rsid w:val="00BB16B9"/>
    <w:rsid w:val="00BB2D19"/>
    <w:rsid w:val="00BB4BE2"/>
    <w:rsid w:val="00BB59F6"/>
    <w:rsid w:val="00BC2E86"/>
    <w:rsid w:val="00BC3033"/>
    <w:rsid w:val="00BC3D06"/>
    <w:rsid w:val="00BC4552"/>
    <w:rsid w:val="00BC5BD7"/>
    <w:rsid w:val="00BC6E59"/>
    <w:rsid w:val="00BC6F53"/>
    <w:rsid w:val="00BD1359"/>
    <w:rsid w:val="00BD1822"/>
    <w:rsid w:val="00BD1BA9"/>
    <w:rsid w:val="00BD2FBA"/>
    <w:rsid w:val="00BD57AC"/>
    <w:rsid w:val="00BD72D8"/>
    <w:rsid w:val="00BF13EB"/>
    <w:rsid w:val="00BF1806"/>
    <w:rsid w:val="00BF285E"/>
    <w:rsid w:val="00BF2DB1"/>
    <w:rsid w:val="00BF498E"/>
    <w:rsid w:val="00BF52F0"/>
    <w:rsid w:val="00BF7BB0"/>
    <w:rsid w:val="00C040D9"/>
    <w:rsid w:val="00C1000E"/>
    <w:rsid w:val="00C102B0"/>
    <w:rsid w:val="00C10475"/>
    <w:rsid w:val="00C144E9"/>
    <w:rsid w:val="00C1489E"/>
    <w:rsid w:val="00C16530"/>
    <w:rsid w:val="00C27520"/>
    <w:rsid w:val="00C4530C"/>
    <w:rsid w:val="00C51897"/>
    <w:rsid w:val="00C540A7"/>
    <w:rsid w:val="00C62C03"/>
    <w:rsid w:val="00C64792"/>
    <w:rsid w:val="00C64AB5"/>
    <w:rsid w:val="00C66024"/>
    <w:rsid w:val="00C66EDF"/>
    <w:rsid w:val="00C704CC"/>
    <w:rsid w:val="00C72F31"/>
    <w:rsid w:val="00C745EF"/>
    <w:rsid w:val="00C75DCF"/>
    <w:rsid w:val="00C76B6F"/>
    <w:rsid w:val="00C87F79"/>
    <w:rsid w:val="00C901F8"/>
    <w:rsid w:val="00C94558"/>
    <w:rsid w:val="00C95896"/>
    <w:rsid w:val="00C95A14"/>
    <w:rsid w:val="00CA1854"/>
    <w:rsid w:val="00CA7617"/>
    <w:rsid w:val="00CB054E"/>
    <w:rsid w:val="00CB388F"/>
    <w:rsid w:val="00CB681B"/>
    <w:rsid w:val="00CB7878"/>
    <w:rsid w:val="00CC4C8C"/>
    <w:rsid w:val="00CC6C1E"/>
    <w:rsid w:val="00CD1DE4"/>
    <w:rsid w:val="00CD1FFE"/>
    <w:rsid w:val="00CD2395"/>
    <w:rsid w:val="00CE0712"/>
    <w:rsid w:val="00CE2C28"/>
    <w:rsid w:val="00CE3A20"/>
    <w:rsid w:val="00CE6D69"/>
    <w:rsid w:val="00CF2EF2"/>
    <w:rsid w:val="00CF3137"/>
    <w:rsid w:val="00CF5CCF"/>
    <w:rsid w:val="00D0103A"/>
    <w:rsid w:val="00D03BF6"/>
    <w:rsid w:val="00D04C74"/>
    <w:rsid w:val="00D12663"/>
    <w:rsid w:val="00D149D5"/>
    <w:rsid w:val="00D20341"/>
    <w:rsid w:val="00D23EBA"/>
    <w:rsid w:val="00D2495A"/>
    <w:rsid w:val="00D27D69"/>
    <w:rsid w:val="00D3080C"/>
    <w:rsid w:val="00D34D7D"/>
    <w:rsid w:val="00D424E6"/>
    <w:rsid w:val="00D44B01"/>
    <w:rsid w:val="00D452E9"/>
    <w:rsid w:val="00D5359F"/>
    <w:rsid w:val="00D5500B"/>
    <w:rsid w:val="00D659BF"/>
    <w:rsid w:val="00D71CD4"/>
    <w:rsid w:val="00D73592"/>
    <w:rsid w:val="00D775C7"/>
    <w:rsid w:val="00D80038"/>
    <w:rsid w:val="00D8118D"/>
    <w:rsid w:val="00D836C0"/>
    <w:rsid w:val="00D85A06"/>
    <w:rsid w:val="00D913A1"/>
    <w:rsid w:val="00D9496F"/>
    <w:rsid w:val="00D968BE"/>
    <w:rsid w:val="00DA0585"/>
    <w:rsid w:val="00DA4023"/>
    <w:rsid w:val="00DA4A13"/>
    <w:rsid w:val="00DB7988"/>
    <w:rsid w:val="00DC51AA"/>
    <w:rsid w:val="00DC68F7"/>
    <w:rsid w:val="00DD2A73"/>
    <w:rsid w:val="00DD2E2E"/>
    <w:rsid w:val="00DD3319"/>
    <w:rsid w:val="00DD4059"/>
    <w:rsid w:val="00DD436D"/>
    <w:rsid w:val="00DD5192"/>
    <w:rsid w:val="00DE0B6B"/>
    <w:rsid w:val="00DE0BE0"/>
    <w:rsid w:val="00DE1276"/>
    <w:rsid w:val="00DF3673"/>
    <w:rsid w:val="00DF3CA6"/>
    <w:rsid w:val="00DF5EF6"/>
    <w:rsid w:val="00E00F2A"/>
    <w:rsid w:val="00E15F30"/>
    <w:rsid w:val="00E219F5"/>
    <w:rsid w:val="00E24C3D"/>
    <w:rsid w:val="00E33D5C"/>
    <w:rsid w:val="00E42898"/>
    <w:rsid w:val="00E44632"/>
    <w:rsid w:val="00E45FFA"/>
    <w:rsid w:val="00E52513"/>
    <w:rsid w:val="00E526A1"/>
    <w:rsid w:val="00E549BE"/>
    <w:rsid w:val="00E561E4"/>
    <w:rsid w:val="00E622E8"/>
    <w:rsid w:val="00E7593D"/>
    <w:rsid w:val="00E841EE"/>
    <w:rsid w:val="00E9222A"/>
    <w:rsid w:val="00E92298"/>
    <w:rsid w:val="00E93269"/>
    <w:rsid w:val="00E93E9E"/>
    <w:rsid w:val="00E957E3"/>
    <w:rsid w:val="00E96424"/>
    <w:rsid w:val="00EA13B4"/>
    <w:rsid w:val="00EA3CF8"/>
    <w:rsid w:val="00EA78C2"/>
    <w:rsid w:val="00EB1BFB"/>
    <w:rsid w:val="00EC214A"/>
    <w:rsid w:val="00EC28E1"/>
    <w:rsid w:val="00EC65B4"/>
    <w:rsid w:val="00ED02B6"/>
    <w:rsid w:val="00ED3262"/>
    <w:rsid w:val="00ED7CBC"/>
    <w:rsid w:val="00EE4119"/>
    <w:rsid w:val="00EE54E0"/>
    <w:rsid w:val="00EE5998"/>
    <w:rsid w:val="00EF4354"/>
    <w:rsid w:val="00F01A68"/>
    <w:rsid w:val="00F03B01"/>
    <w:rsid w:val="00F04CE5"/>
    <w:rsid w:val="00F1451F"/>
    <w:rsid w:val="00F14849"/>
    <w:rsid w:val="00F1593D"/>
    <w:rsid w:val="00F215A2"/>
    <w:rsid w:val="00F30374"/>
    <w:rsid w:val="00F408A7"/>
    <w:rsid w:val="00F452C6"/>
    <w:rsid w:val="00F535D2"/>
    <w:rsid w:val="00F55111"/>
    <w:rsid w:val="00F6208D"/>
    <w:rsid w:val="00F7189F"/>
    <w:rsid w:val="00F71D18"/>
    <w:rsid w:val="00F766FE"/>
    <w:rsid w:val="00F8180A"/>
    <w:rsid w:val="00F8264A"/>
    <w:rsid w:val="00F9004C"/>
    <w:rsid w:val="00FA36E0"/>
    <w:rsid w:val="00FA53CA"/>
    <w:rsid w:val="00FB1B2F"/>
    <w:rsid w:val="00FB3930"/>
    <w:rsid w:val="00FB3BC3"/>
    <w:rsid w:val="00FB3F09"/>
    <w:rsid w:val="00FC14AF"/>
    <w:rsid w:val="00FD1C94"/>
    <w:rsid w:val="00FE6CCA"/>
    <w:rsid w:val="00FF26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DC9EA"/>
  <w15:chartTrackingRefBased/>
  <w15:docId w15:val="{427A8D41-2CF8-47CE-B18B-34E15D28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EA6"/>
    <w:pPr>
      <w:ind w:leftChars="200" w:left="480"/>
    </w:pPr>
  </w:style>
  <w:style w:type="paragraph" w:styleId="a4">
    <w:name w:val="header"/>
    <w:basedOn w:val="a"/>
    <w:link w:val="a5"/>
    <w:uiPriority w:val="99"/>
    <w:unhideWhenUsed/>
    <w:rsid w:val="002E35A1"/>
    <w:pPr>
      <w:tabs>
        <w:tab w:val="center" w:pos="4153"/>
        <w:tab w:val="right" w:pos="8306"/>
      </w:tabs>
      <w:snapToGrid w:val="0"/>
    </w:pPr>
    <w:rPr>
      <w:sz w:val="20"/>
      <w:szCs w:val="20"/>
    </w:rPr>
  </w:style>
  <w:style w:type="character" w:customStyle="1" w:styleId="a5">
    <w:name w:val="頁首 字元"/>
    <w:basedOn w:val="a0"/>
    <w:link w:val="a4"/>
    <w:uiPriority w:val="99"/>
    <w:rsid w:val="002E35A1"/>
    <w:rPr>
      <w:sz w:val="20"/>
      <w:szCs w:val="20"/>
    </w:rPr>
  </w:style>
  <w:style w:type="paragraph" w:styleId="a6">
    <w:name w:val="footer"/>
    <w:basedOn w:val="a"/>
    <w:link w:val="a7"/>
    <w:uiPriority w:val="99"/>
    <w:unhideWhenUsed/>
    <w:rsid w:val="002E35A1"/>
    <w:pPr>
      <w:tabs>
        <w:tab w:val="center" w:pos="4153"/>
        <w:tab w:val="right" w:pos="8306"/>
      </w:tabs>
      <w:snapToGrid w:val="0"/>
    </w:pPr>
    <w:rPr>
      <w:sz w:val="20"/>
      <w:szCs w:val="20"/>
    </w:rPr>
  </w:style>
  <w:style w:type="character" w:customStyle="1" w:styleId="a7">
    <w:name w:val="頁尾 字元"/>
    <w:basedOn w:val="a0"/>
    <w:link w:val="a6"/>
    <w:uiPriority w:val="99"/>
    <w:rsid w:val="002E35A1"/>
    <w:rPr>
      <w:sz w:val="20"/>
      <w:szCs w:val="20"/>
    </w:rPr>
  </w:style>
  <w:style w:type="table" w:styleId="a8">
    <w:name w:val="Table Grid"/>
    <w:basedOn w:val="a1"/>
    <w:uiPriority w:val="59"/>
    <w:qFormat/>
    <w:rsid w:val="00A71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B3BC3"/>
    <w:rPr>
      <w:sz w:val="18"/>
      <w:szCs w:val="18"/>
    </w:rPr>
  </w:style>
  <w:style w:type="paragraph" w:styleId="aa">
    <w:name w:val="annotation text"/>
    <w:basedOn w:val="a"/>
    <w:link w:val="ab"/>
    <w:uiPriority w:val="99"/>
    <w:semiHidden/>
    <w:unhideWhenUsed/>
    <w:rsid w:val="00FB3BC3"/>
  </w:style>
  <w:style w:type="character" w:customStyle="1" w:styleId="ab">
    <w:name w:val="註解文字 字元"/>
    <w:basedOn w:val="a0"/>
    <w:link w:val="aa"/>
    <w:uiPriority w:val="99"/>
    <w:semiHidden/>
    <w:rsid w:val="00FB3BC3"/>
  </w:style>
  <w:style w:type="paragraph" w:styleId="ac">
    <w:name w:val="annotation subject"/>
    <w:basedOn w:val="aa"/>
    <w:next w:val="aa"/>
    <w:link w:val="ad"/>
    <w:uiPriority w:val="99"/>
    <w:semiHidden/>
    <w:unhideWhenUsed/>
    <w:rsid w:val="00FB3BC3"/>
    <w:rPr>
      <w:b/>
      <w:bCs/>
    </w:rPr>
  </w:style>
  <w:style w:type="character" w:customStyle="1" w:styleId="ad">
    <w:name w:val="註解主旨 字元"/>
    <w:basedOn w:val="ab"/>
    <w:link w:val="ac"/>
    <w:uiPriority w:val="99"/>
    <w:semiHidden/>
    <w:rsid w:val="00FB3BC3"/>
    <w:rPr>
      <w:b/>
      <w:bCs/>
    </w:rPr>
  </w:style>
  <w:style w:type="paragraph" w:styleId="ae">
    <w:name w:val="Balloon Text"/>
    <w:basedOn w:val="a"/>
    <w:link w:val="af"/>
    <w:uiPriority w:val="99"/>
    <w:semiHidden/>
    <w:unhideWhenUsed/>
    <w:rsid w:val="00FB3BC3"/>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FB3BC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4819">
      <w:bodyDiv w:val="1"/>
      <w:marLeft w:val="0"/>
      <w:marRight w:val="0"/>
      <w:marTop w:val="0"/>
      <w:marBottom w:val="0"/>
      <w:divBdr>
        <w:top w:val="none" w:sz="0" w:space="0" w:color="auto"/>
        <w:left w:val="none" w:sz="0" w:space="0" w:color="auto"/>
        <w:bottom w:val="none" w:sz="0" w:space="0" w:color="auto"/>
        <w:right w:val="none" w:sz="0" w:space="0" w:color="auto"/>
      </w:divBdr>
    </w:div>
    <w:div w:id="386994545">
      <w:bodyDiv w:val="1"/>
      <w:marLeft w:val="0"/>
      <w:marRight w:val="0"/>
      <w:marTop w:val="0"/>
      <w:marBottom w:val="0"/>
      <w:divBdr>
        <w:top w:val="none" w:sz="0" w:space="0" w:color="auto"/>
        <w:left w:val="none" w:sz="0" w:space="0" w:color="auto"/>
        <w:bottom w:val="none" w:sz="0" w:space="0" w:color="auto"/>
        <w:right w:val="none" w:sz="0" w:space="0" w:color="auto"/>
      </w:divBdr>
    </w:div>
    <w:div w:id="4793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17D16-EF9D-4F07-A572-E6E14AB3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Gau</dc:creator>
  <cp:keywords/>
  <dc:description/>
  <cp:lastModifiedBy>Kevin Gau</cp:lastModifiedBy>
  <cp:revision>51</cp:revision>
  <dcterms:created xsi:type="dcterms:W3CDTF">2024-07-29T10:19:00Z</dcterms:created>
  <dcterms:modified xsi:type="dcterms:W3CDTF">2025-07-07T18:05:00Z</dcterms:modified>
</cp:coreProperties>
</file>