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55935" w14:textId="77777777" w:rsidR="0058708C" w:rsidRPr="0058708C" w:rsidRDefault="0058708C" w:rsidP="0058708C">
      <w:pPr>
        <w:adjustRightInd w:val="0"/>
        <w:snapToGrid w:val="0"/>
        <w:spacing w:line="360" w:lineRule="auto"/>
        <w:ind w:rightChars="-100" w:right="-220"/>
        <w:jc w:val="both"/>
        <w:rPr>
          <w:rFonts w:ascii="Times New Roman" w:eastAsia="宋体" w:hAnsi="Times New Roman" w:cs="Times New Roman"/>
          <w:b/>
          <w:bCs/>
          <w:sz w:val="30"/>
          <w:szCs w:val="30"/>
        </w:rPr>
      </w:pPr>
      <w:r w:rsidRPr="0058708C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Hierarchical MOF@MOF Ratiometric Probe for Ultrasensitive On-Site Detection of Norfloxacin in Food and Environmental Samples</w:t>
      </w:r>
    </w:p>
    <w:p w14:paraId="637C1048" w14:textId="77777777" w:rsidR="0058708C" w:rsidRPr="0058708C" w:rsidRDefault="0058708C" w:rsidP="0058708C">
      <w:pPr>
        <w:adjustRightInd w:val="0"/>
        <w:snapToGrid w:val="0"/>
        <w:spacing w:line="360" w:lineRule="auto"/>
        <w:ind w:rightChars="-100" w:right="-220"/>
        <w:jc w:val="both"/>
        <w:rPr>
          <w:rFonts w:ascii="Times New Roman" w:eastAsia="宋体" w:hAnsi="Times New Roman" w:cs="Times New Roman"/>
          <w:b/>
          <w:bCs/>
          <w:sz w:val="30"/>
          <w:szCs w:val="30"/>
        </w:rPr>
      </w:pPr>
    </w:p>
    <w:p w14:paraId="298985AE" w14:textId="77777777" w:rsidR="0058708C" w:rsidRPr="0058708C" w:rsidRDefault="0058708C" w:rsidP="0058708C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b/>
          <w:bCs/>
          <w:sz w:val="24"/>
        </w:rPr>
      </w:pPr>
      <w:r w:rsidRPr="0058708C">
        <w:rPr>
          <w:rFonts w:ascii="Times New Roman" w:eastAsia="等线" w:hAnsi="Times New Roman" w:cs="Times New Roman" w:hint="eastAsia"/>
          <w:b/>
          <w:bCs/>
          <w:sz w:val="24"/>
        </w:rPr>
        <w:t>Xinlou Li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>1</w:t>
      </w:r>
      <w:r w:rsidRPr="0058708C">
        <w:rPr>
          <w:rFonts w:ascii="Times New Roman" w:eastAsia="等线" w:hAnsi="Times New Roman" w:cs="Times New Roman"/>
          <w:b/>
          <w:bCs/>
          <w:sz w:val="24"/>
          <w:vertAlign w:val="superscript"/>
        </w:rPr>
        <w:t>†</w:t>
      </w:r>
      <w:r w:rsidRPr="0058708C">
        <w:rPr>
          <w:rFonts w:ascii="Times New Roman" w:eastAsia="等线" w:hAnsi="Times New Roman" w:cs="Times New Roman"/>
          <w:b/>
          <w:bCs/>
          <w:sz w:val="24"/>
        </w:rPr>
        <w:t>,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 xml:space="preserve"> </w:t>
      </w:r>
      <w:r w:rsidRPr="0058708C">
        <w:rPr>
          <w:rFonts w:ascii="Times New Roman" w:eastAsia="等线" w:hAnsi="Times New Roman" w:cs="Times New Roman"/>
          <w:b/>
          <w:bCs/>
          <w:sz w:val="24"/>
        </w:rPr>
        <w:t>Ganghui Wang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>1</w:t>
      </w:r>
      <w:r w:rsidRPr="0058708C">
        <w:rPr>
          <w:rFonts w:ascii="Times New Roman" w:eastAsia="等线" w:hAnsi="Times New Roman" w:cs="Times New Roman"/>
          <w:b/>
          <w:bCs/>
          <w:sz w:val="24"/>
          <w:vertAlign w:val="superscript"/>
        </w:rPr>
        <w:t>†</w:t>
      </w:r>
      <w:r w:rsidRPr="0058708C">
        <w:rPr>
          <w:rFonts w:ascii="Times New Roman" w:eastAsia="等线" w:hAnsi="Times New Roman" w:cs="Times New Roman" w:hint="eastAsia"/>
          <w:b/>
          <w:bCs/>
          <w:sz w:val="24"/>
        </w:rPr>
        <w:t>, Haoxiang Wang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>1</w:t>
      </w:r>
      <w:r w:rsidRPr="0058708C">
        <w:rPr>
          <w:rFonts w:ascii="Times New Roman" w:eastAsia="等线" w:hAnsi="Times New Roman" w:cs="Times New Roman" w:hint="eastAsia"/>
          <w:b/>
          <w:bCs/>
          <w:sz w:val="24"/>
        </w:rPr>
        <w:t>, Aijia Wang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>1</w:t>
      </w:r>
      <w:r w:rsidRPr="0058708C">
        <w:rPr>
          <w:rFonts w:ascii="Times New Roman" w:eastAsia="等线" w:hAnsi="Times New Roman" w:cs="Times New Roman" w:hint="eastAsia"/>
          <w:b/>
          <w:bCs/>
          <w:sz w:val="24"/>
        </w:rPr>
        <w:t xml:space="preserve">, </w:t>
      </w:r>
      <w:r w:rsidRPr="0058708C">
        <w:rPr>
          <w:rFonts w:ascii="Times New Roman" w:eastAsia="等线" w:hAnsi="Times New Roman" w:cs="Times New Roman"/>
          <w:b/>
          <w:bCs/>
          <w:sz w:val="24"/>
        </w:rPr>
        <w:t>Hongxu Guo</w:t>
      </w:r>
      <w:r w:rsidRPr="0058708C">
        <w:rPr>
          <w:rFonts w:ascii="Times New Roman" w:eastAsia="等线" w:hAnsi="Times New Roman" w:cs="Times New Roman" w:hint="eastAsia"/>
          <w:b/>
          <w:bCs/>
          <w:sz w:val="24"/>
          <w:vertAlign w:val="superscript"/>
        </w:rPr>
        <w:t>1, 2</w:t>
      </w:r>
      <w:r w:rsidRPr="0058708C">
        <w:rPr>
          <w:rFonts w:ascii="Times New Roman" w:eastAsia="等线" w:hAnsi="Times New Roman" w:cs="Times New Roman" w:hint="eastAsia"/>
          <w:b/>
          <w:bCs/>
          <w:sz w:val="24"/>
        </w:rPr>
        <w:t xml:space="preserve"> </w:t>
      </w:r>
      <w:r w:rsidRPr="0058708C">
        <w:rPr>
          <w:rFonts w:ascii="Times New Roman" w:eastAsia="等线" w:hAnsi="Times New Roman" w:cs="Times New Roman"/>
          <w:b/>
          <w:bCs/>
          <w:sz w:val="24"/>
        </w:rPr>
        <w:t>*</w:t>
      </w:r>
    </w:p>
    <w:p w14:paraId="1BDA30CA" w14:textId="77777777" w:rsidR="0058708C" w:rsidRPr="0058708C" w:rsidRDefault="0058708C" w:rsidP="0058708C">
      <w:pPr>
        <w:adjustRightInd w:val="0"/>
        <w:snapToGrid w:val="0"/>
        <w:spacing w:line="480" w:lineRule="auto"/>
        <w:ind w:left="1680" w:hangingChars="700" w:hanging="1680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*</w:t>
      </w:r>
      <w:r w:rsidRPr="0058708C">
        <w:rPr>
          <w:rFonts w:ascii="Times New Roman" w:eastAsia="Gulliver RM" w:hAnsi="Times New Roman" w:cs="Times New Roman" w:hint="eastAsia"/>
          <w:kern w:val="0"/>
          <w:sz w:val="24"/>
          <w:vertAlign w:val="superscript"/>
        </w:rPr>
        <w:t xml:space="preserve">1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College of Chemistry, Chemical Engineering and Environment,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Minnan Normal University, Zhangzhou, 363000, P.R. China.</w:t>
      </w:r>
    </w:p>
    <w:p w14:paraId="1C8E814A" w14:textId="77777777" w:rsidR="0058708C" w:rsidRPr="0058708C" w:rsidRDefault="0058708C" w:rsidP="0058708C">
      <w:pPr>
        <w:adjustRightInd w:val="0"/>
        <w:snapToGrid w:val="0"/>
        <w:spacing w:line="480" w:lineRule="auto"/>
        <w:ind w:left="1680" w:hangingChars="700" w:hanging="1680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*</w:t>
      </w:r>
      <w:r w:rsidRPr="0058708C">
        <w:rPr>
          <w:rFonts w:ascii="Times New Roman" w:eastAsia="Gulliver RM" w:hAnsi="Times New Roman" w:cs="Times New Roman" w:hint="eastAsia"/>
          <w:kern w:val="0"/>
          <w:sz w:val="24"/>
          <w:vertAlign w:val="superscript"/>
        </w:rPr>
        <w:t xml:space="preserve">2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Fujian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Province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Key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Laboratory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of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Modern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Analytical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Science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and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Separation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</w:p>
    <w:p w14:paraId="2202A770" w14:textId="77777777" w:rsidR="0058708C" w:rsidRPr="0058708C" w:rsidRDefault="0058708C" w:rsidP="0058708C">
      <w:pPr>
        <w:adjustRightInd w:val="0"/>
        <w:snapToGrid w:val="0"/>
        <w:spacing w:line="480" w:lineRule="auto"/>
        <w:ind w:leftChars="342" w:left="1712" w:hangingChars="400" w:hanging="960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Technology,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Minnan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Normal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University,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Zhangzhou,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363000,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China</w:t>
      </w:r>
    </w:p>
    <w:p w14:paraId="5ADE25F7" w14:textId="77777777" w:rsidR="0058708C" w:rsidRPr="0058708C" w:rsidRDefault="0058708C" w:rsidP="0058708C">
      <w:pPr>
        <w:adjustRightInd w:val="0"/>
        <w:snapToGrid w:val="0"/>
        <w:spacing w:line="480" w:lineRule="auto"/>
        <w:jc w:val="center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*Corresponding author(s). E-mail(s): guohx@mnnu.edu.cn</w:t>
      </w:r>
    </w:p>
    <w:p w14:paraId="17634A00" w14:textId="77777777" w:rsidR="0058708C" w:rsidRPr="0058708C" w:rsidRDefault="0058708C" w:rsidP="0058708C">
      <w:pPr>
        <w:adjustRightInd w:val="0"/>
        <w:snapToGrid w:val="0"/>
        <w:spacing w:line="480" w:lineRule="auto"/>
        <w:jc w:val="center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Contributing authors: 2643867886@qq.com; 2397910365@qq.com;</w:t>
      </w:r>
    </w:p>
    <w:p w14:paraId="571AB099" w14:textId="77777777" w:rsidR="0058708C" w:rsidRPr="0058708C" w:rsidRDefault="0058708C" w:rsidP="0058708C">
      <w:pPr>
        <w:adjustRightInd w:val="0"/>
        <w:snapToGrid w:val="0"/>
        <w:spacing w:line="480" w:lineRule="auto"/>
        <w:jc w:val="center"/>
        <w:rPr>
          <w:rFonts w:ascii="Times New Roman" w:eastAsia="Gulliver RM" w:hAnsi="Times New Roman" w:cs="Times New Roman"/>
          <w:kern w:val="0"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2750597899@qq.com; 2584694160@qq.com;</w:t>
      </w:r>
    </w:p>
    <w:p w14:paraId="35F5CC2D" w14:textId="77777777" w:rsidR="0058708C" w:rsidRPr="0058708C" w:rsidRDefault="0058708C" w:rsidP="0058708C">
      <w:pPr>
        <w:adjustRightInd w:val="0"/>
        <w:snapToGrid w:val="0"/>
        <w:spacing w:line="480" w:lineRule="auto"/>
        <w:jc w:val="center"/>
        <w:rPr>
          <w:rFonts w:ascii="Times New Roman" w:eastAsia="Gulliver RM" w:hAnsi="Times New Roman" w:cs="Times New Roman"/>
          <w:b/>
          <w:bCs/>
          <w:sz w:val="24"/>
        </w:rPr>
      </w:pPr>
      <w:r w:rsidRPr="0058708C">
        <w:rPr>
          <w:rFonts w:ascii="Times New Roman" w:eastAsia="Gulliver RM" w:hAnsi="Times New Roman" w:cs="Times New Roman"/>
          <w:kern w:val="0"/>
          <w:sz w:val="24"/>
        </w:rPr>
        <w:t>†</w:t>
      </w:r>
      <w:r w:rsidRPr="0058708C">
        <w:rPr>
          <w:rFonts w:ascii="Times New Roman" w:eastAsia="Gulliver RM" w:hAnsi="Times New Roman" w:cs="Times New Roman" w:hint="eastAsia"/>
          <w:kern w:val="0"/>
          <w:sz w:val="24"/>
        </w:rPr>
        <w:t xml:space="preserve"> </w:t>
      </w:r>
      <w:r w:rsidRPr="0058708C">
        <w:rPr>
          <w:rFonts w:ascii="Times New Roman" w:eastAsia="Gulliver RM" w:hAnsi="Times New Roman" w:cs="Times New Roman"/>
          <w:kern w:val="0"/>
          <w:sz w:val="24"/>
        </w:rPr>
        <w:t>These authors contributed equally to this work.</w:t>
      </w:r>
    </w:p>
    <w:p w14:paraId="31A6B816" w14:textId="77777777" w:rsidR="0058708C" w:rsidRPr="0058708C" w:rsidRDefault="0058708C" w:rsidP="0058708C">
      <w:pPr>
        <w:adjustRightInd w:val="0"/>
        <w:snapToGrid w:val="0"/>
        <w:spacing w:line="360" w:lineRule="auto"/>
        <w:ind w:rightChars="-100" w:right="-220"/>
        <w:jc w:val="both"/>
        <w:rPr>
          <w:rFonts w:ascii="Times New Roman" w:eastAsia="Gulliver RM" w:hAnsi="Times New Roman" w:cs="Times New Roman"/>
          <w:kern w:val="0"/>
          <w:sz w:val="24"/>
        </w:rPr>
      </w:pPr>
    </w:p>
    <w:p w14:paraId="63F0E062" w14:textId="77777777" w:rsidR="0058708C" w:rsidRPr="0058708C" w:rsidRDefault="0058708C" w:rsidP="0058708C">
      <w:pPr>
        <w:adjustRightInd w:val="0"/>
        <w:snapToGrid w:val="0"/>
        <w:spacing w:line="360" w:lineRule="auto"/>
        <w:ind w:rightChars="-100" w:right="-220"/>
        <w:jc w:val="both"/>
        <w:rPr>
          <w:rFonts w:ascii="Times New Roman" w:eastAsia="Gulliver RM" w:hAnsi="Times New Roman" w:cs="Times New Roman"/>
          <w:kern w:val="0"/>
          <w:sz w:val="24"/>
        </w:rPr>
      </w:pPr>
    </w:p>
    <w:p w14:paraId="2ADCF8E1" w14:textId="77777777" w:rsidR="0058708C" w:rsidRPr="0058708C" w:rsidRDefault="0058708C" w:rsidP="0058708C">
      <w:pPr>
        <w:adjustRightInd w:val="0"/>
        <w:snapToGrid w:val="0"/>
        <w:spacing w:after="0" w:line="360" w:lineRule="auto"/>
        <w:ind w:rightChars="-100" w:right="-220"/>
        <w:jc w:val="both"/>
        <w:rPr>
          <w:rFonts w:ascii="Times New Roman" w:eastAsia="宋体" w:hAnsi="Times New Roman" w:cs="Times New Roman"/>
          <w:b/>
          <w:bCs/>
          <w:sz w:val="30"/>
          <w:szCs w:val="30"/>
          <w14:ligatures w14:val="none"/>
        </w:rPr>
      </w:pPr>
      <w:r w:rsidRPr="0058708C">
        <w:rPr>
          <w:rFonts w:ascii="Times New Roman" w:eastAsia="宋体" w:hAnsi="Times New Roman" w:cs="Times New Roman"/>
          <w:b/>
          <w:bCs/>
          <w:sz w:val="30"/>
          <w:szCs w:val="30"/>
          <w14:ligatures w14:val="none"/>
        </w:rPr>
        <w:t>Abstract</w:t>
      </w:r>
    </w:p>
    <w:p w14:paraId="3234AAA9" w14:textId="580F87C4" w:rsidR="0058708C" w:rsidRDefault="0058708C" w:rsidP="0058708C">
      <w:pPr>
        <w:spacing w:line="360" w:lineRule="auto"/>
        <w:rPr>
          <w:rFonts w:ascii="Times New Roman" w:hAnsi="Times New Roman" w:cs="Times New Roman"/>
          <w:sz w:val="24"/>
          <w:shd w:val="clear" w:color="auto" w:fill="FFFFFF"/>
        </w:rPr>
      </w:pP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 xml:space="preserve">Norfloxacin (NFX) residues in food and environmental samples threaten human health, necessitating rapid on-site detection. </w:t>
      </w:r>
      <w:r w:rsidRPr="0058708C">
        <w:rPr>
          <w:rFonts w:ascii="Times New Roman" w:eastAsia="宋体" w:hAnsi="Times New Roman" w:cs="Times New Roman" w:hint="eastAsia"/>
          <w:sz w:val="24"/>
          <w:shd w:val="clear" w:color="auto" w:fill="FFFFFF"/>
        </w:rPr>
        <w:t>A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 xml:space="preserve"> hierarchical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MOF@MOF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probe (Ag-MOF-74/NH</w:t>
      </w:r>
      <w:r>
        <w:rPr>
          <w:rFonts w:ascii="Times New Roman" w:hAnsi="Times New Roman" w:cs="Times New Roman" w:hint="eastAsia"/>
          <w:sz w:val="24"/>
          <w:shd w:val="clear" w:color="auto" w:fill="FFFFFF"/>
          <w:vertAlign w:val="subscript"/>
        </w:rPr>
        <w:t>2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-MIL-53(Al)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for ratiometric NFX sensing</w:t>
      </w:r>
      <w:r w:rsidRPr="0058708C"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 has been fabricated, in which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NH</w:t>
      </w:r>
      <w:r>
        <w:rPr>
          <w:rFonts w:ascii="Times New Roman" w:hAnsi="Times New Roman" w:cs="Times New Roman" w:hint="eastAsia"/>
          <w:sz w:val="24"/>
          <w:shd w:val="clear" w:color="auto" w:fill="FFFFFF"/>
          <w:vertAlign w:val="subscript"/>
        </w:rPr>
        <w:t>2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-MIL-53(Al)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enhances NFX emission via hydrogen bonding and energy transfer, while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Ag-MOF-74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provides a stable reference, enabling self-calibration. The probe achieves ultrasensitive detection (6</w:t>
      </w:r>
      <w:r w:rsidRPr="0058708C">
        <w:rPr>
          <w:rFonts w:ascii="Times New Roman" w:eastAsia="宋体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nM) with high selectivity and reproducibility. A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smartphone-based platform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 xml:space="preserve">was designed for on-site quantification within minutes. Validated in milk, soil, and water, it showed excellent accuracy (98-102% recovery)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lastRenderedPageBreak/>
        <w:t>and precision (RSD &lt; 2.86%). This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MOF@MOF</w:t>
      </w:r>
      <w:r w:rsidRPr="0058708C">
        <w:rPr>
          <w:rFonts w:ascii="Times New Roman" w:eastAsia="等线" w:hAnsi="Times New Roman" w:cs="Times New Roman" w:hint="eastAsia"/>
          <w:sz w:val="24"/>
          <w:shd w:val="clear" w:color="auto" w:fill="FFFFFF"/>
        </w:rPr>
        <w:t xml:space="preserve"> </w:t>
      </w:r>
      <w:r w:rsidRPr="0058708C">
        <w:rPr>
          <w:rFonts w:ascii="Times New Roman" w:eastAsia="Segoe UI" w:hAnsi="Times New Roman" w:cs="Times New Roman"/>
          <w:sz w:val="24"/>
          <w:shd w:val="clear" w:color="auto" w:fill="FFFFFF"/>
        </w:rPr>
        <w:t>strategy offers a robust on-site screening tool and a versatile design paradigm for food safety and environmental monitoring.</w:t>
      </w:r>
    </w:p>
    <w:p w14:paraId="122746A1" w14:textId="040A0F04" w:rsidR="0058708C" w:rsidRPr="0058708C" w:rsidRDefault="0058708C" w:rsidP="0058708C">
      <w:pPr>
        <w:spacing w:line="360" w:lineRule="auto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E0A1894" wp14:editId="1EE9A274">
            <wp:extent cx="5224780" cy="2926080"/>
            <wp:effectExtent l="0" t="0" r="0" b="7620"/>
            <wp:docPr id="14833636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80" cy="292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8708C" w:rsidRPr="00587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ulliver RM">
    <w:altName w:val="宋体"/>
    <w:charset w:val="86"/>
    <w:family w:val="roma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8C"/>
    <w:rsid w:val="0058708C"/>
    <w:rsid w:val="00C3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6C488"/>
  <w15:chartTrackingRefBased/>
  <w15:docId w15:val="{B9230030-B55D-4937-8205-8BAD1C31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870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7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70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708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708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708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708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708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708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708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870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87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8708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8708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8708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870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870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870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8708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87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708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870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7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870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70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8708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87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8708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870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心娄 李</dc:creator>
  <cp:keywords/>
  <dc:description/>
  <cp:lastModifiedBy>心娄 李</cp:lastModifiedBy>
  <cp:revision>1</cp:revision>
  <dcterms:created xsi:type="dcterms:W3CDTF">2025-08-15T05:46:00Z</dcterms:created>
  <dcterms:modified xsi:type="dcterms:W3CDTF">2025-08-15T05:48:00Z</dcterms:modified>
</cp:coreProperties>
</file>