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35" w:rsidRDefault="00BC4D35" w:rsidP="00BC4D35">
      <w:pPr>
        <w:rPr>
          <w:rFonts w:ascii="Times New Roman" w:hAnsi="Times New Roman" w:cs="Times New Roman"/>
          <w:color w:val="404040"/>
          <w:sz w:val="28"/>
          <w:shd w:val="clear" w:color="auto" w:fill="FFFFFF"/>
        </w:rPr>
      </w:pPr>
      <w:r>
        <w:rPr>
          <w:rStyle w:val="a9"/>
          <w:rFonts w:hint="eastAsia"/>
          <w:color w:val="404040"/>
          <w:sz w:val="28"/>
          <w:shd w:val="clear" w:color="auto" w:fill="FFFFFF"/>
        </w:rPr>
        <w:t>1.Data Sharing Statement:</w:t>
      </w:r>
      <w:r>
        <w:rPr>
          <w:rFonts w:ascii="Times New Roman" w:hAnsi="Times New Roman" w:cs="Times New Roman"/>
          <w:color w:val="404040"/>
          <w:sz w:val="28"/>
          <w:shd w:val="clear" w:color="auto" w:fill="FFFFFF"/>
        </w:rPr>
        <w:t>All authors have agreed to share the original data. The data presented in the manuscript are the original data, with the specific content shown in the tables below.</w:t>
      </w:r>
    </w:p>
    <w:p w:rsidR="00BC4D35" w:rsidRDefault="00BC4D35" w:rsidP="00BC4D35">
      <w:pPr>
        <w:pStyle w:val="a5"/>
        <w:spacing w:line="240" w:lineRule="exact"/>
        <w:ind w:firstLine="360"/>
        <w:rPr>
          <w:rFonts w:ascii="Times New Roman"/>
          <w:b w:val="0"/>
          <w:sz w:val="18"/>
          <w:szCs w:val="18"/>
        </w:rPr>
      </w:pPr>
      <w:r>
        <w:rPr>
          <w:rFonts w:ascii="Times New Roman"/>
          <w:b w:val="0"/>
          <w:sz w:val="18"/>
          <w:szCs w:val="18"/>
        </w:rPr>
        <w:t>Table 1 Experimental variable information</w:t>
      </w:r>
      <w:bookmarkStart w:id="0" w:name="OLE_LINK69"/>
      <w:bookmarkStart w:id="1" w:name="OLE_LINK70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6"/>
        <w:gridCol w:w="3844"/>
        <w:gridCol w:w="2636"/>
      </w:tblGrid>
      <w:tr w:rsidR="00BC4D35" w:rsidTr="00BC4D35">
        <w:trPr>
          <w:trHeight w:val="68"/>
          <w:jc w:val="center"/>
        </w:trPr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serial number</w:t>
            </w:r>
          </w:p>
        </w:tc>
        <w:tc>
          <w:tcPr>
            <w:tcW w:w="2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PCM Admixture (%)</w:t>
            </w:r>
          </w:p>
        </w:tc>
        <w:tc>
          <w:tcPr>
            <w:tcW w:w="1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Reinforcement or not</w:t>
            </w:r>
          </w:p>
        </w:tc>
        <w:bookmarkEnd w:id="0"/>
        <w:bookmarkEnd w:id="1"/>
      </w:tr>
      <w:tr w:rsidR="00BC4D35" w:rsidTr="00BC4D35">
        <w:trPr>
          <w:trHeight w:val="69"/>
          <w:jc w:val="center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C4D35" w:rsidTr="00BC4D35">
        <w:trPr>
          <w:trHeight w:val="118"/>
          <w:jc w:val="center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C4D35" w:rsidTr="00BC4D35">
        <w:trPr>
          <w:trHeight w:val="118"/>
          <w:jc w:val="center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C4D35" w:rsidTr="00BC4D35">
        <w:trPr>
          <w:trHeight w:val="118"/>
          <w:jc w:val="center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C-4</w:t>
            </w: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BC4D35" w:rsidTr="00BC4D35">
        <w:trPr>
          <w:trHeight w:val="118"/>
          <w:jc w:val="center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R-1</w:t>
            </w: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C4D35" w:rsidTr="00BC4D35">
        <w:trPr>
          <w:trHeight w:val="118"/>
          <w:jc w:val="center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R-2</w:t>
            </w: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C4D35" w:rsidTr="00BC4D35">
        <w:trPr>
          <w:trHeight w:val="118"/>
          <w:jc w:val="center"/>
        </w:trPr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R-3</w:t>
            </w:r>
          </w:p>
        </w:tc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="00BC4D35" w:rsidTr="00BC4D35">
        <w:trPr>
          <w:trHeight w:val="118"/>
          <w:jc w:val="center"/>
        </w:trPr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</w:tbl>
    <w:p w:rsidR="00BC4D35" w:rsidRDefault="00BC4D35" w:rsidP="00BC4D35">
      <w:pPr>
        <w:pStyle w:val="a5"/>
        <w:spacing w:line="240" w:lineRule="auto"/>
        <w:ind w:right="-2" w:firstLine="360"/>
        <w:rPr>
          <w:rFonts w:ascii="Times New Roman" w:eastAsia="黑体"/>
          <w:b w:val="0"/>
          <w:bCs/>
          <w:sz w:val="18"/>
          <w:szCs w:val="18"/>
        </w:rPr>
      </w:pPr>
      <w:r>
        <w:rPr>
          <w:rFonts w:ascii="Times New Roman" w:eastAsia="黑体"/>
          <w:b w:val="0"/>
          <w:bCs/>
          <w:sz w:val="18"/>
          <w:szCs w:val="18"/>
        </w:rPr>
        <w:t>Table 2 Materials required for PCM preparation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2"/>
        <w:gridCol w:w="2535"/>
        <w:gridCol w:w="3369"/>
      </w:tblGrid>
      <w:tr w:rsidR="00BC4D35" w:rsidTr="00BC4D35">
        <w:trPr>
          <w:trHeight w:val="69"/>
          <w:jc w:val="center"/>
        </w:trPr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00" w:lineRule="exact"/>
              <w:rPr>
                <w:b/>
                <w:bCs/>
              </w:rPr>
            </w:pPr>
            <w:r>
              <w:rPr>
                <w:rFonts w:hint="eastAsia"/>
              </w:rPr>
              <w:t>name (of a thing)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Model parameters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manufacturer (of a product)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Solid paraffin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58#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China National Petroleum Corporation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Liquid paraffin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 Analytical Pure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Produced by Tianjin Chemical Industry No.3 Factory Co.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Complex paraffin(PA)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PA58#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Liquid paraffin: solid paraffin = 5:5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Expanded Perlite (EP)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Grain size 1-2mm</w:t>
            </w:r>
          </w:p>
        </w:tc>
        <w:tc>
          <w:tcPr>
            <w:tcW w:w="202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Hebei Yixin Energy-saving and Environmental Protection Building Materials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Gurkha spray adhesive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Goodyear Chemical Technology Co.</w:t>
            </w:r>
          </w:p>
        </w:tc>
      </w:tr>
    </w:tbl>
    <w:p w:rsidR="00BC4D35" w:rsidRDefault="00BC4D35" w:rsidP="00BC4D35">
      <w:pPr>
        <w:pStyle w:val="a5"/>
        <w:spacing w:line="240" w:lineRule="exact"/>
        <w:ind w:firstLine="360"/>
        <w:rPr>
          <w:rFonts w:ascii="Times New Roman" w:eastAsia="黑体" w:hint="eastAsia"/>
          <w:b w:val="0"/>
          <w:bCs/>
          <w:sz w:val="18"/>
          <w:szCs w:val="18"/>
        </w:rPr>
      </w:pPr>
      <w:r>
        <w:rPr>
          <w:rFonts w:ascii="Times New Roman" w:eastAsia="黑体"/>
          <w:b w:val="0"/>
          <w:bCs/>
          <w:sz w:val="18"/>
          <w:szCs w:val="18"/>
        </w:rPr>
        <w:t>Table 3 Experimental materials and instruments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3"/>
        <w:gridCol w:w="2831"/>
        <w:gridCol w:w="3502"/>
      </w:tblGrid>
      <w:tr w:rsidR="00BC4D35" w:rsidTr="00BC4D35">
        <w:trPr>
          <w:trHeight w:val="68"/>
          <w:jc w:val="center"/>
        </w:trPr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name (of a thing)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 parameters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manufacturer (of a product)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PCM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PCM-G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clinker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PC-42.5</w:t>
            </w: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Shandong Shanshui Cement Group Co.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coal ash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class</w:t>
            </w: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Henan Rongchangsheng Environmental Protection Material Co.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silica fume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</w:t>
            </w: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Henan Hengyuan New Material Co.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sand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 ISO Standard Sand</w:t>
            </w: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Xiamen Aceo Standard Sand Co.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rock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limestone</w:t>
            </w: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Chenyang Home Living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reducing agent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bookmarkStart w:id="2" w:name="OLE_LINK24"/>
            <w:bookmarkStart w:id="3" w:name="OLE_LINK25"/>
            <w:r>
              <w:rPr>
                <w:sz w:val="18"/>
                <w:szCs w:val="18"/>
              </w:rPr>
              <w:t>Polycarboxylic</w:t>
            </w:r>
            <w:bookmarkEnd w:id="2"/>
            <w:bookmarkEnd w:id="3"/>
            <w:r>
              <w:rPr>
                <w:sz w:val="18"/>
                <w:szCs w:val="18"/>
              </w:rPr>
              <w:t xml:space="preserve"> acid water reducing </w:t>
            </w:r>
            <w:r>
              <w:rPr>
                <w:sz w:val="18"/>
                <w:szCs w:val="18"/>
              </w:rPr>
              <w:lastRenderedPageBreak/>
              <w:t>agent</w:t>
            </w: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Tianjin Weihe Technology Development Co.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molds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100× 100× 100</w:t>
            </w: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Jiaxin Testing Instrument Factory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Pressure testing machine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TYE-3000B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Wuxi Building Material Instrument Machinery Co.</w:t>
            </w:r>
          </w:p>
        </w:tc>
      </w:tr>
    </w:tbl>
    <w:p w:rsidR="00BC4D35" w:rsidRDefault="00BC4D35" w:rsidP="00BC4D35">
      <w:pPr>
        <w:pStyle w:val="a5"/>
        <w:spacing w:line="240" w:lineRule="auto"/>
        <w:ind w:right="-2" w:firstLine="360"/>
        <w:rPr>
          <w:rFonts w:ascii="Times New Roman" w:eastAsia="黑体"/>
          <w:b w:val="0"/>
          <w:bCs/>
          <w:sz w:val="18"/>
          <w:szCs w:val="18"/>
        </w:rPr>
      </w:pPr>
      <w:r>
        <w:rPr>
          <w:rFonts w:ascii="Times New Roman" w:eastAsia="黑体"/>
          <w:b w:val="0"/>
          <w:bCs/>
          <w:sz w:val="18"/>
          <w:szCs w:val="18"/>
        </w:rPr>
        <w:t>Table 4 C-Y mixing ratios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3"/>
        <w:gridCol w:w="1440"/>
        <w:gridCol w:w="939"/>
        <w:gridCol w:w="1040"/>
        <w:gridCol w:w="939"/>
        <w:gridCol w:w="939"/>
        <w:gridCol w:w="2086"/>
      </w:tblGrid>
      <w:tr w:rsidR="00BC4D35" w:rsidTr="00BC4D35">
        <w:trPr>
          <w:trHeight w:val="68"/>
          <w:jc w:val="center"/>
        </w:trPr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serial number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Cement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sand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Stone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PCM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reducing agent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</w:tr>
      <w:tr w:rsidR="00BC4D35" w:rsidTr="00BC4D35">
        <w:trPr>
          <w:trHeight w:val="118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439.53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1192.19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:rsidR="00BC4D35" w:rsidTr="00BC4D35">
        <w:trPr>
          <w:trHeight w:val="118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390.73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1192.19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:rsidR="00BC4D35" w:rsidTr="00BC4D35">
        <w:trPr>
          <w:trHeight w:val="24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341.11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1192.19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36.55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BC4D35" w:rsidTr="00BC4D35">
        <w:trPr>
          <w:trHeight w:val="24"/>
          <w:jc w:val="center"/>
        </w:trPr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293.13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1192.19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48.83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</w:tbl>
    <w:p w:rsidR="00BC4D35" w:rsidRDefault="00BC4D35" w:rsidP="00BC4D35">
      <w:pPr>
        <w:pStyle w:val="a5"/>
        <w:spacing w:line="240" w:lineRule="auto"/>
        <w:ind w:right="-2" w:firstLine="360"/>
        <w:rPr>
          <w:rFonts w:ascii="Times New Roman" w:eastAsia="黑体"/>
          <w:b w:val="0"/>
          <w:bCs/>
          <w:sz w:val="18"/>
          <w:szCs w:val="18"/>
        </w:rPr>
      </w:pPr>
      <w:r>
        <w:rPr>
          <w:rFonts w:ascii="Times New Roman" w:eastAsia="黑体"/>
          <w:b w:val="0"/>
          <w:bCs/>
          <w:sz w:val="18"/>
          <w:szCs w:val="18"/>
        </w:rPr>
        <w:t>Table 5 R-Y mixing ratios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3"/>
        <w:gridCol w:w="857"/>
        <w:gridCol w:w="967"/>
        <w:gridCol w:w="832"/>
        <w:gridCol w:w="846"/>
        <w:gridCol w:w="821"/>
        <w:gridCol w:w="1402"/>
        <w:gridCol w:w="849"/>
        <w:gridCol w:w="799"/>
      </w:tblGrid>
      <w:tr w:rsidR="00BC4D35" w:rsidTr="00BC4D35">
        <w:trPr>
          <w:trHeight w:val="68"/>
          <w:jc w:val="center"/>
        </w:trPr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serial number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Cement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 sand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Stone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PCM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reducing agent(kg/m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Silica fume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Fly ash</w:t>
            </w:r>
          </w:p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(kg/m</w:t>
            </w:r>
            <w:r>
              <w:rPr>
                <w:rFonts w:hint="eastAsia"/>
                <w:sz w:val="18"/>
                <w:szCs w:val="18"/>
              </w:rPr>
              <w:t>³</w:t>
            </w:r>
            <w:r>
              <w:rPr>
                <w:sz w:val="18"/>
                <w:szCs w:val="18"/>
              </w:rPr>
              <w:t>)</w:t>
            </w:r>
          </w:p>
        </w:tc>
      </w:tr>
      <w:tr w:rsidR="00BC4D35" w:rsidTr="00BC4D35">
        <w:trPr>
          <w:trHeight w:val="118"/>
          <w:jc w:val="center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R-1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439.03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BC4D35" w:rsidTr="00BC4D35">
        <w:trPr>
          <w:trHeight w:val="118"/>
          <w:jc w:val="center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R-2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390.73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BC4D35" w:rsidTr="00BC4D35">
        <w:trPr>
          <w:trHeight w:val="24"/>
          <w:jc w:val="center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341.93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36.55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BC4D35" w:rsidTr="00BC4D35">
        <w:trPr>
          <w:trHeight w:val="24"/>
          <w:jc w:val="center"/>
        </w:trPr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166.55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359.75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</w:tbl>
    <w:p w:rsidR="00BC4D35" w:rsidRDefault="00BC4D35" w:rsidP="00BC4D35">
      <w:pPr>
        <w:pStyle w:val="a5"/>
        <w:spacing w:line="240" w:lineRule="exact"/>
        <w:ind w:firstLine="360"/>
        <w:rPr>
          <w:rFonts w:ascii="Times New Roman"/>
          <w:b w:val="0"/>
          <w:color w:val="000000"/>
          <w:sz w:val="18"/>
          <w:szCs w:val="18"/>
        </w:rPr>
      </w:pPr>
      <w:r>
        <w:rPr>
          <w:rFonts w:ascii="Times New Roman"/>
          <w:b w:val="0"/>
          <w:color w:val="000000"/>
          <w:sz w:val="18"/>
          <w:szCs w:val="18"/>
        </w:rPr>
        <w:t>Table 6 Ordinary PCM concrete data analysis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1275"/>
        <w:gridCol w:w="1701"/>
        <w:gridCol w:w="2127"/>
        <w:gridCol w:w="2210"/>
      </w:tblGrid>
      <w:tr w:rsidR="00BC4D35" w:rsidTr="00BC4D35">
        <w:trPr>
          <w:trHeight w:val="68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serial number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PCM share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Compressive strength (MPa)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 of decrease in compressive strength (%)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 of decrease in compressive strength (%)</w:t>
            </w:r>
          </w:p>
        </w:tc>
      </w:tr>
      <w:tr w:rsidR="00BC4D35" w:rsidTr="00BC4D35">
        <w:trPr>
          <w:trHeight w:val="90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14.16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</w:tr>
    </w:tbl>
    <w:p w:rsidR="00BC4D35" w:rsidRDefault="00BC4D35" w:rsidP="00BC4D35">
      <w:pPr>
        <w:pStyle w:val="a5"/>
        <w:spacing w:line="240" w:lineRule="exact"/>
        <w:ind w:firstLine="360"/>
        <w:rPr>
          <w:rFonts w:ascii="Times New Roman"/>
          <w:b w:val="0"/>
          <w:color w:val="000000"/>
          <w:sz w:val="18"/>
          <w:szCs w:val="18"/>
        </w:rPr>
      </w:pPr>
      <w:r>
        <w:rPr>
          <w:rFonts w:ascii="Times New Roman"/>
          <w:b w:val="0"/>
          <w:color w:val="000000"/>
          <w:sz w:val="18"/>
          <w:szCs w:val="18"/>
        </w:rPr>
        <w:t>Table 7 Reinforce PCM concrete data analysis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"/>
        <w:gridCol w:w="992"/>
        <w:gridCol w:w="1983"/>
        <w:gridCol w:w="2128"/>
        <w:gridCol w:w="2209"/>
      </w:tblGrid>
      <w:tr w:rsidR="00BC4D35" w:rsidTr="00BC4D35">
        <w:trPr>
          <w:trHeight w:val="68"/>
          <w:jc w:val="center"/>
        </w:trPr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serial number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PCM share (%)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Compressive strength (MPa)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 of decrease in compressive strength (%)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Rate of decrease in compressive strength (%)</w:t>
            </w:r>
          </w:p>
        </w:tc>
      </w:tr>
      <w:tr w:rsidR="00BC4D35" w:rsidTr="00BC4D35">
        <w:trPr>
          <w:trHeight w:val="90"/>
          <w:jc w:val="center"/>
        </w:trPr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R-1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45.24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34.63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23.45</w:t>
            </w: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9.89</w:t>
            </w:r>
          </w:p>
        </w:tc>
      </w:tr>
      <w:tr w:rsidR="00BC4D35" w:rsidTr="00BC4D35">
        <w:trPr>
          <w:trHeight w:val="69"/>
          <w:jc w:val="center"/>
        </w:trPr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R-4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33.61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99" w:type="dxa"/>
              <w:bottom w:w="57" w:type="dxa"/>
              <w:right w:w="99" w:type="dxa"/>
            </w:tcMar>
            <w:vAlign w:val="center"/>
            <w:hideMark/>
          </w:tcPr>
          <w:p w:rsidR="00BC4D35" w:rsidRDefault="00BC4D35">
            <w:pPr>
              <w:pStyle w:val="a8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</w:tr>
    </w:tbl>
    <w:p w:rsidR="00F945F0" w:rsidRDefault="00F945F0">
      <w:bookmarkStart w:id="4" w:name="_GoBack"/>
      <w:bookmarkEnd w:id="4"/>
    </w:p>
    <w:sectPr w:rsidR="00F94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FE"/>
    <w:rsid w:val="00BC4D35"/>
    <w:rsid w:val="00F82CFE"/>
    <w:rsid w:val="00F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D99F3-522F-4732-95D8-136A9EC7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4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C4D35"/>
    <w:rPr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BC4D35"/>
    <w:pPr>
      <w:spacing w:line="480" w:lineRule="auto"/>
      <w:ind w:firstLineChars="200" w:firstLine="200"/>
      <w:jc w:val="center"/>
    </w:pPr>
    <w:rPr>
      <w:rFonts w:ascii="宋体" w:eastAsia="宋体" w:hAnsi="Times New Roman" w:cs="Times New Roman"/>
      <w:b/>
      <w:sz w:val="44"/>
      <w:szCs w:val="20"/>
    </w:rPr>
  </w:style>
  <w:style w:type="character" w:customStyle="1" w:styleId="a6">
    <w:name w:val="正文文本 字符"/>
    <w:basedOn w:val="a0"/>
    <w:link w:val="a5"/>
    <w:uiPriority w:val="99"/>
    <w:semiHidden/>
    <w:rsid w:val="00BC4D35"/>
    <w:rPr>
      <w:rFonts w:ascii="宋体" w:eastAsia="宋体" w:hAnsi="Times New Roman" w:cs="Times New Roman"/>
      <w:b/>
      <w:sz w:val="44"/>
      <w:szCs w:val="20"/>
    </w:rPr>
  </w:style>
  <w:style w:type="character" w:customStyle="1" w:styleId="a7">
    <w:name w:val="表格内容 字符"/>
    <w:link w:val="a8"/>
    <w:locked/>
    <w:rsid w:val="00BC4D35"/>
    <w:rPr>
      <w:rFonts w:ascii="Times New Roman" w:eastAsia="宋体" w:hAnsi="Times New Roman" w:cs="Times New Roman"/>
      <w:sz w:val="20"/>
      <w:szCs w:val="20"/>
    </w:rPr>
  </w:style>
  <w:style w:type="paragraph" w:customStyle="1" w:styleId="a8">
    <w:name w:val="表格内容"/>
    <w:basedOn w:val="a"/>
    <w:link w:val="a7"/>
    <w:qFormat/>
    <w:rsid w:val="00BC4D35"/>
    <w:pPr>
      <w:ind w:firstLineChars="200" w:firstLine="200"/>
    </w:pPr>
    <w:rPr>
      <w:rFonts w:ascii="Times New Roman" w:eastAsia="宋体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BC4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Ss丶cronus</dc:creator>
  <cp:keywords/>
  <dc:description/>
  <cp:lastModifiedBy>Ss丶cronus</cp:lastModifiedBy>
  <cp:revision>2</cp:revision>
  <dcterms:created xsi:type="dcterms:W3CDTF">2025-08-14T07:17:00Z</dcterms:created>
  <dcterms:modified xsi:type="dcterms:W3CDTF">2025-08-14T07:17:00Z</dcterms:modified>
</cp:coreProperties>
</file>