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  <w:rPr>
          <w:rFonts w:ascii="Arial" w:eastAsia="Calibri" w:hAnsi="Arial" w:cs="Arial"/>
          <w:b/>
          <w:sz w:val="28"/>
          <w:szCs w:val="20"/>
          <w:lang w:val="en-US"/>
        </w:rPr>
      </w:pPr>
      <w:r>
        <w:rPr>
          <w:rFonts w:ascii="Arial" w:eastAsia="Calibri" w:hAnsi="Arial" w:cs="Arial"/>
          <w:b/>
          <w:sz w:val="28"/>
          <w:szCs w:val="20"/>
          <w:lang w:val="en-US"/>
        </w:rPr>
        <w:t>Supplementary Material #2</w:t>
      </w:r>
      <w:bookmarkStart w:id="0" w:name="_GoBack"/>
      <w:bookmarkEnd w:id="0"/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t xml:space="preserve">Supplementary table 1. </w:t>
      </w:r>
      <w:r>
        <w:rPr>
          <w:rFonts w:ascii="Arial" w:eastAsia="Calibri" w:hAnsi="Arial" w:cs="Arial"/>
          <w:bCs/>
          <w:szCs w:val="20"/>
          <w:lang w:val="en-US"/>
        </w:rPr>
        <w:t>D</w:t>
      </w:r>
      <w:r>
        <w:rPr>
          <w:rFonts w:ascii="Arial" w:eastAsia="Calibri" w:hAnsi="Arial" w:cs="Arial"/>
          <w:szCs w:val="20"/>
          <w:lang w:val="en-US"/>
        </w:rPr>
        <w:t>iscordant cases relative to the reference algorithm (</w:t>
      </w:r>
      <w:proofErr w:type="spellStart"/>
      <w:r>
        <w:rPr>
          <w:rFonts w:ascii="Arial" w:eastAsia="Calibri" w:hAnsi="Arial" w:cs="Arial"/>
          <w:szCs w:val="20"/>
          <w:lang w:val="en-US"/>
        </w:rPr>
        <w:t>SUVmax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and MTV)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20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2041"/>
        <w:gridCol w:w="2041"/>
        <w:gridCol w:w="2041"/>
        <w:gridCol w:w="2041"/>
        <w:gridCol w:w="2041"/>
      </w:tblGrid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10205" w:type="dxa"/>
            <w:gridSpan w:val="5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Discordant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proportion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>, % (95%-CI)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204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5 mm vs. 7 mm</w:t>
            </w:r>
          </w:p>
        </w:tc>
        <w:tc>
          <w:tcPr>
            <w:tcW w:w="204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7 mm vs. 7 mm</w:t>
            </w:r>
          </w:p>
        </w:tc>
        <w:tc>
          <w:tcPr>
            <w:tcW w:w="204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9 mm vs. 7 mm</w:t>
            </w:r>
          </w:p>
        </w:tc>
        <w:tc>
          <w:tcPr>
            <w:tcW w:w="204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5 mm vs. 5 mm</w:t>
            </w:r>
          </w:p>
        </w:tc>
        <w:tc>
          <w:tcPr>
            <w:tcW w:w="204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9 mm vs. 9 mm</w:t>
            </w:r>
          </w:p>
        </w:tc>
      </w:tr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SUVmax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 xml:space="preserve"> (10.5)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22 (9.5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34.5)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0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1.0)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28 (14.6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41.4)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22 (9.5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34.5)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16 (4.8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27.2)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12 (2.0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22.0)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MTV (9.5 ml)</w:t>
            </w: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20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20 (7.9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32.1)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0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1.0)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0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1.0)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20 (7.9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32.1)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22 (9.5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34.5)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204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0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1.0)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16 (4.8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27.2)</w:t>
            </w:r>
          </w:p>
        </w:tc>
        <w:tc>
          <w:tcPr>
            <w:tcW w:w="20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Proportions of discordantly classified cases among all 50 patients are given in % (95%-confidence interval; 95%-CI) for each algorithm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>. Different pairs of reconstructed spatial resolution (FWHM) are compared. Missing values reflect pairs of identical datasets.</w:t>
      </w:r>
    </w:p>
    <w:p>
      <w:pPr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br w:type="page"/>
      </w: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 2. </w:t>
      </w:r>
      <w:r>
        <w:rPr>
          <w:rFonts w:ascii="Arial" w:eastAsia="Calibri" w:hAnsi="Arial" w:cs="Arial"/>
          <w:szCs w:val="20"/>
          <w:lang w:val="en-US"/>
        </w:rPr>
        <w:t>Relative differences to the reference algorithm: Acquisition times (ASP)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3288"/>
        <w:gridCol w:w="1701"/>
        <w:gridCol w:w="1701"/>
        <w:gridCol w:w="1701"/>
      </w:tblGrid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</w:rPr>
              <w:t>ASP</w:t>
            </w: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Difference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>, % (median, IQR)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p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180s vs. 120s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90s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60s</w:t>
            </w: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  <w:lang w:val="en-US"/>
              </w:rPr>
              <w:t>4/8</w:t>
            </w:r>
            <w:r>
              <w:rPr>
                <w:rFonts w:ascii="Arial" w:eastAsia="Calibri" w:hAnsi="Arial" w:cs="Arial"/>
                <w:lang w:val="en-US"/>
              </w:rPr>
              <w:t xml:space="preserve">                180s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7.6 (3.1 to 18.0)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9.9 (3.2 to 34.6)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0.007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12.3 (4.9 to 34.7)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0.007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lang w:val="en-US"/>
              </w:rPr>
              <w:t>23.4 (0.</w:t>
            </w:r>
            <w:r>
              <w:rPr>
                <w:rFonts w:ascii="Arial" w:eastAsia="Calibri" w:hAnsi="Arial" w:cs="Arial"/>
              </w:rPr>
              <w:t xml:space="preserve">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40.4)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7.1 (3.5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18.4)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15.0 (2.8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35.3)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27.0 (9.3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54.7)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  <w:r>
              <w:rPr>
                <w:rFonts w:ascii="Arial" w:eastAsia="Calibri" w:hAnsi="Arial" w:cs="Arial"/>
              </w:rPr>
              <w:t xml:space="preserve">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12.8 (6.3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26.9)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11.0 (6.7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24.1)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0.68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13.2 (4.3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24.0)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13.4 (6.0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44.1)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0.79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31.3 (11.2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43.7)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24.1 (8.2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39.0)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24.2 (10.1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36.1)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14.2 (3.3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31.6)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0.008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Relative differences in % (with interquartile range; IQR) are given for each algorithm at different acquisition times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7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4/16/6.4</w:t>
      </w:r>
      <w:r>
        <w:rPr>
          <w:rFonts w:ascii="Arial" w:eastAsia="Calibri" w:hAnsi="Arial" w:cs="Arial"/>
          <w:szCs w:val="20"/>
          <w:lang w:val="en-US"/>
        </w:rPr>
        <w:t>). Acquisition time of the reference was always 180s. Results of the Wilcoxon test comparing relative differences at 180s with differences at 120s, 90s or 60s are given (significant p values printed in bold). Missing values reflect pairs of identical datasets.</w:t>
      </w:r>
      <w:r>
        <w:rPr>
          <w:rFonts w:ascii="Arial" w:eastAsia="Calibri" w:hAnsi="Arial" w:cs="Arial"/>
          <w:szCs w:val="20"/>
          <w:lang w:val="en-US"/>
        </w:rPr>
        <w:br w:type="page"/>
      </w: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 3. </w:t>
      </w:r>
      <w:r>
        <w:rPr>
          <w:rFonts w:ascii="Arial" w:eastAsia="Calibri" w:hAnsi="Arial" w:cs="Arial"/>
          <w:szCs w:val="20"/>
          <w:lang w:val="en-US"/>
        </w:rPr>
        <w:t>Relative differences to the reference algorithm: Acquisition times (</w:t>
      </w:r>
      <w:proofErr w:type="spellStart"/>
      <w:r>
        <w:rPr>
          <w:rFonts w:ascii="Arial" w:eastAsia="Calibri" w:hAnsi="Arial" w:cs="Arial"/>
          <w:szCs w:val="20"/>
          <w:lang w:val="en-US"/>
        </w:rPr>
        <w:t>SUVmax</w:t>
      </w:r>
      <w:proofErr w:type="spellEnd"/>
      <w:r>
        <w:rPr>
          <w:rFonts w:ascii="Arial" w:eastAsia="Calibri" w:hAnsi="Arial" w:cs="Arial"/>
          <w:szCs w:val="20"/>
          <w:lang w:val="en-US"/>
        </w:rPr>
        <w:t>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3288"/>
        <w:gridCol w:w="1701"/>
        <w:gridCol w:w="1701"/>
        <w:gridCol w:w="1701"/>
      </w:tblGrid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SUVmax</w:t>
            </w:r>
            <w:proofErr w:type="spellEnd"/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Difference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>, % (median, IQR)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p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180s vs. 120s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90s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60s</w:t>
            </w: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  <w:r>
              <w:rPr>
                <w:rFonts w:ascii="Arial" w:eastAsia="Calibri" w:hAnsi="Arial" w:cs="Arial"/>
              </w:rPr>
              <w:t xml:space="preserve">                180s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1.2 (0.6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2.0)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1.9 (0.9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3.2)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2.9 (1.5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4.7)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4.0 (2.1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7.4)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2.2 (1.1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3.8)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2.3 (1.0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5.3)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3.7 (1.5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7.5)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  <w:r>
              <w:rPr>
                <w:rFonts w:ascii="Arial" w:eastAsia="Calibri" w:hAnsi="Arial" w:cs="Arial"/>
              </w:rPr>
              <w:t xml:space="preserve">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4.9 (1.9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7.2)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4.8 (2.3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7.9)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5.6 (3.4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8.6)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6.5 (3.9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10.6)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0.006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5.1 (2.4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10.6)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6.1 (2.0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9.5)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0.81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5.4 (3.0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8.4)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0.72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5.0 (3.4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9.3)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0.31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Relative differences in % (with interquartile range; IQR) are given for each algorithm at different acquisition times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7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4/16/6.4</w:t>
      </w:r>
      <w:r>
        <w:rPr>
          <w:rFonts w:ascii="Arial" w:eastAsia="Calibri" w:hAnsi="Arial" w:cs="Arial"/>
          <w:szCs w:val="20"/>
          <w:lang w:val="en-US"/>
        </w:rPr>
        <w:t>). Acquisition time of the reference was always 180s. Results of the Wilcoxon test comparing relative differences at 180s with differences at 120s, 90s or 60s are given (significant p values printed in bold). Missing values reflect pairs of identical datasets.</w:t>
      </w:r>
      <w:r>
        <w:rPr>
          <w:rFonts w:ascii="Arial" w:eastAsia="Calibri" w:hAnsi="Arial" w:cs="Arial"/>
          <w:szCs w:val="20"/>
          <w:lang w:val="en-US"/>
        </w:rPr>
        <w:br w:type="page"/>
      </w: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 4. </w:t>
      </w:r>
      <w:r>
        <w:rPr>
          <w:rFonts w:ascii="Arial" w:eastAsia="Calibri" w:hAnsi="Arial" w:cs="Arial"/>
          <w:szCs w:val="20"/>
          <w:lang w:val="en-US"/>
        </w:rPr>
        <w:t>Relative differences to the reference algorithm: Acquisition times (MTV)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3288"/>
        <w:gridCol w:w="1701"/>
        <w:gridCol w:w="1701"/>
        <w:gridCol w:w="1701"/>
      </w:tblGrid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</w:rPr>
              <w:t>MTV</w:t>
            </w: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Difference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>, % (median, IQR)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p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180s vs. 120s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90s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60s</w:t>
            </w: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  <w:r>
              <w:rPr>
                <w:rFonts w:ascii="Arial" w:eastAsia="Calibri" w:hAnsi="Arial" w:cs="Arial"/>
              </w:rPr>
              <w:t xml:space="preserve">                180s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2.3 (1.4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4.4)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3.6 (1.7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5.4)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4.9 (2.4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7.2)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6.7 (3.8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11.2)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3.3 (1.6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5.1)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3.8 (1.6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8.2)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7.1 (2.1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10.6)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&lt;0.001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  <w:r>
              <w:rPr>
                <w:rFonts w:ascii="Arial" w:eastAsia="Calibri" w:hAnsi="Arial" w:cs="Arial"/>
              </w:rPr>
              <w:t xml:space="preserve">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6.1 (3.1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12.7)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6.6 (2.6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13.7)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0.85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7.3 (3.9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11.0)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10.2 (6.1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15.1)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0.041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328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6.3 (3.1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13.2)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8.4 (3.3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14.1)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3288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6.6 (3.6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10.7)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0.73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32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7.5 (3.6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13.1)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0.36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Relative differences in % (with interquartile range; IQR) are given for each algorithm at different acquisition times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7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4/16/6.4</w:t>
      </w:r>
      <w:r>
        <w:rPr>
          <w:rFonts w:ascii="Arial" w:eastAsia="Calibri" w:hAnsi="Arial" w:cs="Arial"/>
          <w:szCs w:val="20"/>
          <w:lang w:val="en-US"/>
        </w:rPr>
        <w:t>). Acquisition time of the reference was always 180s. Results of the Wilcoxon test comparing relative differences at 180s with differences at 120s, 90s or 60s are given (significant p values printed in bold). Missing values reflect pairs of identical datasets.</w:t>
      </w:r>
      <w:r>
        <w:rPr>
          <w:rFonts w:ascii="Arial" w:eastAsia="Calibri" w:hAnsi="Arial" w:cs="Arial"/>
          <w:szCs w:val="20"/>
          <w:lang w:val="en-US"/>
        </w:rPr>
        <w:br w:type="page"/>
      </w: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 5. </w:t>
      </w:r>
      <w:r>
        <w:rPr>
          <w:rFonts w:ascii="Arial" w:eastAsia="Calibri" w:hAnsi="Arial" w:cs="Arial"/>
          <w:bCs/>
          <w:szCs w:val="20"/>
          <w:lang w:val="en-US"/>
        </w:rPr>
        <w:t>D</w:t>
      </w:r>
      <w:r>
        <w:rPr>
          <w:rFonts w:ascii="Arial" w:eastAsia="Calibri" w:hAnsi="Arial" w:cs="Arial"/>
          <w:szCs w:val="20"/>
          <w:lang w:val="en-US"/>
        </w:rPr>
        <w:t>iscordant cases relative to the reference algorithm: Acquisition times (ASP)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2665"/>
        <w:gridCol w:w="1701"/>
        <w:gridCol w:w="1701"/>
        <w:gridCol w:w="1701"/>
      </w:tblGrid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</w:rPr>
              <w:t>ASP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</w:rPr>
              <w:t>Proportion, % (95%-CI)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p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180s vs. 120s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90s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60s</w:t>
            </w: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  <w:r>
              <w:rPr>
                <w:rFonts w:ascii="Arial" w:eastAsia="Calibri" w:hAnsi="Arial" w:cs="Arial"/>
              </w:rPr>
              <w:t xml:space="preserve">                180s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0.38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14 (3.4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24.6)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  <w:r>
              <w:rPr>
                <w:rFonts w:ascii="Arial" w:eastAsia="Calibri" w:hAnsi="Arial" w:cs="Arial"/>
              </w:rPr>
              <w:t xml:space="preserve">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Proportions of discordantly classified cases among all 50 patients are given in % (95%-confidence interval; 95%-CI) for each algorithm at different acquisition times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7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4/16/6.4</w:t>
      </w:r>
      <w:r>
        <w:rPr>
          <w:rFonts w:ascii="Arial" w:eastAsia="Calibri" w:hAnsi="Arial" w:cs="Arial"/>
          <w:szCs w:val="20"/>
          <w:lang w:val="en-US"/>
        </w:rPr>
        <w:t xml:space="preserve">). Acquisition time of the reference was always 180s. Results of </w:t>
      </w:r>
      <w:proofErr w:type="spellStart"/>
      <w:r>
        <w:rPr>
          <w:rFonts w:ascii="Arial" w:eastAsia="Calibri" w:hAnsi="Arial" w:cs="Arial"/>
          <w:szCs w:val="20"/>
          <w:lang w:val="en-US"/>
        </w:rPr>
        <w:t>McNemar’s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test comparing discordant proportions at 180s with differences at 120s, 90s or 60s are given (significant p values printed in bold). Missing values reflect pairs of identical datasets or pairs where </w:t>
      </w:r>
      <w:proofErr w:type="spellStart"/>
      <w:r>
        <w:rPr>
          <w:rFonts w:ascii="Arial" w:eastAsia="Calibri" w:hAnsi="Arial" w:cs="Arial"/>
          <w:szCs w:val="20"/>
          <w:lang w:val="en-US"/>
        </w:rPr>
        <w:t>McNemar’s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test cannot be performed.</w:t>
      </w:r>
      <w:r>
        <w:rPr>
          <w:rFonts w:ascii="Arial" w:eastAsia="Calibri" w:hAnsi="Arial" w:cs="Arial"/>
          <w:szCs w:val="20"/>
          <w:lang w:val="en-US"/>
        </w:rPr>
        <w:br w:type="page"/>
      </w: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tables 6. </w:t>
      </w:r>
      <w:r>
        <w:rPr>
          <w:rFonts w:ascii="Arial" w:eastAsia="Calibri" w:hAnsi="Arial" w:cs="Arial"/>
          <w:bCs/>
          <w:szCs w:val="20"/>
          <w:lang w:val="en-US"/>
        </w:rPr>
        <w:t>D</w:t>
      </w:r>
      <w:r>
        <w:rPr>
          <w:rFonts w:ascii="Arial" w:eastAsia="Calibri" w:hAnsi="Arial" w:cs="Arial"/>
          <w:szCs w:val="20"/>
          <w:lang w:val="en-US"/>
        </w:rPr>
        <w:t>iscordant cases relative to the reference algorithm: Acquisition times (</w:t>
      </w:r>
      <w:proofErr w:type="spellStart"/>
      <w:r>
        <w:rPr>
          <w:rFonts w:ascii="Arial" w:eastAsia="Calibri" w:hAnsi="Arial" w:cs="Arial"/>
          <w:szCs w:val="20"/>
          <w:lang w:val="en-US"/>
        </w:rPr>
        <w:t>SUVmax</w:t>
      </w:r>
      <w:proofErr w:type="spellEnd"/>
      <w:r>
        <w:rPr>
          <w:rFonts w:ascii="Arial" w:eastAsia="Calibri" w:hAnsi="Arial" w:cs="Arial"/>
          <w:szCs w:val="20"/>
          <w:lang w:val="en-US"/>
        </w:rPr>
        <w:t>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2665"/>
        <w:gridCol w:w="1701"/>
        <w:gridCol w:w="1701"/>
        <w:gridCol w:w="1701"/>
      </w:tblGrid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SUVmax</w:t>
            </w:r>
            <w:proofErr w:type="spellEnd"/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</w:rPr>
              <w:t>Proportion, % (95%-CI)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p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180s vs. 120s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90s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60s</w:t>
            </w: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  <w:r>
              <w:rPr>
                <w:rFonts w:ascii="Arial" w:eastAsia="Calibri" w:hAnsi="Arial" w:cs="Arial"/>
              </w:rPr>
              <w:t xml:space="preserve">                180s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  <w:r>
              <w:rPr>
                <w:rFonts w:ascii="Arial" w:eastAsia="Calibri" w:hAnsi="Arial" w:cs="Arial"/>
              </w:rPr>
              <w:t xml:space="preserve">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0.5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Proportions of discordantly classified cases among all 50 patients are given in % (95%-confidence interval; 95%-CI) for each algorithm at different acquisition times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7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4/16/6.4</w:t>
      </w:r>
      <w:r>
        <w:rPr>
          <w:rFonts w:ascii="Arial" w:eastAsia="Calibri" w:hAnsi="Arial" w:cs="Arial"/>
          <w:szCs w:val="20"/>
          <w:lang w:val="en-US"/>
        </w:rPr>
        <w:t xml:space="preserve">). Acquisition time of the reference was always 180s. Results of </w:t>
      </w:r>
      <w:proofErr w:type="spellStart"/>
      <w:r>
        <w:rPr>
          <w:rFonts w:ascii="Arial" w:eastAsia="Calibri" w:hAnsi="Arial" w:cs="Arial"/>
          <w:szCs w:val="20"/>
          <w:lang w:val="en-US"/>
        </w:rPr>
        <w:t>McNemar’s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test comparing discordant proportions at 180s with differences at 120s, 90s or 60s are given (significant p values printed in bold). Missing values reflect pairs of identical datasets or pairs where </w:t>
      </w:r>
      <w:proofErr w:type="spellStart"/>
      <w:r>
        <w:rPr>
          <w:rFonts w:ascii="Arial" w:eastAsia="Calibri" w:hAnsi="Arial" w:cs="Arial"/>
          <w:szCs w:val="20"/>
          <w:lang w:val="en-US"/>
        </w:rPr>
        <w:t>McNemar’s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test cannot be performed.</w:t>
      </w:r>
      <w:r>
        <w:rPr>
          <w:rFonts w:ascii="Arial" w:eastAsia="Calibri" w:hAnsi="Arial" w:cs="Arial"/>
          <w:szCs w:val="20"/>
          <w:lang w:val="en-US"/>
        </w:rPr>
        <w:br w:type="page"/>
      </w:r>
    </w:p>
    <w:p>
      <w:pPr>
        <w:spacing w:after="0" w:line="240" w:lineRule="auto"/>
        <w:jc w:val="both"/>
        <w:rPr>
          <w:rFonts w:ascii="Arial" w:eastAsia="Calibri" w:hAnsi="Arial" w:cs="Arial"/>
          <w:b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 7. </w:t>
      </w:r>
      <w:r>
        <w:rPr>
          <w:rFonts w:ascii="Arial" w:eastAsia="Calibri" w:hAnsi="Arial" w:cs="Arial"/>
          <w:bCs/>
          <w:szCs w:val="20"/>
          <w:lang w:val="en-US"/>
        </w:rPr>
        <w:t>D</w:t>
      </w:r>
      <w:r>
        <w:rPr>
          <w:rFonts w:ascii="Arial" w:eastAsia="Calibri" w:hAnsi="Arial" w:cs="Arial"/>
          <w:szCs w:val="20"/>
          <w:lang w:val="en-US"/>
        </w:rPr>
        <w:t>iscordant cases relative to the reference algorithm: Acquisition times (MTV)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1"/>
        <w:gridCol w:w="2665"/>
        <w:gridCol w:w="1701"/>
        <w:gridCol w:w="1701"/>
        <w:gridCol w:w="1701"/>
      </w:tblGrid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MTV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</w:rPr>
              <w:t>Proportion, % (95%-CI)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p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180s vs. 120s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90s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180s vs. 60s</w:t>
            </w: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</w:t>
            </w:r>
            <w:r>
              <w:rPr>
                <w:rFonts w:ascii="Arial" w:eastAsia="Calibri" w:hAnsi="Arial" w:cs="Arial"/>
              </w:rPr>
              <w:t xml:space="preserve">                180s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0.13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</w:t>
            </w:r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---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</w:t>
            </w:r>
            <w:r>
              <w:rPr>
                <w:rFonts w:ascii="Arial" w:eastAsia="Calibri" w:hAnsi="Arial" w:cs="Arial"/>
              </w:rPr>
              <w:t xml:space="preserve">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6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12 (2.0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22.0)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</w:t>
            </w:r>
            <w:bookmarkStart w:id="1" w:name="OLE_LINK1"/>
            <w:r>
              <w:rPr>
                <w:rFonts w:ascii="Arial" w:eastAsia="Calibri" w:hAnsi="Arial" w:cs="Arial"/>
              </w:rPr>
              <w:t xml:space="preserve">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  <w:bookmarkEnd w:id="1"/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0.25</w:t>
            </w:r>
          </w:p>
        </w:tc>
      </w:tr>
      <w:tr>
        <w:trPr>
          <w:trHeight w:val="340"/>
        </w:trPr>
        <w:tc>
          <w:tcPr>
            <w:tcW w:w="238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</w:rPr>
              <w:t>Q.Clear</w:t>
            </w:r>
            <w:proofErr w:type="spellEnd"/>
            <w:r>
              <w:rPr>
                <w:rFonts w:ascii="Arial" w:eastAsia="Calibri" w:hAnsi="Arial" w:cs="Arial"/>
              </w:rPr>
              <w:t xml:space="preserve">              180s</w:t>
            </w:r>
          </w:p>
        </w:tc>
        <w:tc>
          <w:tcPr>
            <w:tcW w:w="266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120s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90s</w:t>
            </w:r>
          </w:p>
        </w:tc>
        <w:tc>
          <w:tcPr>
            <w:tcW w:w="2665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23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right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60s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Arial" w:eastAsia="Calibri" w:hAnsi="Arial" w:cs="Arial"/>
              </w:rPr>
              <w:t xml:space="preserve">8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16.5)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>1.0</w:t>
            </w:r>
          </w:p>
        </w:tc>
      </w:tr>
    </w:tbl>
    <w:p/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Proportions of discordantly classified cases among all 50 patients are given in % (95%-confidence interval; 95%-CI) for each algorithm at different acquisition times relative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7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4/16/6.4</w:t>
      </w:r>
      <w:r>
        <w:rPr>
          <w:rFonts w:ascii="Arial" w:eastAsia="Calibri" w:hAnsi="Arial" w:cs="Arial"/>
          <w:szCs w:val="20"/>
          <w:lang w:val="en-US"/>
        </w:rPr>
        <w:t xml:space="preserve">). Acquisition time of the reference was always 180s. Results of </w:t>
      </w:r>
      <w:proofErr w:type="spellStart"/>
      <w:r>
        <w:rPr>
          <w:rFonts w:ascii="Arial" w:eastAsia="Calibri" w:hAnsi="Arial" w:cs="Arial"/>
          <w:szCs w:val="20"/>
          <w:lang w:val="en-US"/>
        </w:rPr>
        <w:t>McNemar’s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test comparing discordant proportions at 180s with differences at 120s, 90s or 60s are given (significant p values printed in bold). Missing values reflect pairs of identical datasets or pairs where </w:t>
      </w:r>
      <w:proofErr w:type="spellStart"/>
      <w:r>
        <w:rPr>
          <w:rFonts w:ascii="Arial" w:eastAsia="Calibri" w:hAnsi="Arial" w:cs="Arial"/>
          <w:szCs w:val="20"/>
          <w:lang w:val="en-US"/>
        </w:rPr>
        <w:t>McNemar’s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test cannot be performed.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b/>
          <w:szCs w:val="20"/>
          <w:lang w:val="en-US"/>
        </w:rPr>
        <w:lastRenderedPageBreak/>
        <w:t xml:space="preserve">Supplementary table 8. </w:t>
      </w:r>
      <w:r>
        <w:rPr>
          <w:rFonts w:ascii="Arial" w:eastAsia="Calibri" w:hAnsi="Arial" w:cs="Arial"/>
          <w:szCs w:val="20"/>
          <w:lang w:val="en-US"/>
        </w:rPr>
        <w:t>Relative differences and discordant cases relative to the reference algorithm (7 vs. 9 mm FWHM)</w:t>
      </w:r>
    </w:p>
    <w:p>
      <w:pPr>
        <w:spacing w:after="0" w:line="240" w:lineRule="auto"/>
        <w:jc w:val="both"/>
        <w:rPr>
          <w:rFonts w:ascii="Arial" w:eastAsia="Calibri" w:hAnsi="Arial" w:cs="Arial"/>
          <w:szCs w:val="20"/>
          <w:lang w:val="en-US"/>
        </w:rPr>
      </w:pPr>
    </w:p>
    <w:tbl>
      <w:tblPr>
        <w:tblStyle w:val="Tabellenraster"/>
        <w:tblW w:w="10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3855"/>
        <w:gridCol w:w="4422"/>
      </w:tblGrid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3855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Difference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>, % (median, IQR)</w:t>
            </w:r>
          </w:p>
        </w:tc>
        <w:tc>
          <w:tcPr>
            <w:tcW w:w="4422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Discordant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</w:rPr>
              <w:t>proportion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>, % (95%-CI)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3855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7 mm vs. 9 mm</w:t>
            </w:r>
          </w:p>
        </w:tc>
        <w:tc>
          <w:tcPr>
            <w:tcW w:w="4422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7 mm vs. 9 mm</w:t>
            </w:r>
          </w:p>
        </w:tc>
      </w:tr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ASP (19.5%)</w:t>
            </w:r>
          </w:p>
        </w:tc>
        <w:tc>
          <w:tcPr>
            <w:tcW w:w="3855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4422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4/8/6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46.5 (25.6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81.5)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12 (2.0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22.0)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4/16/6.4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46.3 (30.3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88.3)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14 (3.4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24.6)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2/17/7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37.6 (22.7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66.3)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14 (3.4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24.6)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</w:rPr>
              <w:t xml:space="preserve"> Q.Clear</w:t>
            </w:r>
            <w:r>
              <w:rPr>
                <w:rFonts w:ascii="Arial" w:eastAsia="Calibri" w:hAnsi="Arial" w:cs="Arial"/>
                <w:vertAlign w:val="subscript"/>
              </w:rPr>
              <w:t>1750</w:t>
            </w:r>
          </w:p>
        </w:tc>
        <w:tc>
          <w:tcPr>
            <w:tcW w:w="3855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23.8 (14.0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63.3)</w:t>
            </w:r>
          </w:p>
        </w:tc>
        <w:tc>
          <w:tcPr>
            <w:tcW w:w="4422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12 (2.0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22.0)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</w:rPr>
              <w:t>SUVmax</w:t>
            </w:r>
            <w:proofErr w:type="spellEnd"/>
            <w:r>
              <w:rPr>
                <w:rFonts w:ascii="Arial" w:eastAsia="Calibri" w:hAnsi="Arial" w:cs="Arial"/>
                <w:b/>
                <w:bCs/>
              </w:rPr>
              <w:t xml:space="preserve"> (10.5)</w:t>
            </w:r>
          </w:p>
        </w:tc>
        <w:tc>
          <w:tcPr>
            <w:tcW w:w="3855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  <w:tc>
          <w:tcPr>
            <w:tcW w:w="4422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4/8/6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14.5 (11.3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22.4)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12 (2.0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22.0)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</w:rPr>
              <w:t>4/16/6.4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14.5 (10.9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19.7)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10 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</w:rPr>
              <w:t>2/17/7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18.4 (14.1 to 26.8)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14 </w:t>
            </w:r>
            <w:r>
              <w:rPr>
                <w:rFonts w:ascii="Arial" w:eastAsia="Calibri" w:hAnsi="Arial" w:cs="Arial"/>
              </w:rPr>
              <w:t xml:space="preserve">(3.4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24.6)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 Q.Clear</w:t>
            </w:r>
            <w:r>
              <w:rPr>
                <w:rFonts w:ascii="Arial" w:eastAsia="Calibri" w:hAnsi="Arial" w:cs="Arial"/>
                <w:vertAlign w:val="subscript"/>
                <w:lang w:val="en-US"/>
              </w:rPr>
              <w:t>1750</w:t>
            </w:r>
          </w:p>
        </w:tc>
        <w:tc>
          <w:tcPr>
            <w:tcW w:w="3855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18.5 (11.7 to 25.8)</w:t>
            </w:r>
          </w:p>
        </w:tc>
        <w:tc>
          <w:tcPr>
            <w:tcW w:w="4422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18 (6.4 to 29.6)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b/>
                <w:bCs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lang w:val="en-US"/>
              </w:rPr>
              <w:t>MTV (9.5 ml)</w:t>
            </w:r>
          </w:p>
        </w:tc>
        <w:tc>
          <w:tcPr>
            <w:tcW w:w="3855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  <w:tc>
          <w:tcPr>
            <w:tcW w:w="4422" w:type="dxa"/>
            <w:tcBorders>
              <w:top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  <w:lang w:val="en-US"/>
              </w:rPr>
              <w:t>4/8/6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13.7 (6.6 to 23.0)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4 </w:t>
            </w:r>
            <w:r>
              <w:rPr>
                <w:rFonts w:ascii="Arial" w:eastAsia="Calibri" w:hAnsi="Arial" w:cs="Arial"/>
              </w:rPr>
              <w:t xml:space="preserve">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10.4)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 TOF</w:t>
            </w:r>
            <w:r>
              <w:rPr>
                <w:rFonts w:ascii="Arial" w:eastAsia="Calibri" w:hAnsi="Arial" w:cs="Arial"/>
                <w:vertAlign w:val="subscript"/>
                <w:lang w:val="en-US"/>
              </w:rPr>
              <w:t>4/16/6.4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11.0 (6.0 to 18.3)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</w:rPr>
              <w:t xml:space="preserve">2 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6.9)</w:t>
            </w:r>
          </w:p>
        </w:tc>
      </w:tr>
      <w:tr>
        <w:trPr>
          <w:trHeight w:val="340"/>
        </w:trPr>
        <w:tc>
          <w:tcPr>
            <w:tcW w:w="1814" w:type="dxa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 PSF+TOF</w:t>
            </w:r>
            <w:r>
              <w:rPr>
                <w:rFonts w:ascii="Arial" w:eastAsia="Calibri" w:hAnsi="Arial" w:cs="Arial"/>
                <w:vertAlign w:val="subscript"/>
                <w:lang w:val="en-US"/>
              </w:rPr>
              <w:t>2/17/7</w:t>
            </w:r>
          </w:p>
        </w:tc>
        <w:tc>
          <w:tcPr>
            <w:tcW w:w="3855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17.7 (9.1 to 27.1)</w:t>
            </w:r>
          </w:p>
        </w:tc>
        <w:tc>
          <w:tcPr>
            <w:tcW w:w="4422" w:type="dxa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6 </w:t>
            </w:r>
            <w:r>
              <w:rPr>
                <w:rFonts w:ascii="Arial" w:eastAsia="Calibri" w:hAnsi="Arial" w:cs="Arial"/>
              </w:rPr>
              <w:t xml:space="preserve">(0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13.6)</w:t>
            </w:r>
          </w:p>
        </w:tc>
      </w:tr>
      <w:tr>
        <w:trPr>
          <w:trHeight w:val="340"/>
        </w:trPr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 Q.Clear</w:t>
            </w:r>
            <w:r>
              <w:rPr>
                <w:rFonts w:ascii="Arial" w:eastAsia="Calibri" w:hAnsi="Arial" w:cs="Arial"/>
                <w:vertAlign w:val="subscript"/>
                <w:lang w:val="en-US"/>
              </w:rPr>
              <w:t>1750</w:t>
            </w:r>
          </w:p>
        </w:tc>
        <w:tc>
          <w:tcPr>
            <w:tcW w:w="3855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>17.0 (10.4 to 27.4)</w:t>
            </w:r>
          </w:p>
        </w:tc>
        <w:tc>
          <w:tcPr>
            <w:tcW w:w="4422" w:type="dxa"/>
            <w:tcBorders>
              <w:bottom w:val="single" w:sz="4" w:space="0" w:color="auto"/>
            </w:tcBorders>
            <w:vAlign w:val="center"/>
          </w:tcPr>
          <w:p>
            <w:pPr>
              <w:spacing w:after="0" w:line="240" w:lineRule="auto"/>
              <w:rPr>
                <w:rFonts w:ascii="Arial" w:eastAsia="Calibri" w:hAnsi="Arial" w:cs="Arial"/>
                <w:lang w:val="en-US"/>
              </w:rPr>
            </w:pPr>
            <w:r>
              <w:rPr>
                <w:rFonts w:ascii="Arial" w:eastAsia="Calibri" w:hAnsi="Arial" w:cs="Arial"/>
                <w:lang w:val="en-US"/>
              </w:rPr>
              <w:t xml:space="preserve">10 </w:t>
            </w:r>
            <w:r>
              <w:rPr>
                <w:rFonts w:ascii="Arial" w:eastAsia="Calibri" w:hAnsi="Arial" w:cs="Arial"/>
              </w:rPr>
              <w:t xml:space="preserve">(0.7 </w:t>
            </w:r>
            <w:proofErr w:type="spellStart"/>
            <w:r>
              <w:rPr>
                <w:rFonts w:ascii="Arial" w:eastAsia="Calibri" w:hAnsi="Arial" w:cs="Arial"/>
              </w:rPr>
              <w:t>to</w:t>
            </w:r>
            <w:proofErr w:type="spellEnd"/>
            <w:r>
              <w:rPr>
                <w:rFonts w:ascii="Arial" w:eastAsia="Calibri" w:hAnsi="Arial" w:cs="Arial"/>
              </w:rPr>
              <w:t xml:space="preserve"> 19.3)</w:t>
            </w:r>
          </w:p>
        </w:tc>
      </w:tr>
    </w:tbl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</w:p>
    <w:p>
      <w:pPr>
        <w:spacing w:after="0" w:line="480" w:lineRule="auto"/>
        <w:jc w:val="both"/>
        <w:rPr>
          <w:rFonts w:ascii="Arial" w:eastAsia="Calibri" w:hAnsi="Arial" w:cs="Arial"/>
          <w:szCs w:val="20"/>
          <w:lang w:val="en-US"/>
        </w:rPr>
      </w:pPr>
      <w:r>
        <w:rPr>
          <w:rFonts w:ascii="Arial" w:eastAsia="Calibri" w:hAnsi="Arial" w:cs="Arial"/>
          <w:szCs w:val="20"/>
          <w:lang w:val="en-US"/>
        </w:rPr>
        <w:t>Relative differences in % (with interquartile range; IQR) proportions of discordantly classified cases (%; 95%-confidence interval; 95%-CI) are given for each algorithm at 7.0 FWHM compared to the reference algorithm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</w:t>
      </w:r>
      <w:r>
        <w:rPr>
          <w:rFonts w:ascii="Arial" w:eastAsia="Calibri" w:hAnsi="Arial" w:cs="Arial"/>
          <w:szCs w:val="20"/>
          <w:lang w:val="en-US"/>
        </w:rPr>
        <w:t xml:space="preserve"> at 9 mm FWHM (i.e., TOF</w:t>
      </w:r>
      <w:r>
        <w:rPr>
          <w:rFonts w:ascii="Arial" w:eastAsia="Calibri" w:hAnsi="Arial" w:cs="Arial"/>
          <w:szCs w:val="20"/>
          <w:vertAlign w:val="subscript"/>
          <w:lang w:val="en-US"/>
        </w:rPr>
        <w:t>4/16/9.5</w:t>
      </w:r>
      <w:r>
        <w:rPr>
          <w:rFonts w:ascii="Arial" w:eastAsia="Calibri" w:hAnsi="Arial" w:cs="Arial"/>
          <w:szCs w:val="20"/>
          <w:lang w:val="en-US"/>
        </w:rPr>
        <w:t xml:space="preserve">). The respective cut-off values to define positive cases are provided for ASP, </w:t>
      </w:r>
      <w:proofErr w:type="spellStart"/>
      <w:r>
        <w:rPr>
          <w:rFonts w:ascii="Arial" w:eastAsia="Calibri" w:hAnsi="Arial" w:cs="Arial"/>
          <w:szCs w:val="20"/>
          <w:lang w:val="en-US"/>
        </w:rPr>
        <w:t>SUVmax</w:t>
      </w:r>
      <w:proofErr w:type="spellEnd"/>
      <w:r>
        <w:rPr>
          <w:rFonts w:ascii="Arial" w:eastAsia="Calibri" w:hAnsi="Arial" w:cs="Arial"/>
          <w:szCs w:val="20"/>
          <w:lang w:val="en-US"/>
        </w:rPr>
        <w:t xml:space="preserve"> and MTV in parentheses.</w:t>
      </w:r>
    </w:p>
    <w:sectPr>
      <w:pgSz w:w="16838" w:h="11906" w:orient="landscape"/>
      <w:pgMar w:top="1418" w:right="1418" w:bottom="1418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145C0-053C-48E0-A9CA-7E4056BB6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1321</Words>
  <Characters>8325</Characters>
  <Application>Microsoft Office Word</Application>
  <DocSecurity>0</DocSecurity>
  <Lines>69</Lines>
  <Paragraphs>19</Paragraphs>
  <ScaleCrop>false</ScaleCrop>
  <Company/>
  <LinksUpToDate>false</LinksUpToDate>
  <CharactersWithSpaces>9627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Rogasch</dc:creator>
  <cp:keywords/>
  <dc:description/>
  <cp:lastModifiedBy>Rogasch, Julian</cp:lastModifiedBy>
  <cp:revision>4</cp:revision>
  <dcterms:created xsi:type="dcterms:W3CDTF">2020-08-30T20:31:00Z</dcterms:created>
  <dcterms:modified xsi:type="dcterms:W3CDTF">2020-09-07T06:33:00Z</dcterms:modified>
</cp:coreProperties>
</file>