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E54E" w14:textId="77777777" w:rsidR="00005476" w:rsidRPr="00FF1F38" w:rsidRDefault="00005476" w:rsidP="00005476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FF1F38">
        <w:rPr>
          <w:rFonts w:ascii="Times New Roman" w:hAnsi="Times New Roman" w:cs="Times New Roman" w:hint="eastAsia"/>
          <w:b/>
          <w:bCs/>
          <w:sz w:val="22"/>
        </w:rPr>
        <w:t>Tables</w:t>
      </w:r>
    </w:p>
    <w:p w14:paraId="724FA871" w14:textId="77777777" w:rsidR="00005476" w:rsidRPr="00FF1F38" w:rsidRDefault="00005476" w:rsidP="00005476">
      <w:pPr>
        <w:rPr>
          <w:rFonts w:ascii="Times New Roman" w:hAnsi="Times New Roman" w:cs="Times New Roman"/>
          <w:sz w:val="22"/>
        </w:rPr>
      </w:pPr>
      <w:r w:rsidRPr="00FB6AA6">
        <w:rPr>
          <w:rFonts w:ascii="Times New Roman" w:hAnsi="Times New Roman" w:cs="Times New Roman" w:hint="eastAsia"/>
          <w:b/>
          <w:bCs/>
          <w:sz w:val="22"/>
        </w:rPr>
        <w:t>Table 1.</w:t>
      </w:r>
      <w:r w:rsidRPr="00FF1F38">
        <w:rPr>
          <w:rFonts w:ascii="Times New Roman" w:hAnsi="Times New Roman" w:cs="Times New Roman" w:hint="eastAsia"/>
          <w:sz w:val="22"/>
        </w:rPr>
        <w:t xml:space="preserve"> </w:t>
      </w:r>
      <w:r w:rsidRPr="00FF1F38">
        <w:rPr>
          <w:rFonts w:ascii="Times New Roman" w:hAnsi="Times New Roman" w:cs="Times New Roman"/>
          <w:sz w:val="22"/>
        </w:rPr>
        <w:t>Baseline demographics, etiology of craniectomy, and preoperative comorbidities</w:t>
      </w:r>
      <w:r w:rsidRPr="00FF1F38">
        <w:rPr>
          <w:rFonts w:ascii="Times New Roman" w:hAnsi="Times New Roman" w:cs="Times New Roman" w:hint="eastAsia"/>
          <w:sz w:val="22"/>
        </w:rPr>
        <w:t>.</w:t>
      </w:r>
    </w:p>
    <w:p w14:paraId="74FDDF59" w14:textId="77777777" w:rsidR="00005476" w:rsidRDefault="00005476" w:rsidP="00005476">
      <w:pPr>
        <w:rPr>
          <w:rFonts w:ascii="Times New Roman" w:hAnsi="Times New Roman" w:cs="Times New Roman"/>
        </w:rPr>
      </w:pPr>
    </w:p>
    <w:tbl>
      <w:tblPr>
        <w:tblW w:w="97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0"/>
        <w:gridCol w:w="1620"/>
        <w:gridCol w:w="2320"/>
        <w:gridCol w:w="1060"/>
        <w:gridCol w:w="1334"/>
        <w:gridCol w:w="992"/>
      </w:tblGrid>
      <w:tr w:rsidR="00005476" w:rsidRPr="00277C0D" w14:paraId="5A0F63B0" w14:textId="77777777" w:rsidTr="000E4D68">
        <w:trPr>
          <w:trHeight w:val="342"/>
        </w:trPr>
        <w:tc>
          <w:tcPr>
            <w:tcW w:w="24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  <w:hideMark/>
          </w:tcPr>
          <w:p w14:paraId="4A6E538A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Characteristic</w:t>
            </w:r>
          </w:p>
        </w:tc>
        <w:tc>
          <w:tcPr>
            <w:tcW w:w="162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  <w:hideMark/>
          </w:tcPr>
          <w:p w14:paraId="0587B8DE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Total (n=376)</w:t>
            </w:r>
          </w:p>
        </w:tc>
        <w:tc>
          <w:tcPr>
            <w:tcW w:w="232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  <w:hideMark/>
          </w:tcPr>
          <w:p w14:paraId="42CBC70F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No revision (n=324)</w:t>
            </w:r>
          </w:p>
        </w:tc>
        <w:tc>
          <w:tcPr>
            <w:tcW w:w="2394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  <w:hideMark/>
          </w:tcPr>
          <w:p w14:paraId="1EA05CF3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Revision Surgery (n=52)</w:t>
            </w: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  <w:hideMark/>
          </w:tcPr>
          <w:p w14:paraId="091A893B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 value</w:t>
            </w:r>
          </w:p>
        </w:tc>
      </w:tr>
      <w:tr w:rsidR="00005476" w:rsidRPr="00277C0D" w14:paraId="05B24EEE" w14:textId="77777777" w:rsidTr="000E4D68">
        <w:trPr>
          <w:trHeight w:val="336"/>
        </w:trPr>
        <w:tc>
          <w:tcPr>
            <w:tcW w:w="2440" w:type="dxa"/>
            <w:tcBorders>
              <w:top w:val="single" w:sz="8" w:space="0" w:color="000000" w:themeColor="text1"/>
            </w:tcBorders>
            <w:vAlign w:val="center"/>
            <w:hideMark/>
          </w:tcPr>
          <w:p w14:paraId="1B704D2D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Age, years (mean ± SD)</w:t>
            </w:r>
          </w:p>
        </w:tc>
        <w:tc>
          <w:tcPr>
            <w:tcW w:w="1620" w:type="dxa"/>
            <w:tcBorders>
              <w:top w:val="single" w:sz="8" w:space="0" w:color="000000" w:themeColor="text1"/>
            </w:tcBorders>
            <w:vAlign w:val="center"/>
            <w:hideMark/>
          </w:tcPr>
          <w:p w14:paraId="3E4D82F3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48.9 ± 17.8</w:t>
            </w:r>
          </w:p>
        </w:tc>
        <w:tc>
          <w:tcPr>
            <w:tcW w:w="2320" w:type="dxa"/>
            <w:tcBorders>
              <w:top w:val="single" w:sz="8" w:space="0" w:color="000000" w:themeColor="text1"/>
            </w:tcBorders>
            <w:vAlign w:val="center"/>
            <w:hideMark/>
          </w:tcPr>
          <w:p w14:paraId="3EA588AF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48.9 ± 17.4</w:t>
            </w:r>
          </w:p>
        </w:tc>
        <w:tc>
          <w:tcPr>
            <w:tcW w:w="2394" w:type="dxa"/>
            <w:gridSpan w:val="2"/>
            <w:tcBorders>
              <w:top w:val="single" w:sz="8" w:space="0" w:color="000000" w:themeColor="text1"/>
            </w:tcBorders>
            <w:vAlign w:val="center"/>
            <w:hideMark/>
          </w:tcPr>
          <w:p w14:paraId="6F796455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49.5 ± 19.9</w:t>
            </w:r>
          </w:p>
        </w:tc>
        <w:tc>
          <w:tcPr>
            <w:tcW w:w="992" w:type="dxa"/>
            <w:tcBorders>
              <w:top w:val="single" w:sz="8" w:space="0" w:color="000000" w:themeColor="text1"/>
            </w:tcBorders>
            <w:vAlign w:val="center"/>
            <w:hideMark/>
          </w:tcPr>
          <w:p w14:paraId="1F0B0B04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005476" w:rsidRPr="00277C0D" w14:paraId="6DD4B889" w14:textId="77777777" w:rsidTr="000E4D68">
        <w:trPr>
          <w:trHeight w:val="330"/>
        </w:trPr>
        <w:tc>
          <w:tcPr>
            <w:tcW w:w="2440" w:type="dxa"/>
            <w:vAlign w:val="center"/>
            <w:hideMark/>
          </w:tcPr>
          <w:p w14:paraId="248AB5F6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Sex - male, n (%)</w:t>
            </w:r>
          </w:p>
        </w:tc>
        <w:tc>
          <w:tcPr>
            <w:tcW w:w="1620" w:type="dxa"/>
            <w:vAlign w:val="center"/>
            <w:hideMark/>
          </w:tcPr>
          <w:p w14:paraId="78736C5D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267 (71.0)</w:t>
            </w:r>
          </w:p>
        </w:tc>
        <w:tc>
          <w:tcPr>
            <w:tcW w:w="2320" w:type="dxa"/>
            <w:vAlign w:val="center"/>
            <w:hideMark/>
          </w:tcPr>
          <w:p w14:paraId="7F112F5B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227 (70.1)</w:t>
            </w:r>
          </w:p>
        </w:tc>
        <w:tc>
          <w:tcPr>
            <w:tcW w:w="2394" w:type="dxa"/>
            <w:gridSpan w:val="2"/>
            <w:vAlign w:val="center"/>
            <w:hideMark/>
          </w:tcPr>
          <w:p w14:paraId="5152B4C3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40 (76.9)</w:t>
            </w:r>
          </w:p>
        </w:tc>
        <w:tc>
          <w:tcPr>
            <w:tcW w:w="992" w:type="dxa"/>
            <w:vAlign w:val="center"/>
            <w:hideMark/>
          </w:tcPr>
          <w:p w14:paraId="6CED7CAC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0.31</w:t>
            </w:r>
          </w:p>
        </w:tc>
      </w:tr>
      <w:tr w:rsidR="00005476" w:rsidRPr="00277C0D" w14:paraId="2EEAD67E" w14:textId="77777777" w:rsidTr="000E4D68">
        <w:trPr>
          <w:trHeight w:val="330"/>
        </w:trPr>
        <w:tc>
          <w:tcPr>
            <w:tcW w:w="2440" w:type="dxa"/>
            <w:vAlign w:val="center"/>
            <w:hideMark/>
          </w:tcPr>
          <w:p w14:paraId="14B848E6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Hypertension, n (%)</w:t>
            </w:r>
          </w:p>
        </w:tc>
        <w:tc>
          <w:tcPr>
            <w:tcW w:w="1620" w:type="dxa"/>
            <w:vAlign w:val="center"/>
            <w:hideMark/>
          </w:tcPr>
          <w:p w14:paraId="7CD14D08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65 (17.3)</w:t>
            </w:r>
          </w:p>
        </w:tc>
        <w:tc>
          <w:tcPr>
            <w:tcW w:w="2320" w:type="dxa"/>
            <w:vAlign w:val="center"/>
            <w:hideMark/>
          </w:tcPr>
          <w:p w14:paraId="048535EE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58 (17.9)</w:t>
            </w:r>
          </w:p>
        </w:tc>
        <w:tc>
          <w:tcPr>
            <w:tcW w:w="2394" w:type="dxa"/>
            <w:gridSpan w:val="2"/>
            <w:vAlign w:val="center"/>
            <w:hideMark/>
          </w:tcPr>
          <w:p w14:paraId="05728F0E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 (13.5)</w:t>
            </w:r>
          </w:p>
        </w:tc>
        <w:tc>
          <w:tcPr>
            <w:tcW w:w="992" w:type="dxa"/>
            <w:vAlign w:val="center"/>
            <w:hideMark/>
          </w:tcPr>
          <w:p w14:paraId="16E6CA47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0.554</w:t>
            </w:r>
          </w:p>
        </w:tc>
      </w:tr>
      <w:tr w:rsidR="00005476" w:rsidRPr="00277C0D" w14:paraId="6665775D" w14:textId="77777777" w:rsidTr="000E4D68">
        <w:trPr>
          <w:trHeight w:val="330"/>
        </w:trPr>
        <w:tc>
          <w:tcPr>
            <w:tcW w:w="2440" w:type="dxa"/>
            <w:vAlign w:val="center"/>
            <w:hideMark/>
          </w:tcPr>
          <w:p w14:paraId="02336B4E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Diabetes mellitus, n (%)</w:t>
            </w:r>
          </w:p>
        </w:tc>
        <w:tc>
          <w:tcPr>
            <w:tcW w:w="1620" w:type="dxa"/>
            <w:vAlign w:val="center"/>
            <w:hideMark/>
          </w:tcPr>
          <w:p w14:paraId="09A84669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45 (12.0)</w:t>
            </w:r>
          </w:p>
        </w:tc>
        <w:tc>
          <w:tcPr>
            <w:tcW w:w="2320" w:type="dxa"/>
            <w:vAlign w:val="center"/>
            <w:hideMark/>
          </w:tcPr>
          <w:p w14:paraId="17A1F108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36 (11.1)</w:t>
            </w:r>
          </w:p>
        </w:tc>
        <w:tc>
          <w:tcPr>
            <w:tcW w:w="2394" w:type="dxa"/>
            <w:gridSpan w:val="2"/>
            <w:vAlign w:val="center"/>
            <w:hideMark/>
          </w:tcPr>
          <w:p w14:paraId="3AA883EF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 (17.3)</w:t>
            </w:r>
          </w:p>
        </w:tc>
        <w:tc>
          <w:tcPr>
            <w:tcW w:w="992" w:type="dxa"/>
            <w:vAlign w:val="center"/>
            <w:hideMark/>
          </w:tcPr>
          <w:p w14:paraId="6DDA2FB7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0.247</w:t>
            </w:r>
          </w:p>
        </w:tc>
      </w:tr>
      <w:tr w:rsidR="00005476" w:rsidRPr="00277C0D" w14:paraId="0F665F32" w14:textId="77777777" w:rsidTr="000E4D68">
        <w:trPr>
          <w:trHeight w:val="330"/>
        </w:trPr>
        <w:tc>
          <w:tcPr>
            <w:tcW w:w="2440" w:type="dxa"/>
            <w:vAlign w:val="center"/>
            <w:hideMark/>
          </w:tcPr>
          <w:p w14:paraId="5DA11C9A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Antiplatelet use, n (%)</w:t>
            </w:r>
          </w:p>
        </w:tc>
        <w:tc>
          <w:tcPr>
            <w:tcW w:w="1620" w:type="dxa"/>
            <w:vAlign w:val="center"/>
            <w:hideMark/>
          </w:tcPr>
          <w:p w14:paraId="08D3166B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18 (4.8)</w:t>
            </w:r>
          </w:p>
        </w:tc>
        <w:tc>
          <w:tcPr>
            <w:tcW w:w="2320" w:type="dxa"/>
            <w:vAlign w:val="center"/>
            <w:hideMark/>
          </w:tcPr>
          <w:p w14:paraId="250FAB83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11 (3.4)</w:t>
            </w:r>
          </w:p>
        </w:tc>
        <w:tc>
          <w:tcPr>
            <w:tcW w:w="2394" w:type="dxa"/>
            <w:gridSpan w:val="2"/>
            <w:vAlign w:val="center"/>
            <w:hideMark/>
          </w:tcPr>
          <w:p w14:paraId="6533939C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 (13.5)</w:t>
            </w:r>
          </w:p>
        </w:tc>
        <w:tc>
          <w:tcPr>
            <w:tcW w:w="992" w:type="dxa"/>
            <w:vAlign w:val="center"/>
            <w:hideMark/>
          </w:tcPr>
          <w:p w14:paraId="06B2AB68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0.006</w:t>
            </w:r>
          </w:p>
        </w:tc>
      </w:tr>
      <w:tr w:rsidR="00005476" w:rsidRPr="00277C0D" w14:paraId="7366AD53" w14:textId="77777777" w:rsidTr="000E4D68">
        <w:trPr>
          <w:trHeight w:val="336"/>
        </w:trPr>
        <w:tc>
          <w:tcPr>
            <w:tcW w:w="2440" w:type="dxa"/>
            <w:tcBorders>
              <w:bottom w:val="single" w:sz="8" w:space="0" w:color="000000" w:themeColor="text1"/>
            </w:tcBorders>
            <w:vAlign w:val="center"/>
            <w:hideMark/>
          </w:tcPr>
          <w:p w14:paraId="655EAD4B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bottom w:val="single" w:sz="8" w:space="0" w:color="000000" w:themeColor="text1"/>
            </w:tcBorders>
            <w:vAlign w:val="center"/>
            <w:hideMark/>
          </w:tcPr>
          <w:p w14:paraId="7C2B15EC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0" w:type="dxa"/>
            <w:tcBorders>
              <w:bottom w:val="single" w:sz="8" w:space="0" w:color="000000" w:themeColor="text1"/>
            </w:tcBorders>
            <w:vAlign w:val="center"/>
            <w:hideMark/>
          </w:tcPr>
          <w:p w14:paraId="1BF4EC5B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000000" w:themeColor="text1"/>
            </w:tcBorders>
            <w:vAlign w:val="center"/>
            <w:hideMark/>
          </w:tcPr>
          <w:p w14:paraId="1E1C2F02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34" w:type="dxa"/>
            <w:tcBorders>
              <w:bottom w:val="single" w:sz="8" w:space="0" w:color="000000" w:themeColor="text1"/>
            </w:tcBorders>
            <w:vAlign w:val="center"/>
            <w:hideMark/>
          </w:tcPr>
          <w:p w14:paraId="3A44324C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  <w:vAlign w:val="center"/>
            <w:hideMark/>
          </w:tcPr>
          <w:p w14:paraId="654A6DE4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005476" w:rsidRPr="00277C0D" w14:paraId="6B9D4230" w14:textId="77777777" w:rsidTr="000E4D68">
        <w:trPr>
          <w:trHeight w:val="492"/>
        </w:trPr>
        <w:tc>
          <w:tcPr>
            <w:tcW w:w="7440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  <w:hideMark/>
          </w:tcPr>
          <w:p w14:paraId="45143FC4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Etiology of decompressive craniectomy (overall distribution)</w:t>
            </w:r>
          </w:p>
        </w:tc>
        <w:tc>
          <w:tcPr>
            <w:tcW w:w="2326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  <w:hideMark/>
          </w:tcPr>
          <w:p w14:paraId="34DF0A5C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n (%)</w:t>
            </w:r>
          </w:p>
        </w:tc>
      </w:tr>
      <w:tr w:rsidR="00005476" w:rsidRPr="00277C0D" w14:paraId="015EF578" w14:textId="77777777" w:rsidTr="000E4D68">
        <w:trPr>
          <w:trHeight w:val="336"/>
        </w:trPr>
        <w:tc>
          <w:tcPr>
            <w:tcW w:w="7440" w:type="dxa"/>
            <w:gridSpan w:val="4"/>
            <w:tcBorders>
              <w:top w:val="single" w:sz="8" w:space="0" w:color="000000" w:themeColor="text1"/>
            </w:tcBorders>
            <w:vAlign w:val="center"/>
            <w:hideMark/>
          </w:tcPr>
          <w:p w14:paraId="0B011251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Acute subdural hematoma</w:t>
            </w:r>
          </w:p>
        </w:tc>
        <w:tc>
          <w:tcPr>
            <w:tcW w:w="2326" w:type="dxa"/>
            <w:gridSpan w:val="2"/>
            <w:tcBorders>
              <w:top w:val="single" w:sz="8" w:space="0" w:color="000000" w:themeColor="text1"/>
            </w:tcBorders>
            <w:vAlign w:val="center"/>
            <w:hideMark/>
          </w:tcPr>
          <w:p w14:paraId="4328700A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111 (29.5)</w:t>
            </w:r>
          </w:p>
        </w:tc>
      </w:tr>
      <w:tr w:rsidR="00005476" w:rsidRPr="00277C0D" w14:paraId="26925854" w14:textId="77777777" w:rsidTr="000E4D68">
        <w:trPr>
          <w:trHeight w:val="330"/>
        </w:trPr>
        <w:tc>
          <w:tcPr>
            <w:tcW w:w="7440" w:type="dxa"/>
            <w:gridSpan w:val="4"/>
            <w:vAlign w:val="center"/>
            <w:hideMark/>
          </w:tcPr>
          <w:p w14:paraId="32FBBB29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Traumatic intracerebral hemorrhage</w:t>
            </w:r>
          </w:p>
        </w:tc>
        <w:tc>
          <w:tcPr>
            <w:tcW w:w="2326" w:type="dxa"/>
            <w:gridSpan w:val="2"/>
            <w:vAlign w:val="center"/>
            <w:hideMark/>
          </w:tcPr>
          <w:p w14:paraId="7E47E112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104</w:t>
            </w: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27.7</w:t>
            </w: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)</w:t>
            </w:r>
          </w:p>
        </w:tc>
      </w:tr>
      <w:tr w:rsidR="00005476" w:rsidRPr="00277C0D" w14:paraId="5EB191C8" w14:textId="77777777" w:rsidTr="000E4D68">
        <w:trPr>
          <w:trHeight w:val="330"/>
        </w:trPr>
        <w:tc>
          <w:tcPr>
            <w:tcW w:w="7440" w:type="dxa"/>
            <w:gridSpan w:val="4"/>
            <w:vAlign w:val="center"/>
            <w:hideMark/>
          </w:tcPr>
          <w:p w14:paraId="57535639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Spontaneous intracerebral hemorrhage</w:t>
            </w:r>
          </w:p>
        </w:tc>
        <w:tc>
          <w:tcPr>
            <w:tcW w:w="2326" w:type="dxa"/>
            <w:gridSpan w:val="2"/>
            <w:vAlign w:val="center"/>
            <w:hideMark/>
          </w:tcPr>
          <w:p w14:paraId="331F9C07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51 (13.6)</w:t>
            </w:r>
          </w:p>
        </w:tc>
      </w:tr>
      <w:tr w:rsidR="00005476" w:rsidRPr="00277C0D" w14:paraId="0E6525E5" w14:textId="77777777" w:rsidTr="000E4D68">
        <w:trPr>
          <w:trHeight w:val="330"/>
        </w:trPr>
        <w:tc>
          <w:tcPr>
            <w:tcW w:w="7440" w:type="dxa"/>
            <w:gridSpan w:val="4"/>
            <w:vAlign w:val="center"/>
            <w:hideMark/>
          </w:tcPr>
          <w:p w14:paraId="5D328C4E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Spontaneous subarachnoid hemorrhage</w:t>
            </w:r>
          </w:p>
        </w:tc>
        <w:tc>
          <w:tcPr>
            <w:tcW w:w="2326" w:type="dxa"/>
            <w:gridSpan w:val="2"/>
            <w:vAlign w:val="center"/>
            <w:hideMark/>
          </w:tcPr>
          <w:p w14:paraId="773D86B1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43 (11.4)</w:t>
            </w:r>
          </w:p>
        </w:tc>
      </w:tr>
      <w:tr w:rsidR="00005476" w:rsidRPr="00277C0D" w14:paraId="7E5DF294" w14:textId="77777777" w:rsidTr="000E4D68">
        <w:trPr>
          <w:trHeight w:val="330"/>
        </w:trPr>
        <w:tc>
          <w:tcPr>
            <w:tcW w:w="7440" w:type="dxa"/>
            <w:gridSpan w:val="4"/>
            <w:vAlign w:val="center"/>
            <w:hideMark/>
          </w:tcPr>
          <w:p w14:paraId="596B83C1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Acute cerebral infarction</w:t>
            </w:r>
          </w:p>
        </w:tc>
        <w:tc>
          <w:tcPr>
            <w:tcW w:w="2326" w:type="dxa"/>
            <w:gridSpan w:val="2"/>
            <w:vAlign w:val="center"/>
            <w:hideMark/>
          </w:tcPr>
          <w:p w14:paraId="0CAA5A7C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36 (9.6)</w:t>
            </w:r>
          </w:p>
        </w:tc>
      </w:tr>
      <w:tr w:rsidR="00005476" w:rsidRPr="00277C0D" w14:paraId="20949ACD" w14:textId="77777777" w:rsidTr="000E4D68">
        <w:trPr>
          <w:trHeight w:val="336"/>
        </w:trPr>
        <w:tc>
          <w:tcPr>
            <w:tcW w:w="7440" w:type="dxa"/>
            <w:gridSpan w:val="4"/>
            <w:tcBorders>
              <w:bottom w:val="single" w:sz="12" w:space="0" w:color="000000" w:themeColor="text1"/>
            </w:tcBorders>
            <w:vAlign w:val="center"/>
            <w:hideMark/>
          </w:tcPr>
          <w:p w14:paraId="7530060F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Epidural hematoma</w:t>
            </w:r>
          </w:p>
        </w:tc>
        <w:tc>
          <w:tcPr>
            <w:tcW w:w="2326" w:type="dxa"/>
            <w:gridSpan w:val="2"/>
            <w:tcBorders>
              <w:bottom w:val="single" w:sz="12" w:space="0" w:color="000000" w:themeColor="text1"/>
            </w:tcBorders>
            <w:vAlign w:val="center"/>
            <w:hideMark/>
          </w:tcPr>
          <w:p w14:paraId="4E6555AD" w14:textId="77777777" w:rsidR="00005476" w:rsidRPr="00277C0D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77C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31 (8.2)</w:t>
            </w:r>
          </w:p>
        </w:tc>
      </w:tr>
    </w:tbl>
    <w:p w14:paraId="000372DC" w14:textId="77777777" w:rsidR="00005476" w:rsidRDefault="00005476" w:rsidP="00005476">
      <w:pPr>
        <w:rPr>
          <w:rFonts w:ascii="Times New Roman" w:hAnsi="Times New Roman" w:cs="Times New Roman"/>
        </w:rPr>
      </w:pPr>
    </w:p>
    <w:p w14:paraId="1F5A00DF" w14:textId="77777777" w:rsidR="00005476" w:rsidRDefault="00005476" w:rsidP="00005476">
      <w:pPr>
        <w:rPr>
          <w:rFonts w:ascii="Times New Roman" w:hAnsi="Times New Roman" w:cs="Times New Roman"/>
        </w:rPr>
      </w:pPr>
    </w:p>
    <w:p w14:paraId="5AE01F29" w14:textId="77777777" w:rsidR="00005476" w:rsidRPr="00FF1F38" w:rsidRDefault="00005476" w:rsidP="00005476">
      <w:pPr>
        <w:rPr>
          <w:rFonts w:ascii="Times New Roman" w:hAnsi="Times New Roman" w:cs="Times New Roman"/>
          <w:sz w:val="22"/>
          <w:szCs w:val="24"/>
        </w:rPr>
      </w:pPr>
      <w:r w:rsidRPr="00FB6AA6">
        <w:rPr>
          <w:rFonts w:ascii="Times New Roman" w:hAnsi="Times New Roman" w:cs="Times New Roman" w:hint="eastAsia"/>
          <w:b/>
          <w:bCs/>
          <w:sz w:val="22"/>
          <w:szCs w:val="24"/>
        </w:rPr>
        <w:t>Table 2.</w:t>
      </w:r>
      <w:r w:rsidRPr="00FF1F38"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Pr="00FF1F38">
        <w:rPr>
          <w:rFonts w:ascii="Times New Roman" w:hAnsi="Times New Roman" w:cs="Times New Roman"/>
          <w:sz w:val="22"/>
          <w:szCs w:val="24"/>
        </w:rPr>
        <w:t>Preoperative radiological findings by revision status</w:t>
      </w:r>
      <w:r w:rsidRPr="00FF1F38">
        <w:rPr>
          <w:rFonts w:ascii="Times New Roman" w:hAnsi="Times New Roman" w:cs="Times New Roman" w:hint="eastAsia"/>
          <w:sz w:val="22"/>
          <w:szCs w:val="24"/>
        </w:rPr>
        <w:t>.</w:t>
      </w:r>
    </w:p>
    <w:p w14:paraId="63185FBE" w14:textId="77777777" w:rsidR="00005476" w:rsidRDefault="00005476" w:rsidP="00005476">
      <w:pPr>
        <w:rPr>
          <w:rFonts w:ascii="Times New Roman" w:hAnsi="Times New Roman" w:cs="Times New Roman"/>
        </w:rPr>
      </w:pPr>
    </w:p>
    <w:tbl>
      <w:tblPr>
        <w:tblW w:w="9760" w:type="dxa"/>
        <w:tblBorders>
          <w:top w:val="single" w:sz="8" w:space="0" w:color="000000" w:themeColor="text1"/>
          <w:bottom w:val="single" w:sz="8" w:space="0" w:color="000000" w:themeColor="text1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0"/>
        <w:gridCol w:w="1860"/>
        <w:gridCol w:w="2260"/>
        <w:gridCol w:w="1989"/>
        <w:gridCol w:w="971"/>
      </w:tblGrid>
      <w:tr w:rsidR="00005476" w:rsidRPr="0090736C" w14:paraId="6F09B002" w14:textId="77777777" w:rsidTr="000E4D68">
        <w:trPr>
          <w:trHeight w:val="330"/>
        </w:trPr>
        <w:tc>
          <w:tcPr>
            <w:tcW w:w="268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  <w:hideMark/>
          </w:tcPr>
          <w:p w14:paraId="391DD723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Variable</w:t>
            </w:r>
          </w:p>
        </w:tc>
        <w:tc>
          <w:tcPr>
            <w:tcW w:w="18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  <w:hideMark/>
          </w:tcPr>
          <w:p w14:paraId="48D32EC2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No revision (n=324)</w:t>
            </w:r>
          </w:p>
        </w:tc>
        <w:tc>
          <w:tcPr>
            <w:tcW w:w="22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  <w:hideMark/>
          </w:tcPr>
          <w:p w14:paraId="68B5A888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Revision Surgery (n=52)</w:t>
            </w:r>
          </w:p>
        </w:tc>
        <w:tc>
          <w:tcPr>
            <w:tcW w:w="198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  <w:hideMark/>
          </w:tcPr>
          <w:p w14:paraId="1C0F645E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w w:val="90"/>
                <w:kern w:val="0"/>
                <w:szCs w:val="20"/>
              </w:rPr>
            </w:pPr>
            <w:r w:rsidRPr="00181781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w w:val="90"/>
                <w:kern w:val="0"/>
                <w:szCs w:val="20"/>
              </w:rPr>
              <w:t xml:space="preserve"> Odds Ratio (95% CI</w:t>
            </w:r>
            <w:r w:rsidRPr="00277C0D">
              <w:rPr>
                <w:rFonts w:ascii="Times New Roman" w:eastAsia="맑은 고딕" w:hAnsi="Times New Roman" w:cs="Times New Roman"/>
                <w:color w:val="000000"/>
                <w:w w:val="90"/>
                <w:kern w:val="0"/>
                <w:szCs w:val="20"/>
                <w:vertAlign w:val="superscript"/>
              </w:rPr>
              <w:t>†</w:t>
            </w:r>
            <w:r w:rsidRPr="00181781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w w:val="90"/>
                <w:kern w:val="0"/>
                <w:szCs w:val="20"/>
              </w:rPr>
              <w:t>)</w:t>
            </w:r>
          </w:p>
        </w:tc>
        <w:tc>
          <w:tcPr>
            <w:tcW w:w="97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  <w:hideMark/>
          </w:tcPr>
          <w:p w14:paraId="158A2066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P value</w:t>
            </w:r>
          </w:p>
        </w:tc>
      </w:tr>
      <w:tr w:rsidR="00005476" w:rsidRPr="0090736C" w14:paraId="13EEA86D" w14:textId="77777777" w:rsidTr="000E4D68">
        <w:trPr>
          <w:trHeight w:val="738"/>
        </w:trPr>
        <w:tc>
          <w:tcPr>
            <w:tcW w:w="2680" w:type="dxa"/>
            <w:tcBorders>
              <w:top w:val="single" w:sz="8" w:space="0" w:color="000000" w:themeColor="text1"/>
            </w:tcBorders>
            <w:vAlign w:val="center"/>
            <w:hideMark/>
          </w:tcPr>
          <w:p w14:paraId="61B23D74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EM area, mm² (mean ± SD)</w:t>
            </w:r>
          </w:p>
        </w:tc>
        <w:tc>
          <w:tcPr>
            <w:tcW w:w="1860" w:type="dxa"/>
            <w:tcBorders>
              <w:top w:val="single" w:sz="8" w:space="0" w:color="000000" w:themeColor="text1"/>
            </w:tcBorders>
            <w:vAlign w:val="center"/>
            <w:hideMark/>
          </w:tcPr>
          <w:p w14:paraId="0DEC6761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667 ± 620</w:t>
            </w:r>
          </w:p>
        </w:tc>
        <w:tc>
          <w:tcPr>
            <w:tcW w:w="2260" w:type="dxa"/>
            <w:tcBorders>
              <w:top w:val="single" w:sz="8" w:space="0" w:color="000000" w:themeColor="text1"/>
            </w:tcBorders>
            <w:vAlign w:val="center"/>
            <w:hideMark/>
          </w:tcPr>
          <w:p w14:paraId="4146BEB8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1653 ± 1026</w:t>
            </w:r>
          </w:p>
        </w:tc>
        <w:tc>
          <w:tcPr>
            <w:tcW w:w="1989" w:type="dxa"/>
            <w:tcBorders>
              <w:top w:val="single" w:sz="8" w:space="0" w:color="000000" w:themeColor="text1"/>
            </w:tcBorders>
            <w:vAlign w:val="center"/>
            <w:hideMark/>
          </w:tcPr>
          <w:p w14:paraId="520F6173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71" w:type="dxa"/>
            <w:tcBorders>
              <w:top w:val="single" w:sz="8" w:space="0" w:color="000000" w:themeColor="text1"/>
            </w:tcBorders>
            <w:vAlign w:val="center"/>
            <w:hideMark/>
          </w:tcPr>
          <w:p w14:paraId="331A52FE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0.001</w:t>
            </w:r>
            <w:r w:rsidRPr="00181781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*</w:t>
            </w:r>
          </w:p>
        </w:tc>
      </w:tr>
      <w:tr w:rsidR="00005476" w:rsidRPr="0090736C" w14:paraId="3EE616FC" w14:textId="77777777" w:rsidTr="000E4D68">
        <w:trPr>
          <w:trHeight w:val="984"/>
        </w:trPr>
        <w:tc>
          <w:tcPr>
            <w:tcW w:w="2680" w:type="dxa"/>
            <w:vAlign w:val="center"/>
            <w:hideMark/>
          </w:tcPr>
          <w:p w14:paraId="45C02262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EM involving ≥2 lobes, n (%)</w:t>
            </w:r>
          </w:p>
        </w:tc>
        <w:tc>
          <w:tcPr>
            <w:tcW w:w="1860" w:type="dxa"/>
            <w:vAlign w:val="center"/>
            <w:hideMark/>
          </w:tcPr>
          <w:p w14:paraId="76F3D9B2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77 (23.8)</w:t>
            </w:r>
          </w:p>
        </w:tc>
        <w:tc>
          <w:tcPr>
            <w:tcW w:w="2260" w:type="dxa"/>
            <w:vAlign w:val="center"/>
            <w:hideMark/>
          </w:tcPr>
          <w:p w14:paraId="03F3888A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30 (57.7)</w:t>
            </w:r>
          </w:p>
        </w:tc>
        <w:tc>
          <w:tcPr>
            <w:tcW w:w="1989" w:type="dxa"/>
            <w:vAlign w:val="center"/>
            <w:hideMark/>
          </w:tcPr>
          <w:p w14:paraId="30C9C7D0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4.37 (2.38–8.02)</w:t>
            </w:r>
          </w:p>
        </w:tc>
        <w:tc>
          <w:tcPr>
            <w:tcW w:w="971" w:type="dxa"/>
            <w:vAlign w:val="center"/>
            <w:hideMark/>
          </w:tcPr>
          <w:p w14:paraId="48033A73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0.001</w:t>
            </w:r>
          </w:p>
        </w:tc>
      </w:tr>
      <w:tr w:rsidR="00005476" w:rsidRPr="0090736C" w14:paraId="1194A464" w14:textId="77777777" w:rsidTr="000E4D68">
        <w:trPr>
          <w:trHeight w:val="738"/>
        </w:trPr>
        <w:tc>
          <w:tcPr>
            <w:tcW w:w="2680" w:type="dxa"/>
            <w:vAlign w:val="center"/>
            <w:hideMark/>
          </w:tcPr>
          <w:p w14:paraId="1C0C86C8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Sinking skin flap, n (%)</w:t>
            </w:r>
          </w:p>
        </w:tc>
        <w:tc>
          <w:tcPr>
            <w:tcW w:w="1860" w:type="dxa"/>
            <w:vAlign w:val="center"/>
            <w:hideMark/>
          </w:tcPr>
          <w:p w14:paraId="279B7A34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55 (17.0)</w:t>
            </w:r>
          </w:p>
        </w:tc>
        <w:tc>
          <w:tcPr>
            <w:tcW w:w="2260" w:type="dxa"/>
            <w:vAlign w:val="center"/>
            <w:hideMark/>
          </w:tcPr>
          <w:p w14:paraId="12ABE4AD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29 (55.8)</w:t>
            </w:r>
          </w:p>
        </w:tc>
        <w:tc>
          <w:tcPr>
            <w:tcW w:w="1989" w:type="dxa"/>
            <w:vAlign w:val="center"/>
            <w:hideMark/>
          </w:tcPr>
          <w:p w14:paraId="677074C5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6.17 (3.32–11.5)</w:t>
            </w:r>
          </w:p>
        </w:tc>
        <w:tc>
          <w:tcPr>
            <w:tcW w:w="971" w:type="dxa"/>
            <w:vAlign w:val="center"/>
            <w:hideMark/>
          </w:tcPr>
          <w:p w14:paraId="603CA50C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0.001</w:t>
            </w:r>
          </w:p>
        </w:tc>
      </w:tr>
      <w:tr w:rsidR="00005476" w:rsidRPr="0090736C" w14:paraId="6DF25768" w14:textId="77777777" w:rsidTr="000E4D68">
        <w:trPr>
          <w:trHeight w:val="504"/>
        </w:trPr>
        <w:tc>
          <w:tcPr>
            <w:tcW w:w="2680" w:type="dxa"/>
            <w:vAlign w:val="center"/>
            <w:hideMark/>
          </w:tcPr>
          <w:p w14:paraId="0E733A71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Hydrocephalus, n (%)</w:t>
            </w:r>
          </w:p>
        </w:tc>
        <w:tc>
          <w:tcPr>
            <w:tcW w:w="1860" w:type="dxa"/>
            <w:vAlign w:val="center"/>
            <w:hideMark/>
          </w:tcPr>
          <w:p w14:paraId="7595B7AC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63 (19.4)</w:t>
            </w:r>
          </w:p>
        </w:tc>
        <w:tc>
          <w:tcPr>
            <w:tcW w:w="2260" w:type="dxa"/>
            <w:vAlign w:val="center"/>
            <w:hideMark/>
          </w:tcPr>
          <w:p w14:paraId="0BB42B49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24 (46.2)</w:t>
            </w:r>
          </w:p>
        </w:tc>
        <w:tc>
          <w:tcPr>
            <w:tcW w:w="1989" w:type="dxa"/>
            <w:vAlign w:val="center"/>
            <w:hideMark/>
          </w:tcPr>
          <w:p w14:paraId="19ED5548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3.35 (1.93–6.54)</w:t>
            </w:r>
          </w:p>
        </w:tc>
        <w:tc>
          <w:tcPr>
            <w:tcW w:w="971" w:type="dxa"/>
            <w:vAlign w:val="center"/>
            <w:hideMark/>
          </w:tcPr>
          <w:p w14:paraId="40ED62C1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0.001</w:t>
            </w:r>
          </w:p>
        </w:tc>
      </w:tr>
      <w:tr w:rsidR="00005476" w:rsidRPr="0090736C" w14:paraId="50FB1577" w14:textId="77777777" w:rsidTr="000E4D68">
        <w:trPr>
          <w:trHeight w:val="738"/>
        </w:trPr>
        <w:tc>
          <w:tcPr>
            <w:tcW w:w="2680" w:type="dxa"/>
            <w:vAlign w:val="center"/>
            <w:hideMark/>
          </w:tcPr>
          <w:p w14:paraId="0510340F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Subdural hygroma, n (%)</w:t>
            </w:r>
          </w:p>
        </w:tc>
        <w:tc>
          <w:tcPr>
            <w:tcW w:w="1860" w:type="dxa"/>
            <w:vAlign w:val="center"/>
            <w:hideMark/>
          </w:tcPr>
          <w:p w14:paraId="59A9DFEA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20 (6.2)</w:t>
            </w:r>
          </w:p>
        </w:tc>
        <w:tc>
          <w:tcPr>
            <w:tcW w:w="2260" w:type="dxa"/>
            <w:vAlign w:val="center"/>
            <w:hideMark/>
          </w:tcPr>
          <w:p w14:paraId="65000440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 (15.4)</w:t>
            </w:r>
          </w:p>
        </w:tc>
        <w:tc>
          <w:tcPr>
            <w:tcW w:w="1989" w:type="dxa"/>
            <w:vAlign w:val="center"/>
            <w:hideMark/>
          </w:tcPr>
          <w:p w14:paraId="4CAFE8D6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2.76 (1.15–6.65)</w:t>
            </w:r>
          </w:p>
        </w:tc>
        <w:tc>
          <w:tcPr>
            <w:tcW w:w="971" w:type="dxa"/>
            <w:vAlign w:val="center"/>
            <w:hideMark/>
          </w:tcPr>
          <w:p w14:paraId="13842E90" w14:textId="77777777" w:rsidR="00005476" w:rsidRPr="0090736C" w:rsidRDefault="00005476" w:rsidP="000E4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0736C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0.02</w:t>
            </w:r>
          </w:p>
        </w:tc>
      </w:tr>
    </w:tbl>
    <w:p w14:paraId="4B735730" w14:textId="77777777" w:rsidR="00005476" w:rsidRDefault="00005476" w:rsidP="00005476">
      <w:pPr>
        <w:rPr>
          <w:rFonts w:ascii="Times New Roman" w:hAnsi="Times New Roman" w:cs="Times New Roman"/>
        </w:rPr>
      </w:pPr>
    </w:p>
    <w:p w14:paraId="22E4A7ED" w14:textId="77777777" w:rsidR="00005476" w:rsidRDefault="00005476" w:rsidP="000054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*</w:t>
      </w:r>
      <w:r w:rsidRPr="0090736C">
        <w:rPr>
          <w:rFonts w:ascii="Times New Roman" w:hAnsi="Times New Roman" w:cs="Times New Roman"/>
        </w:rPr>
        <w:t>At a cutoff of EM area ≥ 620 mm², the odds of reoperation were significantly higher (OR 14.03, 95% CI 5.43–36.21; p &lt; 0.001; 47/52 vs. 130/324), providing high sensitivity for high-risk patient identification.</w:t>
      </w:r>
      <w:r>
        <w:rPr>
          <w:rFonts w:ascii="Times New Roman" w:hAnsi="Times New Roman" w:cs="Times New Roman" w:hint="eastAsia"/>
        </w:rPr>
        <w:t xml:space="preserve"> </w:t>
      </w:r>
    </w:p>
    <w:p w14:paraId="00797019" w14:textId="2E9E1070" w:rsidR="00264CE6" w:rsidRPr="00005476" w:rsidRDefault="00005476">
      <w:pPr>
        <w:rPr>
          <w:rFonts w:ascii="Times New Roman" w:hAnsi="Times New Roman" w:cs="Times New Roman" w:hint="eastAsia"/>
        </w:rPr>
      </w:pPr>
      <w:r w:rsidRPr="00277C0D">
        <w:rPr>
          <w:rFonts w:ascii="Times New Roman" w:eastAsia="맑은 고딕" w:hAnsi="Times New Roman" w:cs="Times New Roman"/>
          <w:color w:val="000000"/>
          <w:kern w:val="0"/>
          <w:szCs w:val="20"/>
        </w:rPr>
        <w:t>†</w:t>
      </w:r>
      <w:r>
        <w:rPr>
          <w:rFonts w:ascii="Times New Roman" w:eastAsia="맑은 고딕" w:hAnsi="Times New Roman" w:cs="Times New Roman" w:hint="eastAsia"/>
          <w:color w:val="000000"/>
          <w:kern w:val="0"/>
          <w:szCs w:val="20"/>
        </w:rPr>
        <w:t xml:space="preserve">CI: Confidence interval </w:t>
      </w:r>
    </w:p>
    <w:sectPr w:rsidR="00264CE6" w:rsidRPr="0000547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76"/>
    <w:rsid w:val="00005476"/>
    <w:rsid w:val="00264CE6"/>
    <w:rsid w:val="0075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4CF72"/>
  <w15:chartTrackingRefBased/>
  <w15:docId w15:val="{03CC47F4-C5F3-4794-B30B-E15CB6C0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476"/>
    <w:pPr>
      <w:widowControl w:val="0"/>
      <w:wordWrap w:val="0"/>
      <w:autoSpaceDE w:val="0"/>
      <w:autoSpaceDN w:val="0"/>
    </w:pPr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054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5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5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54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54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54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54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54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54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054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054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054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0054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054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054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054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054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054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05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005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5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005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5476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0054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5476"/>
    <w:pPr>
      <w:ind w:left="720"/>
      <w:contextualSpacing/>
    </w:pPr>
    <w:rPr>
      <w14:ligatures w14:val="standardContextual"/>
    </w:rPr>
  </w:style>
  <w:style w:type="character" w:styleId="a7">
    <w:name w:val="Intense Emphasis"/>
    <w:basedOn w:val="a0"/>
    <w:uiPriority w:val="21"/>
    <w:qFormat/>
    <w:rsid w:val="0000547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5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00547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05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Lee</dc:creator>
  <cp:keywords/>
  <dc:description/>
  <cp:lastModifiedBy>Arnold Lee</cp:lastModifiedBy>
  <cp:revision>1</cp:revision>
  <dcterms:created xsi:type="dcterms:W3CDTF">2025-08-10T17:53:00Z</dcterms:created>
  <dcterms:modified xsi:type="dcterms:W3CDTF">2025-08-10T17:54:00Z</dcterms:modified>
</cp:coreProperties>
</file>