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10B7D4E" w14:textId="3BEE1626" w:rsidR="00C50843" w:rsidRDefault="00C50843" w:rsidP="00791892">
      <w:pPr>
        <w:pStyle w:val="Heading2"/>
        <w:spacing w:before="0" w:beforeAutospacing="0" w:after="240" w:afterAutospacing="0" w:line="276" w:lineRule="auto"/>
        <w:rPr>
          <w:sz w:val="24"/>
          <w:szCs w:val="24"/>
        </w:rPr>
      </w:pPr>
      <w:r>
        <w:rPr>
          <w:sz w:val="24"/>
          <w:szCs w:val="24"/>
        </w:rPr>
        <w:t>CARE Check List</w:t>
      </w:r>
    </w:p>
    <w:p w14:paraId="37D4909D" w14:textId="24C510DE" w:rsidR="00C50843" w:rsidRPr="00C50843" w:rsidRDefault="00C50843" w:rsidP="00791892">
      <w:pPr>
        <w:pStyle w:val="Heading2"/>
        <w:spacing w:before="0" w:beforeAutospacing="0" w:after="240" w:afterAutospacing="0" w:line="276" w:lineRule="auto"/>
        <w:rPr>
          <w:sz w:val="24"/>
          <w:szCs w:val="24"/>
        </w:rPr>
      </w:pPr>
      <w:r>
        <w:rPr>
          <w:sz w:val="24"/>
          <w:szCs w:val="24"/>
        </w:rPr>
        <w:t>1. Title</w:t>
      </w:r>
    </w:p>
    <w:p w14:paraId="3CA0830C" w14:textId="72949830" w:rsidR="00770E87" w:rsidRDefault="00770E87" w:rsidP="00791892">
      <w:pPr>
        <w:pStyle w:val="Heading2"/>
        <w:spacing w:before="0" w:beforeAutospacing="0" w:after="240" w:afterAutospacing="0" w:line="276" w:lineRule="auto"/>
        <w:rPr>
          <w:b w:val="0"/>
          <w:bCs w:val="0"/>
          <w:sz w:val="24"/>
          <w:szCs w:val="24"/>
        </w:rPr>
      </w:pPr>
      <w:r w:rsidRPr="00C50843">
        <w:rPr>
          <w:b w:val="0"/>
          <w:bCs w:val="0"/>
          <w:sz w:val="24"/>
          <w:szCs w:val="24"/>
        </w:rPr>
        <w:t>Hemophagocytic Lymphohistiocytosis; A Rare Complication Of Dengue Haemorrhagic</w:t>
      </w:r>
      <w:r w:rsidR="009B6C6A" w:rsidRPr="00C50843">
        <w:rPr>
          <w:b w:val="0"/>
          <w:bCs w:val="0"/>
          <w:sz w:val="24"/>
          <w:szCs w:val="24"/>
        </w:rPr>
        <w:t xml:space="preserve"> </w:t>
      </w:r>
      <w:r w:rsidRPr="00C50843">
        <w:rPr>
          <w:b w:val="0"/>
          <w:bCs w:val="0"/>
          <w:sz w:val="24"/>
          <w:szCs w:val="24"/>
        </w:rPr>
        <w:t>Fever</w:t>
      </w:r>
    </w:p>
    <w:p w14:paraId="499F51BD" w14:textId="71B197DF" w:rsidR="00C50843" w:rsidRDefault="00C50843" w:rsidP="00791892">
      <w:pPr>
        <w:pStyle w:val="Heading2"/>
        <w:spacing w:before="0" w:beforeAutospacing="0" w:after="240" w:afterAutospacing="0" w:line="276" w:lineRule="auto"/>
        <w:rPr>
          <w:b w:val="0"/>
          <w:bCs w:val="0"/>
          <w:sz w:val="24"/>
          <w:szCs w:val="24"/>
        </w:rPr>
      </w:pPr>
      <w:r>
        <w:rPr>
          <w:sz w:val="24"/>
          <w:szCs w:val="24"/>
        </w:rPr>
        <w:t>2. Keywords</w:t>
      </w:r>
    </w:p>
    <w:p w14:paraId="27933104" w14:textId="77777777" w:rsidR="00C50843" w:rsidRDefault="00C50843" w:rsidP="00791892">
      <w:pPr>
        <w:spacing w:after="240" w:line="276" w:lineRule="auto"/>
        <w:rPr>
          <w:rFonts w:ascii="Times New Roman" w:hAnsi="Times New Roman" w:cs="Times New Roman"/>
          <w:sz w:val="24"/>
          <w:szCs w:val="24"/>
        </w:rPr>
      </w:pPr>
      <w:r w:rsidRPr="00E00B7F">
        <w:rPr>
          <w:rFonts w:ascii="Times New Roman" w:hAnsi="Times New Roman" w:cs="Times New Roman"/>
          <w:sz w:val="24"/>
          <w:szCs w:val="24"/>
        </w:rPr>
        <w:t>Hemophagocytic Lymphohistiocytosis,</w:t>
      </w:r>
      <w:r>
        <w:rPr>
          <w:rFonts w:ascii="Times New Roman" w:hAnsi="Times New Roman" w:cs="Times New Roman"/>
          <w:sz w:val="24"/>
          <w:szCs w:val="24"/>
        </w:rPr>
        <w:t xml:space="preserve"> Dengue,</w:t>
      </w:r>
      <w:r w:rsidRPr="00E00B7F">
        <w:rPr>
          <w:rFonts w:ascii="Times New Roman" w:hAnsi="Times New Roman" w:cs="Times New Roman"/>
          <w:sz w:val="24"/>
          <w:szCs w:val="24"/>
        </w:rPr>
        <w:t xml:space="preserve"> Cytopenia, Dexamethasone</w:t>
      </w:r>
    </w:p>
    <w:p w14:paraId="51D20171" w14:textId="6872A5B6" w:rsidR="00770E87" w:rsidRPr="00243765" w:rsidRDefault="00C50843" w:rsidP="00791892">
      <w:pPr>
        <w:spacing w:after="240" w:line="276" w:lineRule="auto"/>
        <w:rPr>
          <w:rFonts w:ascii="Times New Roman" w:hAnsi="Times New Roman" w:cs="Times New Roman"/>
          <w:b/>
          <w:bCs/>
          <w:sz w:val="24"/>
          <w:szCs w:val="24"/>
        </w:rPr>
      </w:pPr>
      <w:r w:rsidRPr="00243765">
        <w:rPr>
          <w:rFonts w:ascii="Times New Roman" w:hAnsi="Times New Roman" w:cs="Times New Roman"/>
          <w:b/>
          <w:bCs/>
          <w:sz w:val="24"/>
          <w:szCs w:val="24"/>
        </w:rPr>
        <w:t xml:space="preserve">3. </w:t>
      </w:r>
      <w:r w:rsidR="00770E87" w:rsidRPr="00243765">
        <w:rPr>
          <w:rFonts w:ascii="Times New Roman" w:hAnsi="Times New Roman" w:cs="Times New Roman"/>
          <w:b/>
          <w:bCs/>
          <w:sz w:val="24"/>
          <w:szCs w:val="24"/>
        </w:rPr>
        <w:t>A</w:t>
      </w:r>
      <w:r w:rsidRPr="00243765">
        <w:rPr>
          <w:rFonts w:ascii="Times New Roman" w:hAnsi="Times New Roman" w:cs="Times New Roman"/>
          <w:b/>
          <w:bCs/>
          <w:sz w:val="24"/>
          <w:szCs w:val="24"/>
        </w:rPr>
        <w:t>bstract</w:t>
      </w:r>
      <w:r w:rsidR="00770E87" w:rsidRPr="00243765">
        <w:rPr>
          <w:rFonts w:ascii="Times New Roman" w:hAnsi="Times New Roman" w:cs="Times New Roman"/>
          <w:b/>
          <w:bCs/>
          <w:sz w:val="24"/>
          <w:szCs w:val="24"/>
        </w:rPr>
        <w:t xml:space="preserve"> </w:t>
      </w:r>
    </w:p>
    <w:p w14:paraId="63A980A6" w14:textId="5AF39D7E" w:rsidR="009D297E" w:rsidRPr="009D297E" w:rsidRDefault="009D297E" w:rsidP="00791892">
      <w:pPr>
        <w:spacing w:after="240" w:line="276" w:lineRule="auto"/>
        <w:rPr>
          <w:rFonts w:ascii="Times New Roman" w:hAnsi="Times New Roman" w:cs="Times New Roman"/>
          <w:b/>
          <w:bCs/>
          <w:sz w:val="24"/>
          <w:szCs w:val="24"/>
        </w:rPr>
      </w:pPr>
      <w:r>
        <w:rPr>
          <w:rFonts w:ascii="Times New Roman" w:hAnsi="Times New Roman" w:cs="Times New Roman"/>
          <w:b/>
          <w:bCs/>
          <w:sz w:val="24"/>
          <w:szCs w:val="24"/>
        </w:rPr>
        <w:t>Introduction</w:t>
      </w:r>
    </w:p>
    <w:p w14:paraId="129432D8" w14:textId="2F69D890" w:rsidR="00412AB4" w:rsidRPr="00E00B7F" w:rsidRDefault="00412AB4" w:rsidP="00412AB4">
      <w:pPr>
        <w:spacing w:after="240" w:line="276" w:lineRule="auto"/>
        <w:rPr>
          <w:rFonts w:ascii="Times New Roman" w:hAnsi="Times New Roman" w:cs="Times New Roman"/>
          <w:sz w:val="24"/>
          <w:szCs w:val="24"/>
        </w:rPr>
      </w:pPr>
      <w:r w:rsidRPr="00EE02FF">
        <w:rPr>
          <w:rFonts w:ascii="Times New Roman" w:hAnsi="Times New Roman" w:cs="Times New Roman"/>
          <w:sz w:val="24"/>
          <w:szCs w:val="24"/>
        </w:rPr>
        <w:t>H</w:t>
      </w:r>
      <w:r>
        <w:rPr>
          <w:rFonts w:ascii="Times New Roman" w:hAnsi="Times New Roman" w:cs="Times New Roman"/>
          <w:sz w:val="24"/>
          <w:szCs w:val="24"/>
        </w:rPr>
        <w:t>aemophagocytic Lymphohistiocytosis (HLH)</w:t>
      </w:r>
      <w:r w:rsidRPr="00EE02FF">
        <w:rPr>
          <w:rFonts w:ascii="Times New Roman" w:hAnsi="Times New Roman" w:cs="Times New Roman"/>
          <w:sz w:val="24"/>
          <w:szCs w:val="24"/>
        </w:rPr>
        <w:t xml:space="preserve"> is an uncommon systemic inflammatory clinical syndrome associated with numerous conditions</w:t>
      </w:r>
      <w:r>
        <w:rPr>
          <w:rFonts w:ascii="Times New Roman" w:hAnsi="Times New Roman" w:cs="Times New Roman"/>
          <w:sz w:val="24"/>
          <w:szCs w:val="24"/>
        </w:rPr>
        <w:t xml:space="preserve"> and a rare complication of dengue</w:t>
      </w:r>
      <w:r w:rsidRPr="00E00B7F">
        <w:rPr>
          <w:rFonts w:ascii="Times New Roman" w:hAnsi="Times New Roman" w:cs="Times New Roman"/>
          <w:sz w:val="24"/>
          <w:szCs w:val="24"/>
        </w:rPr>
        <w:t xml:space="preserve"> associated with significant mortality</w:t>
      </w:r>
      <w:r>
        <w:rPr>
          <w:rFonts w:ascii="Times New Roman" w:hAnsi="Times New Roman" w:cs="Times New Roman"/>
          <w:sz w:val="24"/>
          <w:szCs w:val="24"/>
        </w:rPr>
        <w:t xml:space="preserve"> and morbidity even with appropriate treatment. The outcome is further poor</w:t>
      </w:r>
      <w:r w:rsidRPr="00E00B7F">
        <w:rPr>
          <w:rFonts w:ascii="Times New Roman" w:hAnsi="Times New Roman" w:cs="Times New Roman"/>
          <w:sz w:val="24"/>
          <w:szCs w:val="24"/>
        </w:rPr>
        <w:t xml:space="preserve"> if </w:t>
      </w:r>
      <w:r>
        <w:rPr>
          <w:rFonts w:ascii="Times New Roman" w:hAnsi="Times New Roman" w:cs="Times New Roman"/>
          <w:sz w:val="24"/>
          <w:szCs w:val="24"/>
        </w:rPr>
        <w:t xml:space="preserve">the </w:t>
      </w:r>
      <w:r w:rsidRPr="00E00B7F">
        <w:rPr>
          <w:rFonts w:ascii="Times New Roman" w:hAnsi="Times New Roman" w:cs="Times New Roman"/>
          <w:sz w:val="24"/>
          <w:szCs w:val="24"/>
        </w:rPr>
        <w:t xml:space="preserve">diagnosis is delayed or left untreated. </w:t>
      </w:r>
      <w:r>
        <w:rPr>
          <w:rFonts w:ascii="Times New Roman" w:hAnsi="Times New Roman" w:cs="Times New Roman"/>
          <w:sz w:val="24"/>
          <w:szCs w:val="24"/>
        </w:rPr>
        <w:t>Therefore a h</w:t>
      </w:r>
      <w:r w:rsidRPr="00E00B7F">
        <w:rPr>
          <w:rFonts w:ascii="Times New Roman" w:hAnsi="Times New Roman" w:cs="Times New Roman"/>
          <w:sz w:val="24"/>
          <w:szCs w:val="24"/>
        </w:rPr>
        <w:t xml:space="preserve">igh degree of clinical suspicion is paramount in </w:t>
      </w:r>
      <w:r>
        <w:rPr>
          <w:rFonts w:ascii="Times New Roman" w:hAnsi="Times New Roman" w:cs="Times New Roman"/>
          <w:sz w:val="24"/>
          <w:szCs w:val="24"/>
        </w:rPr>
        <w:t xml:space="preserve">the </w:t>
      </w:r>
      <w:r w:rsidRPr="00E00B7F">
        <w:rPr>
          <w:rFonts w:ascii="Times New Roman" w:hAnsi="Times New Roman" w:cs="Times New Roman"/>
          <w:sz w:val="24"/>
          <w:szCs w:val="24"/>
        </w:rPr>
        <w:t>diagnosis</w:t>
      </w:r>
      <w:r>
        <w:rPr>
          <w:rFonts w:ascii="Times New Roman" w:hAnsi="Times New Roman" w:cs="Times New Roman"/>
          <w:sz w:val="24"/>
          <w:szCs w:val="24"/>
        </w:rPr>
        <w:t xml:space="preserve"> of HLH,</w:t>
      </w:r>
      <w:r w:rsidRPr="00E00B7F">
        <w:rPr>
          <w:rFonts w:ascii="Times New Roman" w:hAnsi="Times New Roman" w:cs="Times New Roman"/>
          <w:sz w:val="24"/>
          <w:szCs w:val="24"/>
        </w:rPr>
        <w:t xml:space="preserve"> especially in</w:t>
      </w:r>
      <w:r>
        <w:rPr>
          <w:rFonts w:ascii="Times New Roman" w:hAnsi="Times New Roman" w:cs="Times New Roman"/>
          <w:sz w:val="24"/>
          <w:szCs w:val="24"/>
        </w:rPr>
        <w:t xml:space="preserve"> an </w:t>
      </w:r>
      <w:r w:rsidRPr="00E00B7F">
        <w:rPr>
          <w:rFonts w:ascii="Times New Roman" w:hAnsi="Times New Roman" w:cs="Times New Roman"/>
          <w:sz w:val="24"/>
          <w:szCs w:val="24"/>
        </w:rPr>
        <w:t xml:space="preserve">atypical </w:t>
      </w:r>
      <w:r>
        <w:rPr>
          <w:rFonts w:ascii="Times New Roman" w:hAnsi="Times New Roman" w:cs="Times New Roman"/>
          <w:sz w:val="24"/>
          <w:szCs w:val="24"/>
        </w:rPr>
        <w:t>presentation of dengue infection.</w:t>
      </w:r>
    </w:p>
    <w:p w14:paraId="7672F84E" w14:textId="6C8916E1" w:rsidR="009D297E" w:rsidRPr="009D297E" w:rsidRDefault="009D297E" w:rsidP="00791892">
      <w:pPr>
        <w:spacing w:after="240" w:line="276" w:lineRule="auto"/>
        <w:rPr>
          <w:rFonts w:ascii="Times New Roman" w:hAnsi="Times New Roman" w:cs="Times New Roman"/>
          <w:b/>
          <w:bCs/>
          <w:sz w:val="24"/>
          <w:szCs w:val="24"/>
        </w:rPr>
      </w:pPr>
      <w:r>
        <w:rPr>
          <w:rFonts w:ascii="Times New Roman" w:hAnsi="Times New Roman" w:cs="Times New Roman"/>
          <w:b/>
          <w:bCs/>
          <w:sz w:val="24"/>
          <w:szCs w:val="24"/>
        </w:rPr>
        <w:t>Case Presentation</w:t>
      </w:r>
    </w:p>
    <w:p w14:paraId="3D905A33" w14:textId="42D5B88B" w:rsidR="009D297E" w:rsidRDefault="00770E87" w:rsidP="00791892">
      <w:pPr>
        <w:spacing w:after="240" w:line="276" w:lineRule="auto"/>
        <w:rPr>
          <w:rFonts w:ascii="Times New Roman" w:hAnsi="Times New Roman" w:cs="Times New Roman"/>
          <w:sz w:val="24"/>
          <w:szCs w:val="24"/>
        </w:rPr>
      </w:pPr>
      <w:r w:rsidRPr="00E00B7F">
        <w:rPr>
          <w:rFonts w:ascii="Times New Roman" w:hAnsi="Times New Roman" w:cs="Times New Roman"/>
          <w:sz w:val="24"/>
          <w:szCs w:val="24"/>
        </w:rPr>
        <w:t xml:space="preserve">A 17-year-old boy with </w:t>
      </w:r>
      <w:r w:rsidR="009D297E">
        <w:rPr>
          <w:rFonts w:ascii="Times New Roman" w:hAnsi="Times New Roman" w:cs="Times New Roman"/>
          <w:sz w:val="24"/>
          <w:szCs w:val="24"/>
        </w:rPr>
        <w:t>a non-significant past medical history admitted with a four-day history of fever, headache, nausea, vomiting,</w:t>
      </w:r>
      <w:r w:rsidRPr="00E00B7F">
        <w:rPr>
          <w:rFonts w:ascii="Times New Roman" w:hAnsi="Times New Roman" w:cs="Times New Roman"/>
          <w:sz w:val="24"/>
          <w:szCs w:val="24"/>
        </w:rPr>
        <w:t xml:space="preserve"> and loose stool. On admission</w:t>
      </w:r>
      <w:r w:rsidR="009D297E">
        <w:rPr>
          <w:rFonts w:ascii="Times New Roman" w:hAnsi="Times New Roman" w:cs="Times New Roman"/>
          <w:sz w:val="24"/>
          <w:szCs w:val="24"/>
        </w:rPr>
        <w:t>,</w:t>
      </w:r>
      <w:r w:rsidRPr="00E00B7F">
        <w:rPr>
          <w:rFonts w:ascii="Times New Roman" w:hAnsi="Times New Roman" w:cs="Times New Roman"/>
          <w:sz w:val="24"/>
          <w:szCs w:val="24"/>
        </w:rPr>
        <w:t xml:space="preserve"> he was hemodynamically stable and managed as serologically confirmed dengue fever. On the 5</w:t>
      </w:r>
      <w:r w:rsidRPr="00E00B7F">
        <w:rPr>
          <w:rFonts w:ascii="Times New Roman" w:hAnsi="Times New Roman" w:cs="Times New Roman"/>
          <w:sz w:val="24"/>
          <w:szCs w:val="24"/>
          <w:vertAlign w:val="superscript"/>
        </w:rPr>
        <w:t>th</w:t>
      </w:r>
      <w:r w:rsidRPr="00E00B7F">
        <w:rPr>
          <w:rFonts w:ascii="Times New Roman" w:hAnsi="Times New Roman" w:cs="Times New Roman"/>
          <w:sz w:val="24"/>
          <w:szCs w:val="24"/>
        </w:rPr>
        <w:t xml:space="preserve"> day of fever</w:t>
      </w:r>
      <w:r w:rsidR="009D297E">
        <w:rPr>
          <w:rFonts w:ascii="Times New Roman" w:hAnsi="Times New Roman" w:cs="Times New Roman"/>
          <w:sz w:val="24"/>
          <w:szCs w:val="24"/>
        </w:rPr>
        <w:t>,</w:t>
      </w:r>
      <w:r w:rsidRPr="00E00B7F">
        <w:rPr>
          <w:rFonts w:ascii="Times New Roman" w:hAnsi="Times New Roman" w:cs="Times New Roman"/>
          <w:sz w:val="24"/>
          <w:szCs w:val="24"/>
        </w:rPr>
        <w:t xml:space="preserve"> he entered the critical phase</w:t>
      </w:r>
      <w:r w:rsidR="009D297E">
        <w:rPr>
          <w:rFonts w:ascii="Times New Roman" w:hAnsi="Times New Roman" w:cs="Times New Roman"/>
          <w:sz w:val="24"/>
          <w:szCs w:val="24"/>
        </w:rPr>
        <w:t>,</w:t>
      </w:r>
      <w:r w:rsidRPr="00E00B7F">
        <w:rPr>
          <w:rFonts w:ascii="Times New Roman" w:hAnsi="Times New Roman" w:cs="Times New Roman"/>
          <w:sz w:val="24"/>
          <w:szCs w:val="24"/>
        </w:rPr>
        <w:t xml:space="preserve"> which was uncomplicated except </w:t>
      </w:r>
      <w:r w:rsidR="009D297E">
        <w:rPr>
          <w:rFonts w:ascii="Times New Roman" w:hAnsi="Times New Roman" w:cs="Times New Roman"/>
          <w:sz w:val="24"/>
          <w:szCs w:val="24"/>
        </w:rPr>
        <w:t>for</w:t>
      </w:r>
      <w:r w:rsidRPr="00E00B7F">
        <w:rPr>
          <w:rFonts w:ascii="Times New Roman" w:hAnsi="Times New Roman" w:cs="Times New Roman"/>
          <w:sz w:val="24"/>
          <w:szCs w:val="24"/>
        </w:rPr>
        <w:t xml:space="preserve"> high fever spicks. Even after the critical phase was over, he had ongoing high fever spicks, hepatosplenomegaly with persistent thrombocytopenia, neutropenia and </w:t>
      </w:r>
      <w:r w:rsidR="009D297E">
        <w:rPr>
          <w:rFonts w:ascii="Times New Roman" w:hAnsi="Times New Roman" w:cs="Times New Roman"/>
          <w:sz w:val="24"/>
          <w:szCs w:val="24"/>
        </w:rPr>
        <w:t>anaemia</w:t>
      </w:r>
      <w:r w:rsidRPr="00E00B7F">
        <w:rPr>
          <w:rFonts w:ascii="Times New Roman" w:hAnsi="Times New Roman" w:cs="Times New Roman"/>
          <w:sz w:val="24"/>
          <w:szCs w:val="24"/>
        </w:rPr>
        <w:t>. Serum ferritin level was</w:t>
      </w:r>
      <w:r w:rsidR="00243765">
        <w:rPr>
          <w:rFonts w:ascii="Times New Roman" w:hAnsi="Times New Roman" w:cs="Times New Roman"/>
          <w:sz w:val="24"/>
          <w:szCs w:val="24"/>
        </w:rPr>
        <w:t xml:space="preserve"> &gt;</w:t>
      </w:r>
      <w:r w:rsidRPr="00E00B7F">
        <w:rPr>
          <w:rFonts w:ascii="Times New Roman" w:hAnsi="Times New Roman" w:cs="Times New Roman"/>
          <w:sz w:val="24"/>
          <w:szCs w:val="24"/>
        </w:rPr>
        <w:t xml:space="preserve"> 3000</w:t>
      </w:r>
      <w:r w:rsidR="00412AB4">
        <w:rPr>
          <w:rFonts w:ascii="Times New Roman" w:hAnsi="Times New Roman" w:cs="Times New Roman"/>
          <w:sz w:val="24"/>
          <w:szCs w:val="24"/>
        </w:rPr>
        <w:t xml:space="preserve"> </w:t>
      </w:r>
      <w:r w:rsidRPr="00E00B7F">
        <w:rPr>
          <w:rFonts w:ascii="Times New Roman" w:hAnsi="Times New Roman" w:cs="Times New Roman"/>
          <w:sz w:val="24"/>
          <w:szCs w:val="24"/>
        </w:rPr>
        <w:t>ng/ml</w:t>
      </w:r>
      <w:r w:rsidR="009D297E">
        <w:rPr>
          <w:rFonts w:ascii="Times New Roman" w:hAnsi="Times New Roman" w:cs="Times New Roman"/>
          <w:sz w:val="24"/>
          <w:szCs w:val="24"/>
        </w:rPr>
        <w:t>,</w:t>
      </w:r>
      <w:r w:rsidRPr="00E00B7F">
        <w:rPr>
          <w:rFonts w:ascii="Times New Roman" w:hAnsi="Times New Roman" w:cs="Times New Roman"/>
          <w:sz w:val="24"/>
          <w:szCs w:val="24"/>
        </w:rPr>
        <w:t xml:space="preserve"> while the</w:t>
      </w:r>
      <w:r w:rsidR="009D297E">
        <w:rPr>
          <w:rFonts w:ascii="Times New Roman" w:hAnsi="Times New Roman" w:cs="Times New Roman"/>
          <w:sz w:val="24"/>
          <w:szCs w:val="24"/>
        </w:rPr>
        <w:t xml:space="preserve"> </w:t>
      </w:r>
      <w:r w:rsidRPr="00E00B7F">
        <w:rPr>
          <w:rFonts w:ascii="Times New Roman" w:hAnsi="Times New Roman" w:cs="Times New Roman"/>
          <w:sz w:val="24"/>
          <w:szCs w:val="24"/>
        </w:rPr>
        <w:t>triglyceride level was 314</w:t>
      </w:r>
      <w:r w:rsidR="009D297E">
        <w:rPr>
          <w:rFonts w:ascii="Times New Roman" w:hAnsi="Times New Roman" w:cs="Times New Roman"/>
          <w:sz w:val="24"/>
          <w:szCs w:val="24"/>
        </w:rPr>
        <w:t xml:space="preserve"> </w:t>
      </w:r>
      <w:r w:rsidRPr="00E00B7F">
        <w:rPr>
          <w:rFonts w:ascii="Times New Roman" w:hAnsi="Times New Roman" w:cs="Times New Roman"/>
          <w:sz w:val="24"/>
          <w:szCs w:val="24"/>
        </w:rPr>
        <w:t xml:space="preserve">mg/dl. Bone marrow biopsy revealed an increased haemophagocytic activity. Secondary HLH was diagnosed based on criteria used in </w:t>
      </w:r>
      <w:r w:rsidR="009D297E">
        <w:rPr>
          <w:rFonts w:ascii="Times New Roman" w:hAnsi="Times New Roman" w:cs="Times New Roman"/>
          <w:sz w:val="24"/>
          <w:szCs w:val="24"/>
        </w:rPr>
        <w:t xml:space="preserve">the </w:t>
      </w:r>
      <w:r w:rsidRPr="00E00B7F">
        <w:rPr>
          <w:rFonts w:ascii="Times New Roman" w:hAnsi="Times New Roman" w:cs="Times New Roman"/>
          <w:sz w:val="24"/>
          <w:szCs w:val="24"/>
        </w:rPr>
        <w:t>HLH-2004 trial and successfully managed with intravenous dexamethasone 10</w:t>
      </w:r>
      <w:r w:rsidR="00412AB4">
        <w:rPr>
          <w:rFonts w:ascii="Times New Roman" w:hAnsi="Times New Roman" w:cs="Times New Roman"/>
          <w:sz w:val="24"/>
          <w:szCs w:val="24"/>
        </w:rPr>
        <w:t xml:space="preserve"> </w:t>
      </w:r>
      <w:r w:rsidRPr="00E00B7F">
        <w:rPr>
          <w:rFonts w:ascii="Times New Roman" w:hAnsi="Times New Roman" w:cs="Times New Roman"/>
          <w:sz w:val="24"/>
          <w:szCs w:val="24"/>
        </w:rPr>
        <w:t>mg</w:t>
      </w:r>
      <w:r w:rsidR="00412AB4">
        <w:rPr>
          <w:rFonts w:ascii="Times New Roman" w:hAnsi="Times New Roman" w:cs="Times New Roman"/>
          <w:sz w:val="24"/>
          <w:szCs w:val="24"/>
        </w:rPr>
        <w:t>/</w:t>
      </w:r>
      <w:r w:rsidRPr="00E00B7F">
        <w:rPr>
          <w:rFonts w:ascii="Times New Roman" w:hAnsi="Times New Roman" w:cs="Times New Roman"/>
          <w:sz w:val="24"/>
          <w:szCs w:val="24"/>
        </w:rPr>
        <w:t xml:space="preserve">body surface area/day for </w:t>
      </w:r>
      <w:r w:rsidR="009D297E">
        <w:rPr>
          <w:rFonts w:ascii="Times New Roman" w:hAnsi="Times New Roman" w:cs="Times New Roman"/>
          <w:sz w:val="24"/>
          <w:szCs w:val="24"/>
        </w:rPr>
        <w:t xml:space="preserve">the </w:t>
      </w:r>
      <w:r w:rsidRPr="00E00B7F">
        <w:rPr>
          <w:rFonts w:ascii="Times New Roman" w:hAnsi="Times New Roman" w:cs="Times New Roman"/>
          <w:sz w:val="24"/>
          <w:szCs w:val="24"/>
        </w:rPr>
        <w:t xml:space="preserve">first </w:t>
      </w:r>
      <w:r w:rsidR="009D297E">
        <w:rPr>
          <w:rFonts w:ascii="Times New Roman" w:hAnsi="Times New Roman" w:cs="Times New Roman"/>
          <w:sz w:val="24"/>
          <w:szCs w:val="24"/>
        </w:rPr>
        <w:t>two</w:t>
      </w:r>
      <w:r w:rsidRPr="00E00B7F">
        <w:rPr>
          <w:rFonts w:ascii="Times New Roman" w:hAnsi="Times New Roman" w:cs="Times New Roman"/>
          <w:sz w:val="24"/>
          <w:szCs w:val="24"/>
        </w:rPr>
        <w:t xml:space="preserve"> weeks followed by tapering of course over </w:t>
      </w:r>
      <w:r w:rsidR="009D297E">
        <w:rPr>
          <w:rFonts w:ascii="Times New Roman" w:hAnsi="Times New Roman" w:cs="Times New Roman"/>
          <w:sz w:val="24"/>
          <w:szCs w:val="24"/>
        </w:rPr>
        <w:t>eight</w:t>
      </w:r>
      <w:r w:rsidRPr="00E00B7F">
        <w:rPr>
          <w:rFonts w:ascii="Times New Roman" w:hAnsi="Times New Roman" w:cs="Times New Roman"/>
          <w:sz w:val="24"/>
          <w:szCs w:val="24"/>
        </w:rPr>
        <w:t xml:space="preserve"> weeks.</w:t>
      </w:r>
    </w:p>
    <w:p w14:paraId="0AE3F981" w14:textId="65387E02" w:rsidR="009D297E" w:rsidRPr="009D297E" w:rsidRDefault="009D297E" w:rsidP="00791892">
      <w:pPr>
        <w:spacing w:after="240" w:line="276" w:lineRule="auto"/>
        <w:rPr>
          <w:rFonts w:ascii="Times New Roman" w:hAnsi="Times New Roman" w:cs="Times New Roman"/>
          <w:b/>
          <w:bCs/>
          <w:sz w:val="24"/>
          <w:szCs w:val="24"/>
        </w:rPr>
      </w:pPr>
      <w:r>
        <w:rPr>
          <w:rFonts w:ascii="Times New Roman" w:hAnsi="Times New Roman" w:cs="Times New Roman"/>
          <w:b/>
          <w:bCs/>
          <w:sz w:val="24"/>
          <w:szCs w:val="24"/>
        </w:rPr>
        <w:t>Conclusion</w:t>
      </w:r>
    </w:p>
    <w:p w14:paraId="008E1DCD" w14:textId="3B955F57" w:rsidR="00770E87" w:rsidRPr="00E00B7F" w:rsidRDefault="00770E87" w:rsidP="00791892">
      <w:pPr>
        <w:spacing w:after="240" w:line="276" w:lineRule="auto"/>
        <w:rPr>
          <w:rFonts w:ascii="Times New Roman" w:hAnsi="Times New Roman" w:cs="Times New Roman"/>
          <w:sz w:val="24"/>
          <w:szCs w:val="24"/>
        </w:rPr>
      </w:pPr>
      <w:r w:rsidRPr="00E00B7F">
        <w:rPr>
          <w:rFonts w:ascii="Times New Roman" w:hAnsi="Times New Roman" w:cs="Times New Roman"/>
          <w:sz w:val="24"/>
          <w:szCs w:val="24"/>
        </w:rPr>
        <w:t xml:space="preserve">Though this is a rare complication, </w:t>
      </w:r>
      <w:r w:rsidR="009D297E">
        <w:rPr>
          <w:rFonts w:ascii="Times New Roman" w:hAnsi="Times New Roman" w:cs="Times New Roman"/>
          <w:sz w:val="24"/>
          <w:szCs w:val="24"/>
        </w:rPr>
        <w:t xml:space="preserve">the </w:t>
      </w:r>
      <w:r w:rsidRPr="00E00B7F">
        <w:rPr>
          <w:rFonts w:ascii="Times New Roman" w:hAnsi="Times New Roman" w:cs="Times New Roman"/>
          <w:sz w:val="24"/>
          <w:szCs w:val="24"/>
        </w:rPr>
        <w:t>clinician must suspect HLH in expanded dengue syndrome complicated with ongoing fever, splenomegaly with cytopenias</w:t>
      </w:r>
      <w:r w:rsidR="009D297E">
        <w:rPr>
          <w:rFonts w:ascii="Times New Roman" w:hAnsi="Times New Roman" w:cs="Times New Roman"/>
          <w:sz w:val="24"/>
          <w:szCs w:val="24"/>
        </w:rPr>
        <w:t>, and</w:t>
      </w:r>
      <w:r w:rsidRPr="00E00B7F">
        <w:rPr>
          <w:rFonts w:ascii="Times New Roman" w:hAnsi="Times New Roman" w:cs="Times New Roman"/>
          <w:sz w:val="24"/>
          <w:szCs w:val="24"/>
        </w:rPr>
        <w:t xml:space="preserve"> necessary investigations to establish </w:t>
      </w:r>
      <w:r w:rsidR="009D297E">
        <w:rPr>
          <w:rFonts w:ascii="Times New Roman" w:hAnsi="Times New Roman" w:cs="Times New Roman"/>
          <w:sz w:val="24"/>
          <w:szCs w:val="24"/>
        </w:rPr>
        <w:t xml:space="preserve">a </w:t>
      </w:r>
      <w:r w:rsidRPr="00E00B7F">
        <w:rPr>
          <w:rFonts w:ascii="Times New Roman" w:hAnsi="Times New Roman" w:cs="Times New Roman"/>
          <w:sz w:val="24"/>
          <w:szCs w:val="24"/>
        </w:rPr>
        <w:t>firm diagnosis. Early treatments will result in promising outcomes while preventing complications and reducing mortality.</w:t>
      </w:r>
    </w:p>
    <w:p w14:paraId="6AD0F4B2" w14:textId="517EC409" w:rsidR="00770E87" w:rsidRPr="00E00B7F" w:rsidRDefault="00C50843" w:rsidP="00791892">
      <w:pPr>
        <w:spacing w:after="240" w:line="276" w:lineRule="auto"/>
        <w:rPr>
          <w:rFonts w:ascii="Times New Roman" w:hAnsi="Times New Roman" w:cs="Times New Roman"/>
          <w:b/>
          <w:sz w:val="24"/>
          <w:szCs w:val="24"/>
        </w:rPr>
      </w:pPr>
      <w:r>
        <w:rPr>
          <w:rFonts w:ascii="Times New Roman" w:hAnsi="Times New Roman" w:cs="Times New Roman"/>
          <w:b/>
          <w:sz w:val="24"/>
          <w:szCs w:val="24"/>
        </w:rPr>
        <w:t xml:space="preserve">4. </w:t>
      </w:r>
      <w:r w:rsidR="00770E87" w:rsidRPr="00E00B7F">
        <w:rPr>
          <w:rFonts w:ascii="Times New Roman" w:hAnsi="Times New Roman" w:cs="Times New Roman"/>
          <w:b/>
          <w:sz w:val="24"/>
          <w:szCs w:val="24"/>
        </w:rPr>
        <w:t>Introduction</w:t>
      </w:r>
    </w:p>
    <w:p w14:paraId="6D484E9E" w14:textId="7380D5BC" w:rsidR="00770E87" w:rsidRPr="00E00B7F" w:rsidRDefault="00EE02FF" w:rsidP="00791892">
      <w:pPr>
        <w:spacing w:after="240" w:line="276" w:lineRule="auto"/>
        <w:rPr>
          <w:rFonts w:ascii="Times New Roman" w:hAnsi="Times New Roman" w:cs="Times New Roman"/>
          <w:sz w:val="24"/>
          <w:szCs w:val="24"/>
        </w:rPr>
      </w:pPr>
      <w:r w:rsidRPr="00EE02FF">
        <w:rPr>
          <w:rFonts w:ascii="Times New Roman" w:hAnsi="Times New Roman" w:cs="Times New Roman"/>
          <w:sz w:val="24"/>
          <w:szCs w:val="24"/>
        </w:rPr>
        <w:t>H</w:t>
      </w:r>
      <w:r>
        <w:rPr>
          <w:rFonts w:ascii="Times New Roman" w:hAnsi="Times New Roman" w:cs="Times New Roman"/>
          <w:sz w:val="24"/>
          <w:szCs w:val="24"/>
        </w:rPr>
        <w:t>aemophagocytic Lymphohistiocytosis (HLH)</w:t>
      </w:r>
      <w:r w:rsidRPr="00EE02FF">
        <w:rPr>
          <w:rFonts w:ascii="Times New Roman" w:hAnsi="Times New Roman" w:cs="Times New Roman"/>
          <w:sz w:val="24"/>
          <w:szCs w:val="24"/>
        </w:rPr>
        <w:t xml:space="preserve">, also known as </w:t>
      </w:r>
      <w:r>
        <w:rPr>
          <w:rFonts w:ascii="Times New Roman" w:hAnsi="Times New Roman" w:cs="Times New Roman"/>
          <w:sz w:val="24"/>
          <w:szCs w:val="24"/>
        </w:rPr>
        <w:t xml:space="preserve">the </w:t>
      </w:r>
      <w:r w:rsidRPr="00EE02FF">
        <w:rPr>
          <w:rFonts w:ascii="Times New Roman" w:hAnsi="Times New Roman" w:cs="Times New Roman"/>
          <w:sz w:val="24"/>
          <w:szCs w:val="24"/>
        </w:rPr>
        <w:t xml:space="preserve">hemophagocytic syndrome, is an uncommon systemic inflammatory clinical syndrome associated with numerous conditions, </w:t>
      </w:r>
      <w:r w:rsidRPr="00EE02FF">
        <w:rPr>
          <w:rFonts w:ascii="Times New Roman" w:hAnsi="Times New Roman" w:cs="Times New Roman"/>
          <w:sz w:val="24"/>
          <w:szCs w:val="24"/>
        </w:rPr>
        <w:lastRenderedPageBreak/>
        <w:t>such as neoplastic, infectious, autoimmune, or hereditary diseases</w:t>
      </w:r>
      <w:r>
        <w:rPr>
          <w:rFonts w:ascii="Times New Roman" w:hAnsi="Times New Roman" w:cs="Times New Roman"/>
          <w:sz w:val="24"/>
          <w:szCs w:val="24"/>
        </w:rPr>
        <w:t xml:space="preserve"> </w:t>
      </w:r>
      <w:r>
        <w:rPr>
          <w:rFonts w:ascii="Times New Roman" w:hAnsi="Times New Roman" w:cs="Times New Roman"/>
          <w:sz w:val="24"/>
          <w:szCs w:val="24"/>
        </w:rPr>
        <w:fldChar w:fldCharType="begin" w:fldLock="1"/>
      </w:r>
      <w:r w:rsidR="00DF6B0D">
        <w:rPr>
          <w:rFonts w:ascii="Times New Roman" w:hAnsi="Times New Roman" w:cs="Times New Roman"/>
          <w:sz w:val="24"/>
          <w:szCs w:val="24"/>
        </w:rPr>
        <w:instrText>ADDIN CSL_CITATION {"citationItems":[{"id":"ITEM-1","itemData":{"DOI":"10.1309/AJCP4ZDKJ4ICOUAT","ISSN":"00029173","PMID":"23690113","abstract":"Hemophagocytic lymphohistiocytosis (HLH) is a frequently fatal and likely underdiagnosed disease involving a final common pathway of hypercytokinemia, which can result in end-organ damage and death. Although an early diagnosis is crucial to decrease mortality, the definitive diagnosis is often challenging because of the lack of specificity of currently accepted diagnostic criteria and the absence of confirmatory gold standards. Because of the wide range of laboratory assays involved in the diagnosis of HLH, practicing pathologists from a broad spectrum of clinical specialties need to be aware of the disease so that they may appropriately flag results and convey them to their clinical counterparts. Our article summarizes these new advances in the diagnosis of HLH and includes a review of clinical findings, updated understanding of the pathogenesis, and promising new testing methods. © American Society for Clinical Pathology.","author":[{"dropping-particle":"","family":"Rosado","given":"Flavia G.N.","non-dropping-particle":"","parse-names":false,"suffix":""},{"dropping-particle":"","family":"Kim","given":"Annette S.","non-dropping-particle":"","parse-names":false,"suffix":""}],"container-title":"American Journal of Clinical Pathology","id":"ITEM-1","issue":"6","issued":{"date-parts":[["2013"]]},"page":"713-727","title":"Hemophagocytic lymphohistiocytosis","type":"article-journal","volume":"139"},"uris":["http://www.mendeley.com/documents/?uuid=57a27a0f-3eab-45e4-a20b-1b9a78843fe8"]}],"mendeley":{"formattedCitation":"[1]","plainTextFormattedCitation":"[1]","previouslyFormattedCitation":"&lt;sup&gt;1&lt;/sup&gt;"},"properties":{"noteIndex":0},"schema":"https://github.com/citation-style-language/schema/raw/master/csl-citation.json"}</w:instrText>
      </w:r>
      <w:r>
        <w:rPr>
          <w:rFonts w:ascii="Times New Roman" w:hAnsi="Times New Roman" w:cs="Times New Roman"/>
          <w:sz w:val="24"/>
          <w:szCs w:val="24"/>
        </w:rPr>
        <w:fldChar w:fldCharType="separate"/>
      </w:r>
      <w:r w:rsidR="00DF6B0D" w:rsidRPr="00DF6B0D">
        <w:rPr>
          <w:rFonts w:ascii="Times New Roman" w:hAnsi="Times New Roman" w:cs="Times New Roman"/>
          <w:noProof/>
          <w:sz w:val="24"/>
          <w:szCs w:val="24"/>
        </w:rPr>
        <w:t>[1]</w:t>
      </w:r>
      <w:r>
        <w:rPr>
          <w:rFonts w:ascii="Times New Roman" w:hAnsi="Times New Roman" w:cs="Times New Roman"/>
          <w:sz w:val="24"/>
          <w:szCs w:val="24"/>
        </w:rPr>
        <w:fldChar w:fldCharType="end"/>
      </w:r>
      <w:r w:rsidRPr="00EE02FF">
        <w:rPr>
          <w:rFonts w:ascii="Times New Roman" w:hAnsi="Times New Roman" w:cs="Times New Roman"/>
          <w:sz w:val="24"/>
          <w:szCs w:val="24"/>
        </w:rPr>
        <w:t>.</w:t>
      </w:r>
      <w:r>
        <w:rPr>
          <w:rFonts w:ascii="Times New Roman" w:hAnsi="Times New Roman" w:cs="Times New Roman"/>
          <w:sz w:val="24"/>
          <w:szCs w:val="24"/>
        </w:rPr>
        <w:t xml:space="preserve"> </w:t>
      </w:r>
      <w:r w:rsidRPr="00EE02FF">
        <w:rPr>
          <w:rFonts w:ascii="Times New Roman" w:hAnsi="Times New Roman" w:cs="Times New Roman"/>
          <w:sz w:val="24"/>
          <w:szCs w:val="24"/>
        </w:rPr>
        <w:t xml:space="preserve">HLH may </w:t>
      </w:r>
      <w:r>
        <w:rPr>
          <w:rFonts w:ascii="Times New Roman" w:hAnsi="Times New Roman" w:cs="Times New Roman"/>
          <w:sz w:val="24"/>
          <w:szCs w:val="24"/>
        </w:rPr>
        <w:t>occur as</w:t>
      </w:r>
      <w:r w:rsidRPr="00EE02FF">
        <w:rPr>
          <w:rFonts w:ascii="Times New Roman" w:hAnsi="Times New Roman" w:cs="Times New Roman"/>
          <w:sz w:val="24"/>
          <w:szCs w:val="24"/>
        </w:rPr>
        <w:t xml:space="preserve"> inherited (primary) or secondary to any severe infection, malignancy or rheumatologic condition</w:t>
      </w:r>
      <w:r>
        <w:rPr>
          <w:rFonts w:ascii="Times New Roman" w:hAnsi="Times New Roman" w:cs="Times New Roman"/>
          <w:sz w:val="24"/>
          <w:szCs w:val="24"/>
        </w:rPr>
        <w:t xml:space="preserve"> </w:t>
      </w:r>
      <w:r>
        <w:rPr>
          <w:rFonts w:ascii="Times New Roman" w:hAnsi="Times New Roman" w:cs="Times New Roman"/>
          <w:sz w:val="24"/>
          <w:szCs w:val="24"/>
        </w:rPr>
        <w:fldChar w:fldCharType="begin" w:fldLock="1"/>
      </w:r>
      <w:r w:rsidR="00DF6B0D">
        <w:rPr>
          <w:rFonts w:ascii="Times New Roman" w:hAnsi="Times New Roman" w:cs="Times New Roman"/>
          <w:sz w:val="24"/>
          <w:szCs w:val="24"/>
        </w:rPr>
        <w:instrText>ADDIN CSL_CITATION {"citationItems":[{"id":"ITEM-1","itemData":{"DOI":"10.1586/eci.09.58","ISSN":"1744666X","PMID":"20383897","abstract":"Hemophagocytic lymphohistiocytosis (HLH) is a potentially fatal hyperinflammatory syndrome with prolonged high fever, hepatosplenomegaly and characteristic laboratory findings. HLH may be inherited (primary) or may be secondary to any severe infection, malignancy or rheumatologic condition. The last several years have witnessed an explosion in our understanding of HLH. Of the inherited causes for which the underlying genetic cause is known, most involve abnormalities of proteins important in the exocytosis cytolytic pathway, whereby perforin and granzymes are delivered to a target cell to induce apoptosis. The exact mechanisms underlying this process remain unclear. However, when a known genetic defect is not present, the diagnosis of HLH is still made on a constellation of clinical features and good clinical judgment. Rapid diagnosis is crucial, as early therapy with immunosuppressive agents and/or proapoptotic chemotherapy can be life-saving. This article examines recent advances in our understanding of the pathophysiology, clinical features, diagnosis, etiology and treatment of HLH, as well as the challenges that lie ahead. © 2010 Expert Reviews Ltd.","author":[{"dropping-particle":"","family":"Gupta","given":"Sumit","non-dropping-particle":"","parse-names":false,"suffix":""},{"dropping-particle":"","family":"Weitzman","given":"Sheila","non-dropping-particle":"","parse-names":false,"suffix":""}],"container-title":"Expert Review of Clinical Immunology","id":"ITEM-1","issue":"1","issued":{"date-parts":[["2010"]]},"page":"137-154","title":"Primary and secondary hemophagocytic lymphohistiocytosis: Clinical features, pathogenesis and therapy","type":"article-journal","volume":"6"},"uris":["http://www.mendeley.com/documents/?uuid=9cd6e259-e9b2-468f-a0fc-a9a2de36e049"]}],"mendeley":{"formattedCitation":"[2]","plainTextFormattedCitation":"[2]","previouslyFormattedCitation":"&lt;sup&gt;2&lt;/sup&gt;"},"properties":{"noteIndex":0},"schema":"https://github.com/citation-style-language/schema/raw/master/csl-citation.json"}</w:instrText>
      </w:r>
      <w:r>
        <w:rPr>
          <w:rFonts w:ascii="Times New Roman" w:hAnsi="Times New Roman" w:cs="Times New Roman"/>
          <w:sz w:val="24"/>
          <w:szCs w:val="24"/>
        </w:rPr>
        <w:fldChar w:fldCharType="separate"/>
      </w:r>
      <w:r w:rsidR="00DF6B0D" w:rsidRPr="00DF6B0D">
        <w:rPr>
          <w:rFonts w:ascii="Times New Roman" w:hAnsi="Times New Roman" w:cs="Times New Roman"/>
          <w:noProof/>
          <w:sz w:val="24"/>
          <w:szCs w:val="24"/>
        </w:rPr>
        <w:t>[2]</w:t>
      </w:r>
      <w:r>
        <w:rPr>
          <w:rFonts w:ascii="Times New Roman" w:hAnsi="Times New Roman" w:cs="Times New Roman"/>
          <w:sz w:val="24"/>
          <w:szCs w:val="24"/>
        </w:rPr>
        <w:fldChar w:fldCharType="end"/>
      </w:r>
      <w:r>
        <w:rPr>
          <w:rFonts w:ascii="Times New Roman" w:hAnsi="Times New Roman" w:cs="Times New Roman"/>
          <w:sz w:val="24"/>
          <w:szCs w:val="24"/>
        </w:rPr>
        <w:t>. D</w:t>
      </w:r>
      <w:r w:rsidRPr="00EE02FF">
        <w:rPr>
          <w:rFonts w:ascii="Times New Roman" w:hAnsi="Times New Roman" w:cs="Times New Roman"/>
          <w:sz w:val="24"/>
          <w:szCs w:val="24"/>
        </w:rPr>
        <w:t xml:space="preserve">engue is a rising pathogen in tropical </w:t>
      </w:r>
      <w:r>
        <w:rPr>
          <w:rFonts w:ascii="Times New Roman" w:hAnsi="Times New Roman" w:cs="Times New Roman"/>
          <w:sz w:val="24"/>
          <w:szCs w:val="24"/>
        </w:rPr>
        <w:t xml:space="preserve">countries, giving rise to rare serious complications that clinicians must </w:t>
      </w:r>
      <w:r w:rsidR="00C50843">
        <w:rPr>
          <w:rFonts w:ascii="Times New Roman" w:hAnsi="Times New Roman" w:cs="Times New Roman"/>
          <w:sz w:val="24"/>
          <w:szCs w:val="24"/>
        </w:rPr>
        <w:t>know</w:t>
      </w:r>
      <w:r>
        <w:rPr>
          <w:rFonts w:ascii="Times New Roman" w:hAnsi="Times New Roman" w:cs="Times New Roman"/>
          <w:sz w:val="24"/>
          <w:szCs w:val="24"/>
        </w:rPr>
        <w:t xml:space="preserve"> </w:t>
      </w:r>
      <w:r>
        <w:rPr>
          <w:rFonts w:ascii="Times New Roman" w:hAnsi="Times New Roman" w:cs="Times New Roman"/>
          <w:sz w:val="24"/>
          <w:szCs w:val="24"/>
        </w:rPr>
        <w:fldChar w:fldCharType="begin" w:fldLock="1"/>
      </w:r>
      <w:r w:rsidR="00DF6B0D">
        <w:rPr>
          <w:rFonts w:ascii="Times New Roman" w:hAnsi="Times New Roman" w:cs="Times New Roman"/>
          <w:sz w:val="24"/>
          <w:szCs w:val="24"/>
        </w:rPr>
        <w:instrText>ADDIN CSL_CITATION {"citationItems":[{"id":"ITEM-1","itemData":{"DOI":"10.1179/2295333714Y.0000000019","ISSN":"00015512","PMID":"24820925","abstract":"We describe a 21-year-old female patient returning from a journey to Cambodia, who developed dengue fever complicated with hemophagocytic lymphohistiocytosis. Hectic fever, rash, leukopenia, thrombocytopenia, hepatocellular dysfunction, a markedly elevated ferritin level, and a bone marrow demonstrating abundant hemophagocytosis were present. The patient recovered within 14 days. To our knowledge, this is only the second reported case of dengue virus-associated hemophagocytosis in Europe. As dengue is a rising pathogen in tropical import diseases, clinicians must be aware of its rare but serious complications. © Acta Clinica Belgica 2014.","author":[{"dropping-particle":"","family":"Koninck","given":"A. S.","non-dropping-particle":"De","parse-names":false,"suffix":""},{"dropping-particle":"","family":"Dierick","given":"J.","non-dropping-particle":"","parse-names":false,"suffix":""},{"dropping-particle":"","family":"Steyaert","given":"S.","non-dropping-particle":"","parse-names":false,"suffix":""},{"dropping-particle":"","family":"Taelman","given":"P.","non-dropping-particle":"","parse-names":false,"suffix":""}],"container-title":"Acta Clinica Belgica","id":"ITEM-1","issue":"3","issued":{"date-parts":[["2014"]]},"page":"210-213","publisher":"Acta Clinica Belgica","title":"Hemophagocytic lymphohistiocytosis and dengue infection: Rare case report","type":"article-journal","volume":"69"},"uris":["http://www.mendeley.com/documents/?uuid=5892f7f4-5493-3ad3-88c8-4e0945c72bc3"]}],"mendeley":{"formattedCitation":"[3]","plainTextFormattedCitation":"[3]","previouslyFormattedCitation":"&lt;sup&gt;3&lt;/sup&gt;"},"properties":{"noteIndex":0},"schema":"https://github.com/citation-style-language/schema/raw/master/csl-citation.json"}</w:instrText>
      </w:r>
      <w:r>
        <w:rPr>
          <w:rFonts w:ascii="Times New Roman" w:hAnsi="Times New Roman" w:cs="Times New Roman"/>
          <w:sz w:val="24"/>
          <w:szCs w:val="24"/>
        </w:rPr>
        <w:fldChar w:fldCharType="separate"/>
      </w:r>
      <w:r w:rsidR="00DF6B0D" w:rsidRPr="00DF6B0D">
        <w:rPr>
          <w:rFonts w:ascii="Times New Roman" w:hAnsi="Times New Roman" w:cs="Times New Roman"/>
          <w:noProof/>
          <w:sz w:val="24"/>
          <w:szCs w:val="24"/>
        </w:rPr>
        <w:t>[3]</w:t>
      </w:r>
      <w:r>
        <w:rPr>
          <w:rFonts w:ascii="Times New Roman" w:hAnsi="Times New Roman" w:cs="Times New Roman"/>
          <w:sz w:val="24"/>
          <w:szCs w:val="24"/>
        </w:rPr>
        <w:fldChar w:fldCharType="end"/>
      </w:r>
      <w:r w:rsidRPr="00EE02FF">
        <w:rPr>
          <w:rFonts w:ascii="Times New Roman" w:hAnsi="Times New Roman" w:cs="Times New Roman"/>
          <w:sz w:val="24"/>
          <w:szCs w:val="24"/>
        </w:rPr>
        <w:t xml:space="preserve">. </w:t>
      </w:r>
      <w:r>
        <w:rPr>
          <w:rFonts w:ascii="Times New Roman" w:hAnsi="Times New Roman" w:cs="Times New Roman"/>
          <w:sz w:val="24"/>
          <w:szCs w:val="24"/>
        </w:rPr>
        <w:t>HLH</w:t>
      </w:r>
      <w:r w:rsidRPr="00EE02FF">
        <w:rPr>
          <w:rFonts w:ascii="Times New Roman" w:hAnsi="Times New Roman" w:cs="Times New Roman"/>
          <w:sz w:val="24"/>
          <w:szCs w:val="24"/>
        </w:rPr>
        <w:t xml:space="preserve"> is sporadically seen in clinical </w:t>
      </w:r>
      <w:r>
        <w:rPr>
          <w:rFonts w:ascii="Times New Roman" w:hAnsi="Times New Roman" w:cs="Times New Roman"/>
          <w:sz w:val="24"/>
          <w:szCs w:val="24"/>
        </w:rPr>
        <w:t>practice and a rare complication of dengue that presents</w:t>
      </w:r>
      <w:r w:rsidRPr="00EE02FF">
        <w:rPr>
          <w:rFonts w:ascii="Times New Roman" w:hAnsi="Times New Roman" w:cs="Times New Roman"/>
          <w:sz w:val="24"/>
          <w:szCs w:val="24"/>
        </w:rPr>
        <w:t xml:space="preserve"> persistent fever, pancytopenia, hepatosplenomegaly, and increased serum ferritin</w:t>
      </w:r>
      <w:r>
        <w:rPr>
          <w:rFonts w:ascii="Times New Roman" w:hAnsi="Times New Roman" w:cs="Times New Roman"/>
          <w:sz w:val="24"/>
          <w:szCs w:val="24"/>
        </w:rPr>
        <w:t>. Owing to the fact the overlap in clinical features, it has its diagnostic difficulty when present in a dengue patient</w:t>
      </w:r>
      <w:r w:rsidRPr="00EE02FF">
        <w:rPr>
          <w:rFonts w:ascii="Times New Roman" w:hAnsi="Times New Roman" w:cs="Times New Roman"/>
          <w:sz w:val="24"/>
          <w:szCs w:val="24"/>
        </w:rPr>
        <w:t xml:space="preserve"> and requires bone marrow examination</w:t>
      </w:r>
      <w:r>
        <w:rPr>
          <w:rFonts w:ascii="Times New Roman" w:hAnsi="Times New Roman" w:cs="Times New Roman"/>
          <w:sz w:val="24"/>
          <w:szCs w:val="24"/>
        </w:rPr>
        <w:t xml:space="preserve"> </w:t>
      </w:r>
      <w:r>
        <w:rPr>
          <w:rFonts w:ascii="Times New Roman" w:hAnsi="Times New Roman" w:cs="Times New Roman"/>
          <w:sz w:val="24"/>
          <w:szCs w:val="24"/>
        </w:rPr>
        <w:fldChar w:fldCharType="begin" w:fldLock="1"/>
      </w:r>
      <w:r w:rsidR="00DF6B0D">
        <w:rPr>
          <w:rFonts w:ascii="Times New Roman" w:hAnsi="Times New Roman" w:cs="Times New Roman"/>
          <w:sz w:val="24"/>
          <w:szCs w:val="24"/>
        </w:rPr>
        <w:instrText>ADDIN CSL_CITATION {"citationItems":[{"id":"ITEM-1","itemData":{"DOI":"10.1179/2295333714Y.0000000040","ISSN":"22953337","PMID":"25649532","abstract":"Sir, the recent report on ‘haemophagocytic lymphohistiocytosis and dengue’ is very interesting.1 de Koninck et al. reported a case of dengue with haemophagocytic lymphohistiocytosis and noted that ...","author":[{"dropping-particle":"","family":"Wiwanitkit","given":"V.","non-dropping-particle":"","parse-names":false,"suffix":""}],"container-title":"Acta Clinica Belgica: International Journal of Clinical and Laboratory Medicine","id":"ITEM-1","issue":"1","issued":{"date-parts":[["2015","2","1"]]},"page":"72","publisher":"Taylor and Francis Ltd.","title":"Haemophagocytic lymphohistiocytosis and dengue","type":"article","volume":"70"},"uris":["http://www.mendeley.com/documents/?uuid=4f4b5d94-9c57-392c-90c9-01caed1cf6ad"]}],"mendeley":{"formattedCitation":"[4]","plainTextFormattedCitation":"[4]","previouslyFormattedCitation":"&lt;sup&gt;4&lt;/sup&gt;"},"properties":{"noteIndex":0},"schema":"https://github.com/citation-style-language/schema/raw/master/csl-citation.json"}</w:instrText>
      </w:r>
      <w:r>
        <w:rPr>
          <w:rFonts w:ascii="Times New Roman" w:hAnsi="Times New Roman" w:cs="Times New Roman"/>
          <w:sz w:val="24"/>
          <w:szCs w:val="24"/>
        </w:rPr>
        <w:fldChar w:fldCharType="separate"/>
      </w:r>
      <w:r w:rsidR="00DF6B0D" w:rsidRPr="00DF6B0D">
        <w:rPr>
          <w:rFonts w:ascii="Times New Roman" w:hAnsi="Times New Roman" w:cs="Times New Roman"/>
          <w:noProof/>
          <w:sz w:val="24"/>
          <w:szCs w:val="24"/>
        </w:rPr>
        <w:t>[4]</w:t>
      </w:r>
      <w:r>
        <w:rPr>
          <w:rFonts w:ascii="Times New Roman" w:hAnsi="Times New Roman" w:cs="Times New Roman"/>
          <w:sz w:val="24"/>
          <w:szCs w:val="24"/>
        </w:rPr>
        <w:fldChar w:fldCharType="end"/>
      </w:r>
      <w:r w:rsidRPr="00EE02FF">
        <w:rPr>
          <w:rFonts w:ascii="Times New Roman" w:hAnsi="Times New Roman" w:cs="Times New Roman"/>
          <w:sz w:val="24"/>
          <w:szCs w:val="24"/>
        </w:rPr>
        <w:t>.</w:t>
      </w:r>
      <w:r>
        <w:rPr>
          <w:rFonts w:ascii="Times New Roman" w:hAnsi="Times New Roman" w:cs="Times New Roman"/>
          <w:sz w:val="24"/>
          <w:szCs w:val="24"/>
        </w:rPr>
        <w:t xml:space="preserve"> </w:t>
      </w:r>
      <w:r w:rsidR="00770E87" w:rsidRPr="00E00B7F">
        <w:rPr>
          <w:rFonts w:ascii="Times New Roman" w:hAnsi="Times New Roman" w:cs="Times New Roman"/>
          <w:sz w:val="24"/>
          <w:szCs w:val="24"/>
        </w:rPr>
        <w:t xml:space="preserve">Although secondary HLH is </w:t>
      </w:r>
      <w:r w:rsidR="00791892">
        <w:rPr>
          <w:rFonts w:ascii="Times New Roman" w:hAnsi="Times New Roman" w:cs="Times New Roman"/>
          <w:sz w:val="24"/>
          <w:szCs w:val="24"/>
        </w:rPr>
        <w:t xml:space="preserve">a </w:t>
      </w:r>
      <w:r w:rsidR="00770E87" w:rsidRPr="00E00B7F">
        <w:rPr>
          <w:rFonts w:ascii="Times New Roman" w:hAnsi="Times New Roman" w:cs="Times New Roman"/>
          <w:sz w:val="24"/>
          <w:szCs w:val="24"/>
        </w:rPr>
        <w:t>rare complication, it associated with significant mortality</w:t>
      </w:r>
      <w:r>
        <w:rPr>
          <w:rFonts w:ascii="Times New Roman" w:hAnsi="Times New Roman" w:cs="Times New Roman"/>
          <w:sz w:val="24"/>
          <w:szCs w:val="24"/>
        </w:rPr>
        <w:t xml:space="preserve"> and morbidity even with appropriate treatment, and the outcome is further poor</w:t>
      </w:r>
      <w:r w:rsidR="00770E87" w:rsidRPr="00E00B7F">
        <w:rPr>
          <w:rFonts w:ascii="Times New Roman" w:hAnsi="Times New Roman" w:cs="Times New Roman"/>
          <w:sz w:val="24"/>
          <w:szCs w:val="24"/>
        </w:rPr>
        <w:t xml:space="preserve"> if </w:t>
      </w:r>
      <w:r w:rsidR="00791892">
        <w:rPr>
          <w:rFonts w:ascii="Times New Roman" w:hAnsi="Times New Roman" w:cs="Times New Roman"/>
          <w:sz w:val="24"/>
          <w:szCs w:val="24"/>
        </w:rPr>
        <w:t xml:space="preserve">the </w:t>
      </w:r>
      <w:r w:rsidR="00770E87" w:rsidRPr="00E00B7F">
        <w:rPr>
          <w:rFonts w:ascii="Times New Roman" w:hAnsi="Times New Roman" w:cs="Times New Roman"/>
          <w:sz w:val="24"/>
          <w:szCs w:val="24"/>
        </w:rPr>
        <w:t>diagnosis is delayed or left untreated</w:t>
      </w:r>
      <w:r>
        <w:rPr>
          <w:rFonts w:ascii="Times New Roman" w:hAnsi="Times New Roman" w:cs="Times New Roman"/>
          <w:sz w:val="24"/>
          <w:szCs w:val="24"/>
        </w:rPr>
        <w:t xml:space="preserve"> </w:t>
      </w:r>
      <w:r>
        <w:rPr>
          <w:rFonts w:ascii="Times New Roman" w:hAnsi="Times New Roman" w:cs="Times New Roman"/>
          <w:sz w:val="24"/>
          <w:szCs w:val="24"/>
        </w:rPr>
        <w:fldChar w:fldCharType="begin" w:fldLock="1"/>
      </w:r>
      <w:r w:rsidR="00DF6B0D">
        <w:rPr>
          <w:rFonts w:ascii="Times New Roman" w:hAnsi="Times New Roman" w:cs="Times New Roman"/>
          <w:sz w:val="24"/>
          <w:szCs w:val="24"/>
        </w:rPr>
        <w:instrText>ADDIN CSL_CITATION {"citationItems":[{"id":"ITEM-1","itemData":{"DOI":"10.1182/asheducation-2013.1.605","ISSN":"15204383","PMID":"24319239","abstract":"Hemophagocytic lymphohistiocytosis (HLH) is not an independent disease but rather a life-threatening clinical syndrome that occurs in many underlying conditions and in all age groups. HLH is the consequence of a severe, uncontrolled hyperinflammatory reaction that in most cases is triggered by an infectious agent. Persistent stimulation of lymphocytes and histiocytes results in hypercytokinemia, leading to the characteristic symptoms of HLH. Genetic defects in familial HLH and in immunodeficiency syndromes associated with albinism affect the transport, processing, and function of cytotoxic granules in natural killer cells and cytotoxic T lymphocytes. This leads to defective killing of target cells and a failure to contract the immune response. The defects are increasingly found also in adolescents and adults. Acquired HLH occurs in autoinflammatory and autoimmune diseases (macrophage activation syndrome) and in patients with iatrogenic immunosuppression or with malignancies, but also in otherwise healthy persons with infections. Treatment of HLH aims at suppressing hypercytokinemia and eliminating the activated and infected cells. In genetic HLH, hematopoietic stem cell transplantation (HSCT) is needed for the correction of the immune defect. Treatment modalities include immunosuppressive, immunomodulatory, and cytostatic drugs; T-cell antibodies; and anticytokine agents. Using immunochemotherapy, familial HLH, which had been invariably fatal, has become a curable disease with more than 50% survivors. Reduced intensity conditioning for HSCT, which is associated with less transplantation-related mortality, will further improve cure rates.","author":[{"dropping-particle":"","family":"Janka","given":"Gritta E.","non-dropping-particle":"","parse-names":false,"suffix":""},{"dropping-particle":"","family":"Lehmberg","given":"Kai","non-dropping-particle":"","parse-names":false,"suffix":""}],"container-title":"Hematology / the Education Program of the American Society of Hematology. American Society of Hematology. Education Program","id":"ITEM-1","issued":{"date-parts":[["2013"]]},"page":"605-611","publisher":"Hematology Am Soc Hematol Educ Program","title":"Hemophagocytic lymphohistiocytosis: pathogenesis and treatment.","type":"article","volume":"2013"},"uris":["http://www.mendeley.com/documents/?uuid=cbad6bff-0e88-38e9-9529-48ed01384e5a"]}],"mendeley":{"formattedCitation":"[5]","plainTextFormattedCitation":"[5]","previouslyFormattedCitation":"&lt;sup&gt;5&lt;/sup&gt;"},"properties":{"noteIndex":0},"schema":"https://github.com/citation-style-language/schema/raw/master/csl-citation.json"}</w:instrText>
      </w:r>
      <w:r>
        <w:rPr>
          <w:rFonts w:ascii="Times New Roman" w:hAnsi="Times New Roman" w:cs="Times New Roman"/>
          <w:sz w:val="24"/>
          <w:szCs w:val="24"/>
        </w:rPr>
        <w:fldChar w:fldCharType="separate"/>
      </w:r>
      <w:r w:rsidR="00DF6B0D" w:rsidRPr="00DF6B0D">
        <w:rPr>
          <w:rFonts w:ascii="Times New Roman" w:hAnsi="Times New Roman" w:cs="Times New Roman"/>
          <w:noProof/>
          <w:sz w:val="24"/>
          <w:szCs w:val="24"/>
        </w:rPr>
        <w:t>[5]</w:t>
      </w:r>
      <w:r>
        <w:rPr>
          <w:rFonts w:ascii="Times New Roman" w:hAnsi="Times New Roman" w:cs="Times New Roman"/>
          <w:sz w:val="24"/>
          <w:szCs w:val="24"/>
        </w:rPr>
        <w:fldChar w:fldCharType="end"/>
      </w:r>
      <w:r w:rsidR="00770E87" w:rsidRPr="00E00B7F">
        <w:rPr>
          <w:rFonts w:ascii="Times New Roman" w:hAnsi="Times New Roman" w:cs="Times New Roman"/>
          <w:sz w:val="24"/>
          <w:szCs w:val="24"/>
        </w:rPr>
        <w:t xml:space="preserve">. </w:t>
      </w:r>
      <w:r>
        <w:rPr>
          <w:rFonts w:ascii="Times New Roman" w:hAnsi="Times New Roman" w:cs="Times New Roman"/>
          <w:sz w:val="24"/>
          <w:szCs w:val="24"/>
        </w:rPr>
        <w:t>Therefore</w:t>
      </w:r>
      <w:r w:rsidR="00791892">
        <w:rPr>
          <w:rFonts w:ascii="Times New Roman" w:hAnsi="Times New Roman" w:cs="Times New Roman"/>
          <w:sz w:val="24"/>
          <w:szCs w:val="24"/>
        </w:rPr>
        <w:t xml:space="preserve"> </w:t>
      </w:r>
      <w:r>
        <w:rPr>
          <w:rFonts w:ascii="Times New Roman" w:hAnsi="Times New Roman" w:cs="Times New Roman"/>
          <w:sz w:val="24"/>
          <w:szCs w:val="24"/>
        </w:rPr>
        <w:t xml:space="preserve">a </w:t>
      </w:r>
      <w:r w:rsidR="00791892">
        <w:rPr>
          <w:rFonts w:ascii="Times New Roman" w:hAnsi="Times New Roman" w:cs="Times New Roman"/>
          <w:sz w:val="24"/>
          <w:szCs w:val="24"/>
        </w:rPr>
        <w:t>h</w:t>
      </w:r>
      <w:r w:rsidR="00770E87" w:rsidRPr="00E00B7F">
        <w:rPr>
          <w:rFonts w:ascii="Times New Roman" w:hAnsi="Times New Roman" w:cs="Times New Roman"/>
          <w:sz w:val="24"/>
          <w:szCs w:val="24"/>
        </w:rPr>
        <w:t xml:space="preserve">igh degree of clinical suspicion is paramount in </w:t>
      </w:r>
      <w:r>
        <w:rPr>
          <w:rFonts w:ascii="Times New Roman" w:hAnsi="Times New Roman" w:cs="Times New Roman"/>
          <w:sz w:val="24"/>
          <w:szCs w:val="24"/>
        </w:rPr>
        <w:t xml:space="preserve">the </w:t>
      </w:r>
      <w:r w:rsidR="00770E87" w:rsidRPr="00E00B7F">
        <w:rPr>
          <w:rFonts w:ascii="Times New Roman" w:hAnsi="Times New Roman" w:cs="Times New Roman"/>
          <w:sz w:val="24"/>
          <w:szCs w:val="24"/>
        </w:rPr>
        <w:t>diagnosis</w:t>
      </w:r>
      <w:r>
        <w:rPr>
          <w:rFonts w:ascii="Times New Roman" w:hAnsi="Times New Roman" w:cs="Times New Roman"/>
          <w:sz w:val="24"/>
          <w:szCs w:val="24"/>
        </w:rPr>
        <w:t xml:space="preserve"> of HLH</w:t>
      </w:r>
      <w:r w:rsidR="00791892">
        <w:rPr>
          <w:rFonts w:ascii="Times New Roman" w:hAnsi="Times New Roman" w:cs="Times New Roman"/>
          <w:sz w:val="24"/>
          <w:szCs w:val="24"/>
        </w:rPr>
        <w:t>,</w:t>
      </w:r>
      <w:r w:rsidR="00770E87" w:rsidRPr="00E00B7F">
        <w:rPr>
          <w:rFonts w:ascii="Times New Roman" w:hAnsi="Times New Roman" w:cs="Times New Roman"/>
          <w:sz w:val="24"/>
          <w:szCs w:val="24"/>
        </w:rPr>
        <w:t xml:space="preserve"> especially in </w:t>
      </w:r>
      <w:r w:rsidR="00791892">
        <w:rPr>
          <w:rFonts w:ascii="Times New Roman" w:hAnsi="Times New Roman" w:cs="Times New Roman"/>
          <w:sz w:val="24"/>
          <w:szCs w:val="24"/>
        </w:rPr>
        <w:t xml:space="preserve">the </w:t>
      </w:r>
      <w:r w:rsidR="00770E87" w:rsidRPr="00E00B7F">
        <w:rPr>
          <w:rFonts w:ascii="Times New Roman" w:hAnsi="Times New Roman" w:cs="Times New Roman"/>
          <w:sz w:val="24"/>
          <w:szCs w:val="24"/>
        </w:rPr>
        <w:t xml:space="preserve">case of </w:t>
      </w:r>
      <w:r w:rsidR="00791892">
        <w:rPr>
          <w:rFonts w:ascii="Times New Roman" w:hAnsi="Times New Roman" w:cs="Times New Roman"/>
          <w:sz w:val="24"/>
          <w:szCs w:val="24"/>
        </w:rPr>
        <w:t xml:space="preserve">an </w:t>
      </w:r>
      <w:r w:rsidR="00770E87" w:rsidRPr="00E00B7F">
        <w:rPr>
          <w:rFonts w:ascii="Times New Roman" w:hAnsi="Times New Roman" w:cs="Times New Roman"/>
          <w:sz w:val="24"/>
          <w:szCs w:val="24"/>
        </w:rPr>
        <w:t xml:space="preserve">atypical </w:t>
      </w:r>
      <w:r>
        <w:rPr>
          <w:rFonts w:ascii="Times New Roman" w:hAnsi="Times New Roman" w:cs="Times New Roman"/>
          <w:sz w:val="24"/>
          <w:szCs w:val="24"/>
        </w:rPr>
        <w:t xml:space="preserve">presentation of an underlying medical condition </w:t>
      </w:r>
      <w:r>
        <w:rPr>
          <w:rFonts w:ascii="Times New Roman" w:hAnsi="Times New Roman" w:cs="Times New Roman"/>
          <w:sz w:val="24"/>
          <w:szCs w:val="24"/>
        </w:rPr>
        <w:fldChar w:fldCharType="begin" w:fldLock="1"/>
      </w:r>
      <w:r w:rsidR="00DF6B0D">
        <w:rPr>
          <w:rFonts w:ascii="Times New Roman" w:hAnsi="Times New Roman" w:cs="Times New Roman"/>
          <w:sz w:val="24"/>
          <w:szCs w:val="24"/>
        </w:rPr>
        <w:instrText>ADDIN CSL_CITATION {"citationItems":[{"id":"ITEM-1","itemData":{"DOI":"10.1586/eci.09.58","ISSN":"1744666X","PMID":"20383897","abstract":"Hemophagocytic lymphohistiocytosis (HLH) is a potentially fatal hyperinflammatory syndrome with prolonged high fever, hepatosplenomegaly and characteristic laboratory findings. HLH may be inherited (primary) or may be secondary to any severe infection, malignancy or rheumatologic condition. The last several years have witnessed an explosion in our understanding of HLH. Of the inherited causes for which the underlying genetic cause is known, most involve abnormalities of proteins important in the exocytosis cytolytic pathway, whereby perforin and granzymes are delivered to a target cell to induce apoptosis. The exact mechanisms underlying this process remain unclear. However, when a known genetic defect is not present, the diagnosis of HLH is still made on a constellation of clinical features and good clinical judgment. Rapid diagnosis is crucial, as early therapy with immunosuppressive agents and/or proapoptotic chemotherapy can be life-saving. This article examines recent advances in our understanding of the pathophysiology, clinical features, diagnosis, etiology and treatment of HLH, as well as the challenges that lie ahead. © 2010 Expert Reviews Ltd.","author":[{"dropping-particle":"","family":"Gupta","given":"Sumit","non-dropping-particle":"","parse-names":false,"suffix":""},{"dropping-particle":"","family":"Weitzman","given":"Sheila","non-dropping-particle":"","parse-names":false,"suffix":""}],"container-title":"Expert Review of Clinical Immunology","id":"ITEM-1","issue":"1","issued":{"date-parts":[["2010"]]},"page":"137-154","title":"Primary and secondary hemophagocytic lymphohistiocytosis: Clinical features, pathogenesis and therapy","type":"article-journal","volume":"6"},"uris":["http://www.mendeley.com/documents/?uuid=9cd6e259-e9b2-468f-a0fc-a9a2de36e049"]}],"mendeley":{"formattedCitation":"[2]","plainTextFormattedCitation":"[2]","previouslyFormattedCitation":"&lt;sup&gt;2&lt;/sup&gt;"},"properties":{"noteIndex":0},"schema":"https://github.com/citation-style-language/schema/raw/master/csl-citation.json"}</w:instrText>
      </w:r>
      <w:r>
        <w:rPr>
          <w:rFonts w:ascii="Times New Roman" w:hAnsi="Times New Roman" w:cs="Times New Roman"/>
          <w:sz w:val="24"/>
          <w:szCs w:val="24"/>
        </w:rPr>
        <w:fldChar w:fldCharType="separate"/>
      </w:r>
      <w:r w:rsidR="00DF6B0D" w:rsidRPr="00DF6B0D">
        <w:rPr>
          <w:rFonts w:ascii="Times New Roman" w:hAnsi="Times New Roman" w:cs="Times New Roman"/>
          <w:noProof/>
          <w:sz w:val="24"/>
          <w:szCs w:val="24"/>
        </w:rPr>
        <w:t>[2]</w:t>
      </w:r>
      <w:r>
        <w:rPr>
          <w:rFonts w:ascii="Times New Roman" w:hAnsi="Times New Roman" w:cs="Times New Roman"/>
          <w:sz w:val="24"/>
          <w:szCs w:val="24"/>
        </w:rPr>
        <w:fldChar w:fldCharType="end"/>
      </w:r>
      <w:r w:rsidR="00770E87" w:rsidRPr="00E00B7F">
        <w:rPr>
          <w:rFonts w:ascii="Times New Roman" w:hAnsi="Times New Roman" w:cs="Times New Roman"/>
          <w:sz w:val="24"/>
          <w:szCs w:val="24"/>
        </w:rPr>
        <w:t xml:space="preserve">. </w:t>
      </w:r>
      <w:r>
        <w:rPr>
          <w:rFonts w:ascii="Times New Roman" w:hAnsi="Times New Roman" w:cs="Times New Roman"/>
          <w:sz w:val="24"/>
          <w:szCs w:val="24"/>
        </w:rPr>
        <w:t>Here we present a case of HLH in an adolescent, which occurred secondary to dengue haemorrhagic fever, which was successfully treated and recovered.</w:t>
      </w:r>
    </w:p>
    <w:p w14:paraId="09FCEA47" w14:textId="2EB72DCE" w:rsidR="00770E87" w:rsidRPr="00E00B7F" w:rsidRDefault="00C50843" w:rsidP="00791892">
      <w:pPr>
        <w:spacing w:after="240" w:line="276" w:lineRule="auto"/>
        <w:rPr>
          <w:rFonts w:ascii="Times New Roman" w:hAnsi="Times New Roman" w:cs="Times New Roman"/>
          <w:b/>
          <w:sz w:val="24"/>
          <w:szCs w:val="24"/>
        </w:rPr>
      </w:pPr>
      <w:r>
        <w:rPr>
          <w:rFonts w:ascii="Times New Roman" w:hAnsi="Times New Roman" w:cs="Times New Roman"/>
          <w:b/>
          <w:sz w:val="24"/>
          <w:szCs w:val="24"/>
        </w:rPr>
        <w:t xml:space="preserve">5. </w:t>
      </w:r>
      <w:r w:rsidR="00770E87" w:rsidRPr="00E00B7F">
        <w:rPr>
          <w:rFonts w:ascii="Times New Roman" w:hAnsi="Times New Roman" w:cs="Times New Roman"/>
          <w:b/>
          <w:sz w:val="24"/>
          <w:szCs w:val="24"/>
        </w:rPr>
        <w:t>Patient Information</w:t>
      </w:r>
    </w:p>
    <w:p w14:paraId="07685B5F" w14:textId="244B657E" w:rsidR="009D297E" w:rsidRPr="00E00B7F" w:rsidRDefault="009D297E" w:rsidP="00791892">
      <w:pPr>
        <w:spacing w:after="240" w:line="276" w:lineRule="auto"/>
        <w:rPr>
          <w:rFonts w:ascii="Times New Roman" w:hAnsi="Times New Roman" w:cs="Times New Roman"/>
          <w:sz w:val="24"/>
          <w:szCs w:val="24"/>
        </w:rPr>
      </w:pPr>
      <w:r>
        <w:rPr>
          <w:rFonts w:ascii="Times New Roman" w:hAnsi="Times New Roman" w:cs="Times New Roman"/>
          <w:sz w:val="24"/>
          <w:szCs w:val="24"/>
        </w:rPr>
        <w:t xml:space="preserve">A </w:t>
      </w:r>
      <w:r w:rsidR="00770E87" w:rsidRPr="00E00B7F">
        <w:rPr>
          <w:rFonts w:ascii="Times New Roman" w:hAnsi="Times New Roman" w:cs="Times New Roman"/>
          <w:sz w:val="24"/>
          <w:szCs w:val="24"/>
        </w:rPr>
        <w:t xml:space="preserve">17 years old boy </w:t>
      </w:r>
      <w:r w:rsidR="00791892">
        <w:rPr>
          <w:rFonts w:ascii="Times New Roman" w:hAnsi="Times New Roman" w:cs="Times New Roman"/>
          <w:sz w:val="24"/>
          <w:szCs w:val="24"/>
        </w:rPr>
        <w:t>was admitted to the medical ward with a four-day history of high-grade intermittent fever associated with chills associated with</w:t>
      </w:r>
      <w:r w:rsidR="00770E87" w:rsidRPr="00E00B7F">
        <w:rPr>
          <w:rFonts w:ascii="Times New Roman" w:hAnsi="Times New Roman" w:cs="Times New Roman"/>
          <w:sz w:val="24"/>
          <w:szCs w:val="24"/>
        </w:rPr>
        <w:t xml:space="preserve"> nausea, </w:t>
      </w:r>
      <w:r w:rsidR="007934EA">
        <w:rPr>
          <w:rFonts w:ascii="Times New Roman" w:hAnsi="Times New Roman" w:cs="Times New Roman"/>
          <w:sz w:val="24"/>
          <w:szCs w:val="24"/>
        </w:rPr>
        <w:t xml:space="preserve">few episodes of </w:t>
      </w:r>
      <w:r w:rsidR="00770E87" w:rsidRPr="00E00B7F">
        <w:rPr>
          <w:rFonts w:ascii="Times New Roman" w:hAnsi="Times New Roman" w:cs="Times New Roman"/>
          <w:sz w:val="24"/>
          <w:szCs w:val="24"/>
        </w:rPr>
        <w:t>vomiting</w:t>
      </w:r>
      <w:r w:rsidR="007934EA">
        <w:rPr>
          <w:rFonts w:ascii="Times New Roman" w:hAnsi="Times New Roman" w:cs="Times New Roman"/>
          <w:sz w:val="24"/>
          <w:szCs w:val="24"/>
        </w:rPr>
        <w:t xml:space="preserve"> and watery diarrhoea for the same duration. </w:t>
      </w:r>
      <w:r w:rsidR="00791892">
        <w:rPr>
          <w:rFonts w:ascii="Times New Roman" w:hAnsi="Times New Roman" w:cs="Times New Roman"/>
          <w:sz w:val="24"/>
          <w:szCs w:val="24"/>
        </w:rPr>
        <w:t>He also complained of severe frontal headache with retro-orbital pain, arthralgia, myalgia, and anorexia on direct inquiry</w:t>
      </w:r>
      <w:r w:rsidR="00770E87" w:rsidRPr="00E00B7F">
        <w:rPr>
          <w:rFonts w:ascii="Times New Roman" w:hAnsi="Times New Roman" w:cs="Times New Roman"/>
          <w:sz w:val="24"/>
          <w:szCs w:val="24"/>
        </w:rPr>
        <w:t>.</w:t>
      </w:r>
      <w:r w:rsidR="00791892">
        <w:rPr>
          <w:rFonts w:ascii="Times New Roman" w:hAnsi="Times New Roman" w:cs="Times New Roman"/>
          <w:sz w:val="24"/>
          <w:szCs w:val="24"/>
        </w:rPr>
        <w:t xml:space="preserve"> However,</w:t>
      </w:r>
      <w:r w:rsidR="00770E87" w:rsidRPr="00E00B7F">
        <w:rPr>
          <w:rFonts w:ascii="Times New Roman" w:hAnsi="Times New Roman" w:cs="Times New Roman"/>
          <w:sz w:val="24"/>
          <w:szCs w:val="24"/>
        </w:rPr>
        <w:t xml:space="preserve"> abdominal cramps or right hypochondriacal pain</w:t>
      </w:r>
      <w:r w:rsidR="00791892">
        <w:rPr>
          <w:rFonts w:ascii="Times New Roman" w:hAnsi="Times New Roman" w:cs="Times New Roman"/>
          <w:sz w:val="24"/>
          <w:szCs w:val="24"/>
        </w:rPr>
        <w:t xml:space="preserve"> was not there</w:t>
      </w:r>
      <w:r w:rsidR="00770E87" w:rsidRPr="00E00B7F">
        <w:rPr>
          <w:rFonts w:ascii="Times New Roman" w:hAnsi="Times New Roman" w:cs="Times New Roman"/>
          <w:sz w:val="24"/>
          <w:szCs w:val="24"/>
        </w:rPr>
        <w:t xml:space="preserve"> on admission. He denied any respiratory symptoms or urinary symptoms</w:t>
      </w:r>
      <w:r w:rsidR="00791892">
        <w:rPr>
          <w:rFonts w:ascii="Times New Roman" w:hAnsi="Times New Roman" w:cs="Times New Roman"/>
          <w:sz w:val="24"/>
          <w:szCs w:val="24"/>
        </w:rPr>
        <w:t>,</w:t>
      </w:r>
      <w:r w:rsidR="00770E87" w:rsidRPr="00E00B7F">
        <w:rPr>
          <w:rFonts w:ascii="Times New Roman" w:hAnsi="Times New Roman" w:cs="Times New Roman"/>
          <w:sz w:val="24"/>
          <w:szCs w:val="24"/>
        </w:rPr>
        <w:t xml:space="preserve"> and </w:t>
      </w:r>
      <w:r w:rsidR="00791892">
        <w:rPr>
          <w:rFonts w:ascii="Times New Roman" w:hAnsi="Times New Roman" w:cs="Times New Roman"/>
          <w:sz w:val="24"/>
          <w:szCs w:val="24"/>
        </w:rPr>
        <w:t xml:space="preserve">his </w:t>
      </w:r>
      <w:r w:rsidR="00770E87" w:rsidRPr="00E00B7F">
        <w:rPr>
          <w:rFonts w:ascii="Times New Roman" w:hAnsi="Times New Roman" w:cs="Times New Roman"/>
          <w:sz w:val="24"/>
          <w:szCs w:val="24"/>
        </w:rPr>
        <w:t>urine output was normal. Apart from headache</w:t>
      </w:r>
      <w:r w:rsidR="00791892">
        <w:rPr>
          <w:rFonts w:ascii="Times New Roman" w:hAnsi="Times New Roman" w:cs="Times New Roman"/>
          <w:sz w:val="24"/>
          <w:szCs w:val="24"/>
        </w:rPr>
        <w:t>,</w:t>
      </w:r>
      <w:r w:rsidR="00770E87" w:rsidRPr="00E00B7F">
        <w:rPr>
          <w:rFonts w:ascii="Times New Roman" w:hAnsi="Times New Roman" w:cs="Times New Roman"/>
          <w:sz w:val="24"/>
          <w:szCs w:val="24"/>
        </w:rPr>
        <w:t xml:space="preserve"> there were no other neurological symptoms</w:t>
      </w:r>
      <w:r w:rsidR="00791892">
        <w:rPr>
          <w:rFonts w:ascii="Times New Roman" w:hAnsi="Times New Roman" w:cs="Times New Roman"/>
          <w:sz w:val="24"/>
          <w:szCs w:val="24"/>
        </w:rPr>
        <w:t>,</w:t>
      </w:r>
      <w:r w:rsidR="00770E87" w:rsidRPr="00E00B7F">
        <w:rPr>
          <w:rFonts w:ascii="Times New Roman" w:hAnsi="Times New Roman" w:cs="Times New Roman"/>
          <w:sz w:val="24"/>
          <w:szCs w:val="24"/>
        </w:rPr>
        <w:t xml:space="preserve"> including photophobia </w:t>
      </w:r>
      <w:r w:rsidR="00791892">
        <w:rPr>
          <w:rFonts w:ascii="Times New Roman" w:hAnsi="Times New Roman" w:cs="Times New Roman"/>
          <w:sz w:val="24"/>
          <w:szCs w:val="24"/>
        </w:rPr>
        <w:t>or</w:t>
      </w:r>
      <w:r w:rsidR="00770E87" w:rsidRPr="00E00B7F">
        <w:rPr>
          <w:rFonts w:ascii="Times New Roman" w:hAnsi="Times New Roman" w:cs="Times New Roman"/>
          <w:sz w:val="24"/>
          <w:szCs w:val="24"/>
        </w:rPr>
        <w:t xml:space="preserve"> phonophobia. He was </w:t>
      </w:r>
      <w:r w:rsidR="00791892">
        <w:rPr>
          <w:rFonts w:ascii="Times New Roman" w:hAnsi="Times New Roman" w:cs="Times New Roman"/>
          <w:sz w:val="24"/>
          <w:szCs w:val="24"/>
        </w:rPr>
        <w:t xml:space="preserve">a </w:t>
      </w:r>
      <w:r w:rsidR="00770E87" w:rsidRPr="00E00B7F">
        <w:rPr>
          <w:rFonts w:ascii="Times New Roman" w:hAnsi="Times New Roman" w:cs="Times New Roman"/>
          <w:sz w:val="24"/>
          <w:szCs w:val="24"/>
        </w:rPr>
        <w:t>well and active school student until he developed this acute febrile illness</w:t>
      </w:r>
      <w:r w:rsidR="00791892">
        <w:rPr>
          <w:rFonts w:ascii="Times New Roman" w:hAnsi="Times New Roman" w:cs="Times New Roman"/>
          <w:sz w:val="24"/>
          <w:szCs w:val="24"/>
        </w:rPr>
        <w:t>, and he did not have any</w:t>
      </w:r>
      <w:r w:rsidRPr="00E00B7F">
        <w:rPr>
          <w:rFonts w:ascii="Times New Roman" w:hAnsi="Times New Roman" w:cs="Times New Roman"/>
          <w:sz w:val="24"/>
          <w:szCs w:val="24"/>
        </w:rPr>
        <w:t xml:space="preserve"> significant past medical history</w:t>
      </w:r>
    </w:p>
    <w:p w14:paraId="1216239E" w14:textId="5977A187" w:rsidR="00770E87" w:rsidRPr="00E00B7F" w:rsidRDefault="00C50843" w:rsidP="00791892">
      <w:pPr>
        <w:spacing w:after="240" w:line="276" w:lineRule="auto"/>
        <w:rPr>
          <w:rFonts w:ascii="Times New Roman" w:hAnsi="Times New Roman" w:cs="Times New Roman"/>
          <w:b/>
          <w:bCs/>
          <w:sz w:val="24"/>
          <w:szCs w:val="24"/>
        </w:rPr>
      </w:pPr>
      <w:r>
        <w:rPr>
          <w:rFonts w:ascii="Times New Roman" w:hAnsi="Times New Roman" w:cs="Times New Roman"/>
          <w:b/>
          <w:bCs/>
          <w:sz w:val="24"/>
          <w:szCs w:val="24"/>
        </w:rPr>
        <w:t xml:space="preserve">6. </w:t>
      </w:r>
      <w:r w:rsidR="00770E87" w:rsidRPr="00E00B7F">
        <w:rPr>
          <w:rFonts w:ascii="Times New Roman" w:hAnsi="Times New Roman" w:cs="Times New Roman"/>
          <w:b/>
          <w:bCs/>
          <w:sz w:val="24"/>
          <w:szCs w:val="24"/>
        </w:rPr>
        <w:t>Clinical Findings</w:t>
      </w:r>
    </w:p>
    <w:p w14:paraId="766122F6" w14:textId="5465AB67" w:rsidR="00770E87" w:rsidRPr="00E00B7F" w:rsidRDefault="00791892" w:rsidP="00791892">
      <w:pPr>
        <w:spacing w:after="240" w:line="276" w:lineRule="auto"/>
        <w:rPr>
          <w:rFonts w:ascii="Times New Roman" w:hAnsi="Times New Roman" w:cs="Times New Roman"/>
          <w:sz w:val="24"/>
          <w:szCs w:val="24"/>
        </w:rPr>
      </w:pPr>
      <w:r>
        <w:rPr>
          <w:rFonts w:ascii="Times New Roman" w:hAnsi="Times New Roman" w:cs="Times New Roman"/>
          <w:sz w:val="24"/>
          <w:szCs w:val="24"/>
        </w:rPr>
        <w:t>He was mildly dehydrated with a capillary refilling time of fewer than 2 seconds, and he was not pale or icteric</w:t>
      </w:r>
      <w:r w:rsidR="00770E87" w:rsidRPr="00E00B7F">
        <w:rPr>
          <w:rFonts w:ascii="Times New Roman" w:hAnsi="Times New Roman" w:cs="Times New Roman"/>
          <w:sz w:val="24"/>
          <w:szCs w:val="24"/>
        </w:rPr>
        <w:t>. There was no lymphadenopathy. His pulse rate was 100</w:t>
      </w:r>
      <w:r>
        <w:rPr>
          <w:rFonts w:ascii="Times New Roman" w:hAnsi="Times New Roman" w:cs="Times New Roman"/>
          <w:sz w:val="24"/>
          <w:szCs w:val="24"/>
        </w:rPr>
        <w:t xml:space="preserve"> beats per minute with a</w:t>
      </w:r>
      <w:r w:rsidR="00770E87" w:rsidRPr="00E00B7F">
        <w:rPr>
          <w:rFonts w:ascii="Times New Roman" w:hAnsi="Times New Roman" w:cs="Times New Roman"/>
          <w:sz w:val="24"/>
          <w:szCs w:val="24"/>
        </w:rPr>
        <w:t xml:space="preserve"> </w:t>
      </w:r>
      <w:r>
        <w:rPr>
          <w:rFonts w:ascii="Times New Roman" w:hAnsi="Times New Roman" w:cs="Times New Roman"/>
          <w:sz w:val="24"/>
          <w:szCs w:val="24"/>
        </w:rPr>
        <w:t>110/70 mmHg blood pressure</w:t>
      </w:r>
      <w:r w:rsidR="00770E87" w:rsidRPr="00E00B7F">
        <w:rPr>
          <w:rFonts w:ascii="Times New Roman" w:hAnsi="Times New Roman" w:cs="Times New Roman"/>
          <w:sz w:val="24"/>
          <w:szCs w:val="24"/>
        </w:rPr>
        <w:t xml:space="preserve"> w</w:t>
      </w:r>
      <w:r>
        <w:rPr>
          <w:rFonts w:ascii="Times New Roman" w:hAnsi="Times New Roman" w:cs="Times New Roman"/>
          <w:sz w:val="24"/>
          <w:szCs w:val="24"/>
        </w:rPr>
        <w:t>ithout any</w:t>
      </w:r>
      <w:r w:rsidR="00770E87" w:rsidRPr="00E00B7F">
        <w:rPr>
          <w:rFonts w:ascii="Times New Roman" w:hAnsi="Times New Roman" w:cs="Times New Roman"/>
          <w:sz w:val="24"/>
          <w:szCs w:val="24"/>
        </w:rPr>
        <w:t xml:space="preserve"> postural drop. Respiratory and abdominal examination was </w:t>
      </w:r>
      <w:r>
        <w:rPr>
          <w:rFonts w:ascii="Times New Roman" w:hAnsi="Times New Roman" w:cs="Times New Roman"/>
          <w:sz w:val="24"/>
          <w:szCs w:val="24"/>
        </w:rPr>
        <w:t>unremarkable,</w:t>
      </w:r>
      <w:r w:rsidR="00770E87" w:rsidRPr="00E00B7F">
        <w:rPr>
          <w:rFonts w:ascii="Times New Roman" w:hAnsi="Times New Roman" w:cs="Times New Roman"/>
          <w:sz w:val="24"/>
          <w:szCs w:val="24"/>
        </w:rPr>
        <w:t xml:space="preserve"> and there was no hepatosplenomegaly.</w:t>
      </w:r>
    </w:p>
    <w:p w14:paraId="0E20A659" w14:textId="1F2AC3CE" w:rsidR="00C50843" w:rsidRDefault="00C50843" w:rsidP="00791892">
      <w:pPr>
        <w:autoSpaceDE w:val="0"/>
        <w:autoSpaceDN w:val="0"/>
        <w:adjustRightInd w:val="0"/>
        <w:spacing w:after="240" w:line="276" w:lineRule="auto"/>
        <w:rPr>
          <w:rFonts w:ascii="Times New Roman" w:hAnsi="Times New Roman" w:cs="Times New Roman"/>
          <w:b/>
          <w:bCs/>
          <w:sz w:val="24"/>
          <w:szCs w:val="24"/>
        </w:rPr>
      </w:pPr>
      <w:r>
        <w:rPr>
          <w:rFonts w:ascii="Times New Roman" w:hAnsi="Times New Roman" w:cs="Times New Roman"/>
          <w:b/>
          <w:bCs/>
          <w:sz w:val="24"/>
          <w:szCs w:val="24"/>
        </w:rPr>
        <w:t>7. Timeline</w:t>
      </w:r>
    </w:p>
    <w:tbl>
      <w:tblPr>
        <w:tblStyle w:val="TableGrid"/>
        <w:tblW w:w="0" w:type="auto"/>
        <w:tblLook w:val="04A0" w:firstRow="1" w:lastRow="0" w:firstColumn="1" w:lastColumn="0" w:noHBand="0" w:noVBand="1"/>
      </w:tblPr>
      <w:tblGrid>
        <w:gridCol w:w="1795"/>
        <w:gridCol w:w="7555"/>
      </w:tblGrid>
      <w:tr w:rsidR="00C50843" w14:paraId="08D5564D" w14:textId="77777777" w:rsidTr="00243765">
        <w:tc>
          <w:tcPr>
            <w:tcW w:w="1795" w:type="dxa"/>
          </w:tcPr>
          <w:p w14:paraId="2A5A6E8C" w14:textId="77777777" w:rsidR="00243765" w:rsidRDefault="00243765" w:rsidP="00243765">
            <w:pPr>
              <w:autoSpaceDE w:val="0"/>
              <w:autoSpaceDN w:val="0"/>
              <w:adjustRightInd w:val="0"/>
              <w:spacing w:line="276" w:lineRule="auto"/>
              <w:rPr>
                <w:rFonts w:ascii="Times New Roman" w:hAnsi="Times New Roman" w:cs="Times New Roman"/>
                <w:sz w:val="24"/>
                <w:szCs w:val="24"/>
              </w:rPr>
            </w:pPr>
            <w:r>
              <w:rPr>
                <w:rFonts w:ascii="Times New Roman" w:hAnsi="Times New Roman" w:cs="Times New Roman"/>
                <w:sz w:val="24"/>
                <w:szCs w:val="24"/>
              </w:rPr>
              <w:t>Day 1</w:t>
            </w:r>
          </w:p>
          <w:p w14:paraId="795CED2B" w14:textId="0E9B2A5C" w:rsidR="00243765" w:rsidRDefault="00243765" w:rsidP="00243765">
            <w:pPr>
              <w:autoSpaceDE w:val="0"/>
              <w:autoSpaceDN w:val="0"/>
              <w:adjustRightInd w:val="0"/>
              <w:spacing w:line="276" w:lineRule="auto"/>
              <w:rPr>
                <w:rFonts w:ascii="Times New Roman" w:hAnsi="Times New Roman" w:cs="Times New Roman"/>
                <w:sz w:val="24"/>
                <w:szCs w:val="24"/>
              </w:rPr>
            </w:pPr>
            <w:r>
              <w:rPr>
                <w:rFonts w:ascii="Times New Roman" w:hAnsi="Times New Roman" w:cs="Times New Roman"/>
                <w:sz w:val="24"/>
                <w:szCs w:val="24"/>
              </w:rPr>
              <w:t>Admission</w:t>
            </w:r>
          </w:p>
        </w:tc>
        <w:tc>
          <w:tcPr>
            <w:tcW w:w="7555" w:type="dxa"/>
          </w:tcPr>
          <w:p w14:paraId="38720D77" w14:textId="6ACA8469" w:rsidR="00C50843" w:rsidRDefault="00243765" w:rsidP="00243765">
            <w:pPr>
              <w:autoSpaceDE w:val="0"/>
              <w:autoSpaceDN w:val="0"/>
              <w:adjustRightInd w:val="0"/>
              <w:spacing w:line="276" w:lineRule="auto"/>
              <w:rPr>
                <w:rFonts w:ascii="Times New Roman" w:hAnsi="Times New Roman" w:cs="Times New Roman"/>
                <w:sz w:val="24"/>
                <w:szCs w:val="24"/>
              </w:rPr>
            </w:pPr>
            <w:r>
              <w:rPr>
                <w:rFonts w:ascii="Times New Roman" w:hAnsi="Times New Roman" w:cs="Times New Roman"/>
                <w:sz w:val="24"/>
                <w:szCs w:val="24"/>
              </w:rPr>
              <w:t>The patient presented with h</w:t>
            </w:r>
            <w:r w:rsidR="00C50843">
              <w:rPr>
                <w:rFonts w:ascii="Times New Roman" w:hAnsi="Times New Roman" w:cs="Times New Roman"/>
                <w:sz w:val="24"/>
                <w:szCs w:val="24"/>
              </w:rPr>
              <w:t>igh-grade intermittent fever for</w:t>
            </w:r>
            <w:r>
              <w:rPr>
                <w:rFonts w:ascii="Times New Roman" w:hAnsi="Times New Roman" w:cs="Times New Roman"/>
                <w:sz w:val="24"/>
                <w:szCs w:val="24"/>
              </w:rPr>
              <w:t xml:space="preserve"> the past</w:t>
            </w:r>
            <w:r w:rsidR="00C50843">
              <w:rPr>
                <w:rFonts w:ascii="Times New Roman" w:hAnsi="Times New Roman" w:cs="Times New Roman"/>
                <w:sz w:val="24"/>
                <w:szCs w:val="24"/>
              </w:rPr>
              <w:t xml:space="preserve"> five days</w:t>
            </w:r>
            <w:r>
              <w:rPr>
                <w:rFonts w:ascii="Times New Roman" w:hAnsi="Times New Roman" w:cs="Times New Roman"/>
                <w:sz w:val="24"/>
                <w:szCs w:val="24"/>
              </w:rPr>
              <w:t xml:space="preserve"> associated with severe frontal headache, vomiting and watery diarrhoea.</w:t>
            </w:r>
          </w:p>
          <w:p w14:paraId="7F059205" w14:textId="00584148" w:rsidR="00243765" w:rsidRDefault="00243765" w:rsidP="00243765">
            <w:pPr>
              <w:autoSpaceDE w:val="0"/>
              <w:autoSpaceDN w:val="0"/>
              <w:adjustRightInd w:val="0"/>
              <w:spacing w:line="276" w:lineRule="auto"/>
              <w:rPr>
                <w:rFonts w:ascii="Times New Roman" w:hAnsi="Times New Roman" w:cs="Times New Roman"/>
                <w:sz w:val="24"/>
                <w:szCs w:val="24"/>
              </w:rPr>
            </w:pPr>
            <w:r>
              <w:rPr>
                <w:rFonts w:ascii="Times New Roman" w:hAnsi="Times New Roman" w:cs="Times New Roman"/>
                <w:sz w:val="24"/>
                <w:szCs w:val="24"/>
              </w:rPr>
              <w:t>His vital parameters were stable.</w:t>
            </w:r>
          </w:p>
          <w:p w14:paraId="7D037611" w14:textId="0EC8D09A" w:rsidR="00243765" w:rsidRDefault="00243765" w:rsidP="00243765">
            <w:pPr>
              <w:autoSpaceDE w:val="0"/>
              <w:autoSpaceDN w:val="0"/>
              <w:adjustRightInd w:val="0"/>
              <w:spacing w:line="276" w:lineRule="auto"/>
              <w:rPr>
                <w:rFonts w:ascii="Times New Roman" w:hAnsi="Times New Roman" w:cs="Times New Roman"/>
                <w:sz w:val="24"/>
                <w:szCs w:val="24"/>
              </w:rPr>
            </w:pPr>
            <w:r>
              <w:rPr>
                <w:rFonts w:ascii="Times New Roman" w:hAnsi="Times New Roman" w:cs="Times New Roman"/>
                <w:sz w:val="24"/>
                <w:szCs w:val="24"/>
              </w:rPr>
              <w:t>He was diagnosed with dengue fever, and febrile phase monitoring was started.</w:t>
            </w:r>
          </w:p>
        </w:tc>
      </w:tr>
      <w:tr w:rsidR="00C50843" w14:paraId="71C98B31" w14:textId="77777777" w:rsidTr="00243765">
        <w:tc>
          <w:tcPr>
            <w:tcW w:w="1795" w:type="dxa"/>
          </w:tcPr>
          <w:p w14:paraId="7B5C7FA4" w14:textId="753E8FCA" w:rsidR="00C50843" w:rsidRDefault="00243765" w:rsidP="00243765">
            <w:pPr>
              <w:autoSpaceDE w:val="0"/>
              <w:autoSpaceDN w:val="0"/>
              <w:adjustRightInd w:val="0"/>
              <w:spacing w:line="276" w:lineRule="auto"/>
              <w:rPr>
                <w:rFonts w:ascii="Times New Roman" w:hAnsi="Times New Roman" w:cs="Times New Roman"/>
                <w:sz w:val="24"/>
                <w:szCs w:val="24"/>
              </w:rPr>
            </w:pPr>
            <w:r>
              <w:rPr>
                <w:rFonts w:ascii="Times New Roman" w:hAnsi="Times New Roman" w:cs="Times New Roman"/>
                <w:sz w:val="24"/>
                <w:szCs w:val="24"/>
              </w:rPr>
              <w:lastRenderedPageBreak/>
              <w:t>Day 2</w:t>
            </w:r>
          </w:p>
        </w:tc>
        <w:tc>
          <w:tcPr>
            <w:tcW w:w="7555" w:type="dxa"/>
          </w:tcPr>
          <w:p w14:paraId="2699B535" w14:textId="51E7B2AB" w:rsidR="00C50843" w:rsidRDefault="00243765" w:rsidP="00243765">
            <w:pPr>
              <w:autoSpaceDE w:val="0"/>
              <w:autoSpaceDN w:val="0"/>
              <w:adjustRightInd w:val="0"/>
              <w:spacing w:line="276" w:lineRule="auto"/>
              <w:rPr>
                <w:rFonts w:ascii="Times New Roman" w:hAnsi="Times New Roman" w:cs="Times New Roman"/>
                <w:sz w:val="24"/>
                <w:szCs w:val="24"/>
              </w:rPr>
            </w:pPr>
            <w:r>
              <w:rPr>
                <w:rFonts w:ascii="Times New Roman" w:hAnsi="Times New Roman" w:cs="Times New Roman"/>
                <w:sz w:val="24"/>
                <w:szCs w:val="24"/>
              </w:rPr>
              <w:t>The patient entered the critical phase, and appropriate fluid management was done</w:t>
            </w:r>
          </w:p>
        </w:tc>
      </w:tr>
      <w:tr w:rsidR="00C50843" w14:paraId="74C9B560" w14:textId="77777777" w:rsidTr="00243765">
        <w:tc>
          <w:tcPr>
            <w:tcW w:w="1795" w:type="dxa"/>
          </w:tcPr>
          <w:p w14:paraId="5BEDC7F1" w14:textId="004E77E3" w:rsidR="00C50843" w:rsidRDefault="00243765" w:rsidP="00243765">
            <w:pPr>
              <w:autoSpaceDE w:val="0"/>
              <w:autoSpaceDN w:val="0"/>
              <w:adjustRightInd w:val="0"/>
              <w:spacing w:line="276" w:lineRule="auto"/>
              <w:rPr>
                <w:rFonts w:ascii="Times New Roman" w:hAnsi="Times New Roman" w:cs="Times New Roman"/>
                <w:sz w:val="24"/>
                <w:szCs w:val="24"/>
              </w:rPr>
            </w:pPr>
            <w:r>
              <w:rPr>
                <w:rFonts w:ascii="Times New Roman" w:hAnsi="Times New Roman" w:cs="Times New Roman"/>
                <w:sz w:val="24"/>
                <w:szCs w:val="24"/>
              </w:rPr>
              <w:t>Day 3</w:t>
            </w:r>
          </w:p>
        </w:tc>
        <w:tc>
          <w:tcPr>
            <w:tcW w:w="7555" w:type="dxa"/>
          </w:tcPr>
          <w:p w14:paraId="09EDA7BB" w14:textId="36DD6ADF" w:rsidR="00C50843" w:rsidRDefault="00243765" w:rsidP="00243765">
            <w:pPr>
              <w:autoSpaceDE w:val="0"/>
              <w:autoSpaceDN w:val="0"/>
              <w:adjustRightInd w:val="0"/>
              <w:spacing w:line="276" w:lineRule="auto"/>
              <w:rPr>
                <w:rFonts w:ascii="Times New Roman" w:hAnsi="Times New Roman" w:cs="Times New Roman"/>
                <w:sz w:val="24"/>
                <w:szCs w:val="24"/>
              </w:rPr>
            </w:pPr>
            <w:r>
              <w:rPr>
                <w:rFonts w:ascii="Times New Roman" w:hAnsi="Times New Roman" w:cs="Times New Roman"/>
                <w:sz w:val="24"/>
                <w:szCs w:val="24"/>
              </w:rPr>
              <w:t>He continued to have fever spikes even after the critical phase was over.</w:t>
            </w:r>
          </w:p>
          <w:p w14:paraId="6759C6A0" w14:textId="6B5B10ED" w:rsidR="00243765" w:rsidRDefault="00243765" w:rsidP="00243765">
            <w:pPr>
              <w:autoSpaceDE w:val="0"/>
              <w:autoSpaceDN w:val="0"/>
              <w:adjustRightInd w:val="0"/>
              <w:spacing w:line="276" w:lineRule="auto"/>
              <w:rPr>
                <w:rFonts w:ascii="Times New Roman" w:hAnsi="Times New Roman" w:cs="Times New Roman"/>
                <w:sz w:val="24"/>
                <w:szCs w:val="24"/>
              </w:rPr>
            </w:pPr>
            <w:r>
              <w:rPr>
                <w:rFonts w:ascii="Times New Roman" w:hAnsi="Times New Roman" w:cs="Times New Roman"/>
                <w:sz w:val="24"/>
                <w:szCs w:val="24"/>
              </w:rPr>
              <w:t xml:space="preserve">The blood investigations revealed persistent thrombocytopenia and a drop in haemoglobin, where the blood picture had features suggestive of HLH. </w:t>
            </w:r>
          </w:p>
          <w:p w14:paraId="4C1C4D2E" w14:textId="059FA216" w:rsidR="00243765" w:rsidRDefault="00243765" w:rsidP="00243765">
            <w:pPr>
              <w:autoSpaceDE w:val="0"/>
              <w:autoSpaceDN w:val="0"/>
              <w:adjustRightInd w:val="0"/>
              <w:spacing w:line="276" w:lineRule="auto"/>
              <w:rPr>
                <w:rFonts w:ascii="Times New Roman" w:hAnsi="Times New Roman" w:cs="Times New Roman"/>
                <w:sz w:val="24"/>
                <w:szCs w:val="24"/>
              </w:rPr>
            </w:pPr>
            <w:r>
              <w:rPr>
                <w:rFonts w:ascii="Times New Roman" w:hAnsi="Times New Roman" w:cs="Times New Roman"/>
                <w:sz w:val="24"/>
                <w:szCs w:val="24"/>
              </w:rPr>
              <w:t>He also had high ferritin and triglyceride levels.</w:t>
            </w:r>
          </w:p>
        </w:tc>
      </w:tr>
      <w:tr w:rsidR="00243765" w14:paraId="780D8C20" w14:textId="77777777" w:rsidTr="00243765">
        <w:tc>
          <w:tcPr>
            <w:tcW w:w="1795" w:type="dxa"/>
          </w:tcPr>
          <w:p w14:paraId="12776412" w14:textId="1CD7B0ED" w:rsidR="00243765" w:rsidRDefault="00243765" w:rsidP="00243765">
            <w:pPr>
              <w:autoSpaceDE w:val="0"/>
              <w:autoSpaceDN w:val="0"/>
              <w:adjustRightInd w:val="0"/>
              <w:spacing w:line="276" w:lineRule="auto"/>
              <w:rPr>
                <w:rFonts w:ascii="Times New Roman" w:hAnsi="Times New Roman" w:cs="Times New Roman"/>
                <w:sz w:val="24"/>
                <w:szCs w:val="24"/>
              </w:rPr>
            </w:pPr>
            <w:r>
              <w:rPr>
                <w:rFonts w:ascii="Times New Roman" w:hAnsi="Times New Roman" w:cs="Times New Roman"/>
                <w:sz w:val="24"/>
                <w:szCs w:val="24"/>
              </w:rPr>
              <w:t>Day 4</w:t>
            </w:r>
          </w:p>
        </w:tc>
        <w:tc>
          <w:tcPr>
            <w:tcW w:w="7555" w:type="dxa"/>
          </w:tcPr>
          <w:p w14:paraId="3DEE41FD" w14:textId="77777777" w:rsidR="00243765" w:rsidRDefault="00243765" w:rsidP="00243765">
            <w:pPr>
              <w:autoSpaceDE w:val="0"/>
              <w:autoSpaceDN w:val="0"/>
              <w:adjustRightInd w:val="0"/>
              <w:spacing w:line="276" w:lineRule="auto"/>
              <w:rPr>
                <w:rFonts w:ascii="Times New Roman" w:hAnsi="Times New Roman" w:cs="Times New Roman"/>
                <w:sz w:val="24"/>
                <w:szCs w:val="24"/>
              </w:rPr>
            </w:pPr>
            <w:r>
              <w:rPr>
                <w:rFonts w:ascii="Times New Roman" w:hAnsi="Times New Roman" w:cs="Times New Roman"/>
                <w:sz w:val="24"/>
                <w:szCs w:val="24"/>
              </w:rPr>
              <w:t>Bone marrow biopsy confirmed the diagnosis of HLH.</w:t>
            </w:r>
          </w:p>
          <w:p w14:paraId="0946B154" w14:textId="1553B08A" w:rsidR="00243765" w:rsidRDefault="00243765" w:rsidP="00243765">
            <w:pPr>
              <w:autoSpaceDE w:val="0"/>
              <w:autoSpaceDN w:val="0"/>
              <w:adjustRightInd w:val="0"/>
              <w:spacing w:line="276" w:lineRule="auto"/>
              <w:rPr>
                <w:rFonts w:ascii="Times New Roman" w:hAnsi="Times New Roman" w:cs="Times New Roman"/>
                <w:sz w:val="24"/>
                <w:szCs w:val="24"/>
              </w:rPr>
            </w:pPr>
            <w:r>
              <w:rPr>
                <w:rFonts w:ascii="Times New Roman" w:hAnsi="Times New Roman" w:cs="Times New Roman"/>
                <w:sz w:val="24"/>
                <w:szCs w:val="24"/>
              </w:rPr>
              <w:t>Intravenous dexamethasone was started.</w:t>
            </w:r>
          </w:p>
        </w:tc>
      </w:tr>
      <w:tr w:rsidR="00243765" w14:paraId="0FB11D37" w14:textId="77777777" w:rsidTr="00243765">
        <w:tc>
          <w:tcPr>
            <w:tcW w:w="1795" w:type="dxa"/>
          </w:tcPr>
          <w:p w14:paraId="3F7C6FD1" w14:textId="3003E1D2" w:rsidR="00243765" w:rsidRDefault="00243765" w:rsidP="00243765">
            <w:pPr>
              <w:autoSpaceDE w:val="0"/>
              <w:autoSpaceDN w:val="0"/>
              <w:adjustRightInd w:val="0"/>
              <w:spacing w:line="276" w:lineRule="auto"/>
              <w:rPr>
                <w:rFonts w:ascii="Times New Roman" w:hAnsi="Times New Roman" w:cs="Times New Roman"/>
                <w:sz w:val="24"/>
                <w:szCs w:val="24"/>
              </w:rPr>
            </w:pPr>
            <w:r>
              <w:rPr>
                <w:rFonts w:ascii="Times New Roman" w:hAnsi="Times New Roman" w:cs="Times New Roman"/>
                <w:sz w:val="24"/>
                <w:szCs w:val="24"/>
              </w:rPr>
              <w:t>Day 5</w:t>
            </w:r>
          </w:p>
        </w:tc>
        <w:tc>
          <w:tcPr>
            <w:tcW w:w="7555" w:type="dxa"/>
          </w:tcPr>
          <w:p w14:paraId="3A9C45C2" w14:textId="77777777" w:rsidR="00243765" w:rsidRDefault="00243765" w:rsidP="00243765">
            <w:pPr>
              <w:autoSpaceDE w:val="0"/>
              <w:autoSpaceDN w:val="0"/>
              <w:adjustRightInd w:val="0"/>
              <w:spacing w:line="276" w:lineRule="auto"/>
              <w:rPr>
                <w:rFonts w:ascii="Times New Roman" w:hAnsi="Times New Roman" w:cs="Times New Roman"/>
                <w:sz w:val="24"/>
                <w:szCs w:val="24"/>
              </w:rPr>
            </w:pPr>
            <w:r>
              <w:rPr>
                <w:rFonts w:ascii="Times New Roman" w:hAnsi="Times New Roman" w:cs="Times New Roman"/>
                <w:sz w:val="24"/>
                <w:szCs w:val="24"/>
              </w:rPr>
              <w:t>The patient improved clinically, and there were increments of the platelet and the white cell count.</w:t>
            </w:r>
          </w:p>
          <w:p w14:paraId="23DA7B18" w14:textId="5538FE03" w:rsidR="00243765" w:rsidRDefault="00243765" w:rsidP="00243765">
            <w:pPr>
              <w:autoSpaceDE w:val="0"/>
              <w:autoSpaceDN w:val="0"/>
              <w:adjustRightInd w:val="0"/>
              <w:spacing w:line="276" w:lineRule="auto"/>
              <w:rPr>
                <w:rFonts w:ascii="Times New Roman" w:hAnsi="Times New Roman" w:cs="Times New Roman"/>
                <w:sz w:val="24"/>
                <w:szCs w:val="24"/>
              </w:rPr>
            </w:pPr>
            <w:r>
              <w:rPr>
                <w:rFonts w:ascii="Times New Roman" w:hAnsi="Times New Roman" w:cs="Times New Roman"/>
                <w:sz w:val="24"/>
                <w:szCs w:val="24"/>
              </w:rPr>
              <w:t>Intravenous dexamethasone was continued.</w:t>
            </w:r>
          </w:p>
        </w:tc>
      </w:tr>
      <w:tr w:rsidR="00243765" w14:paraId="29E1D0EE" w14:textId="77777777" w:rsidTr="00243765">
        <w:tc>
          <w:tcPr>
            <w:tcW w:w="1795" w:type="dxa"/>
          </w:tcPr>
          <w:p w14:paraId="2326835C" w14:textId="3BF5EFC4" w:rsidR="00243765" w:rsidRDefault="00243765" w:rsidP="00243765">
            <w:pPr>
              <w:autoSpaceDE w:val="0"/>
              <w:autoSpaceDN w:val="0"/>
              <w:adjustRightInd w:val="0"/>
              <w:spacing w:line="276" w:lineRule="auto"/>
              <w:rPr>
                <w:rFonts w:ascii="Times New Roman" w:hAnsi="Times New Roman" w:cs="Times New Roman"/>
                <w:sz w:val="24"/>
                <w:szCs w:val="24"/>
              </w:rPr>
            </w:pPr>
            <w:r>
              <w:rPr>
                <w:rFonts w:ascii="Times New Roman" w:hAnsi="Times New Roman" w:cs="Times New Roman"/>
                <w:sz w:val="24"/>
                <w:szCs w:val="24"/>
              </w:rPr>
              <w:t>Day 15</w:t>
            </w:r>
          </w:p>
        </w:tc>
        <w:tc>
          <w:tcPr>
            <w:tcW w:w="7555" w:type="dxa"/>
          </w:tcPr>
          <w:p w14:paraId="178A2608" w14:textId="4E2C7687" w:rsidR="00243765" w:rsidRDefault="00243765" w:rsidP="00243765">
            <w:pPr>
              <w:autoSpaceDE w:val="0"/>
              <w:autoSpaceDN w:val="0"/>
              <w:adjustRightInd w:val="0"/>
              <w:spacing w:line="276" w:lineRule="auto"/>
              <w:rPr>
                <w:rFonts w:ascii="Times New Roman" w:hAnsi="Times New Roman" w:cs="Times New Roman"/>
                <w:sz w:val="24"/>
                <w:szCs w:val="24"/>
              </w:rPr>
            </w:pPr>
            <w:r>
              <w:rPr>
                <w:rFonts w:ascii="Times New Roman" w:hAnsi="Times New Roman" w:cs="Times New Roman"/>
                <w:sz w:val="24"/>
                <w:szCs w:val="24"/>
              </w:rPr>
              <w:t>Dexamethasone administration was converted from intravenous to oral, and the patient was discharged from the hospital.</w:t>
            </w:r>
          </w:p>
        </w:tc>
      </w:tr>
      <w:tr w:rsidR="00243765" w14:paraId="4BD87FB8" w14:textId="77777777" w:rsidTr="00243765">
        <w:tc>
          <w:tcPr>
            <w:tcW w:w="1795" w:type="dxa"/>
          </w:tcPr>
          <w:p w14:paraId="3800F064" w14:textId="2DE2AC0C" w:rsidR="00243765" w:rsidRDefault="00243765" w:rsidP="00243765">
            <w:pPr>
              <w:autoSpaceDE w:val="0"/>
              <w:autoSpaceDN w:val="0"/>
              <w:adjustRightInd w:val="0"/>
              <w:spacing w:line="276" w:lineRule="auto"/>
              <w:rPr>
                <w:rFonts w:ascii="Times New Roman" w:hAnsi="Times New Roman" w:cs="Times New Roman"/>
                <w:sz w:val="24"/>
                <w:szCs w:val="24"/>
              </w:rPr>
            </w:pPr>
            <w:r>
              <w:rPr>
                <w:rFonts w:ascii="Times New Roman" w:hAnsi="Times New Roman" w:cs="Times New Roman"/>
                <w:sz w:val="24"/>
                <w:szCs w:val="24"/>
              </w:rPr>
              <w:t>Week 10</w:t>
            </w:r>
          </w:p>
        </w:tc>
        <w:tc>
          <w:tcPr>
            <w:tcW w:w="7555" w:type="dxa"/>
          </w:tcPr>
          <w:p w14:paraId="1712EB45" w14:textId="55DC7C81" w:rsidR="00243765" w:rsidRDefault="00243765" w:rsidP="00243765">
            <w:pPr>
              <w:autoSpaceDE w:val="0"/>
              <w:autoSpaceDN w:val="0"/>
              <w:adjustRightInd w:val="0"/>
              <w:spacing w:line="276" w:lineRule="auto"/>
              <w:rPr>
                <w:rFonts w:ascii="Times New Roman" w:hAnsi="Times New Roman" w:cs="Times New Roman"/>
                <w:sz w:val="24"/>
                <w:szCs w:val="24"/>
              </w:rPr>
            </w:pPr>
            <w:r>
              <w:rPr>
                <w:rFonts w:ascii="Times New Roman" w:hAnsi="Times New Roman" w:cs="Times New Roman"/>
                <w:sz w:val="24"/>
                <w:szCs w:val="24"/>
              </w:rPr>
              <w:t>The patient was reviewed regularly, and oral dexamethasone was gradually tailed off over eight weeks and stopped after full recovery.</w:t>
            </w:r>
          </w:p>
        </w:tc>
      </w:tr>
    </w:tbl>
    <w:p w14:paraId="759D374C" w14:textId="77777777" w:rsidR="00243765" w:rsidRDefault="00243765" w:rsidP="00791892">
      <w:pPr>
        <w:autoSpaceDE w:val="0"/>
        <w:autoSpaceDN w:val="0"/>
        <w:adjustRightInd w:val="0"/>
        <w:spacing w:after="240" w:line="276" w:lineRule="auto"/>
        <w:rPr>
          <w:rFonts w:ascii="Times New Roman" w:hAnsi="Times New Roman" w:cs="Times New Roman"/>
          <w:b/>
          <w:bCs/>
          <w:sz w:val="24"/>
          <w:szCs w:val="24"/>
        </w:rPr>
      </w:pPr>
    </w:p>
    <w:p w14:paraId="75ADE74E" w14:textId="088C2F46" w:rsidR="00791892" w:rsidRDefault="00243765" w:rsidP="00791892">
      <w:pPr>
        <w:autoSpaceDE w:val="0"/>
        <w:autoSpaceDN w:val="0"/>
        <w:adjustRightInd w:val="0"/>
        <w:spacing w:after="240" w:line="276" w:lineRule="auto"/>
        <w:rPr>
          <w:rFonts w:ascii="Times New Roman" w:hAnsi="Times New Roman" w:cs="Times New Roman"/>
          <w:b/>
          <w:sz w:val="24"/>
          <w:szCs w:val="24"/>
        </w:rPr>
      </w:pPr>
      <w:r>
        <w:rPr>
          <w:rFonts w:ascii="Times New Roman" w:hAnsi="Times New Roman" w:cs="Times New Roman"/>
          <w:b/>
          <w:bCs/>
          <w:sz w:val="24"/>
          <w:szCs w:val="24"/>
        </w:rPr>
        <w:t xml:space="preserve">8. </w:t>
      </w:r>
      <w:r w:rsidR="00770E87" w:rsidRPr="00E00B7F">
        <w:rPr>
          <w:rFonts w:ascii="Times New Roman" w:hAnsi="Times New Roman" w:cs="Times New Roman"/>
          <w:b/>
          <w:bCs/>
          <w:sz w:val="24"/>
          <w:szCs w:val="24"/>
        </w:rPr>
        <w:t>Diagnostic Assessment</w:t>
      </w:r>
    </w:p>
    <w:p w14:paraId="1D3E0B14" w14:textId="77777777" w:rsidR="00791892" w:rsidRDefault="00791892" w:rsidP="00791892">
      <w:pPr>
        <w:autoSpaceDE w:val="0"/>
        <w:autoSpaceDN w:val="0"/>
        <w:adjustRightInd w:val="0"/>
        <w:spacing w:after="240" w:line="276" w:lineRule="auto"/>
        <w:rPr>
          <w:rFonts w:ascii="Times New Roman" w:hAnsi="Times New Roman" w:cs="Times New Roman"/>
          <w:sz w:val="24"/>
          <w:szCs w:val="24"/>
        </w:rPr>
      </w:pPr>
      <w:r>
        <w:rPr>
          <w:rFonts w:ascii="Times New Roman" w:hAnsi="Times New Roman" w:cs="Times New Roman"/>
          <w:sz w:val="24"/>
          <w:szCs w:val="24"/>
        </w:rPr>
        <w:t>In the initial full blood count, he had a white cell count of 2.7 × 10</w:t>
      </w:r>
      <w:r>
        <w:rPr>
          <w:rFonts w:ascii="Times New Roman" w:hAnsi="Times New Roman" w:cs="Times New Roman"/>
          <w:sz w:val="24"/>
          <w:szCs w:val="24"/>
          <w:vertAlign w:val="superscript"/>
        </w:rPr>
        <w:t>9</w:t>
      </w:r>
      <w:r>
        <w:rPr>
          <w:rFonts w:ascii="Times New Roman" w:hAnsi="Times New Roman" w:cs="Times New Roman"/>
          <w:sz w:val="24"/>
          <w:szCs w:val="24"/>
        </w:rPr>
        <w:t xml:space="preserve"> / L, with neutrophils</w:t>
      </w:r>
      <w:r w:rsidR="00770E87" w:rsidRPr="00E00B7F">
        <w:rPr>
          <w:rFonts w:ascii="Times New Roman" w:hAnsi="Times New Roman" w:cs="Times New Roman"/>
          <w:sz w:val="24"/>
          <w:szCs w:val="24"/>
        </w:rPr>
        <w:t xml:space="preserve"> 1.9</w:t>
      </w:r>
      <w:r>
        <w:rPr>
          <w:rFonts w:ascii="Times New Roman" w:hAnsi="Times New Roman" w:cs="Times New Roman"/>
          <w:sz w:val="24"/>
          <w:szCs w:val="24"/>
        </w:rPr>
        <w:t xml:space="preserve"> × 10</w:t>
      </w:r>
      <w:r>
        <w:rPr>
          <w:rFonts w:ascii="Times New Roman" w:hAnsi="Times New Roman" w:cs="Times New Roman"/>
          <w:sz w:val="24"/>
          <w:szCs w:val="24"/>
          <w:vertAlign w:val="superscript"/>
        </w:rPr>
        <w:t>9</w:t>
      </w:r>
      <w:r>
        <w:rPr>
          <w:rFonts w:ascii="Times New Roman" w:hAnsi="Times New Roman" w:cs="Times New Roman"/>
          <w:sz w:val="24"/>
          <w:szCs w:val="24"/>
        </w:rPr>
        <w:t xml:space="preserve"> / L and</w:t>
      </w:r>
      <w:r w:rsidR="00770E87" w:rsidRPr="00E00B7F">
        <w:rPr>
          <w:rFonts w:ascii="Times New Roman" w:hAnsi="Times New Roman" w:cs="Times New Roman"/>
          <w:sz w:val="24"/>
          <w:szCs w:val="24"/>
        </w:rPr>
        <w:t xml:space="preserve"> </w:t>
      </w:r>
      <w:r>
        <w:rPr>
          <w:rFonts w:ascii="Times New Roman" w:hAnsi="Times New Roman" w:cs="Times New Roman"/>
          <w:sz w:val="24"/>
          <w:szCs w:val="24"/>
        </w:rPr>
        <w:t>l</w:t>
      </w:r>
      <w:r w:rsidR="00770E87" w:rsidRPr="00E00B7F">
        <w:rPr>
          <w:rFonts w:ascii="Times New Roman" w:hAnsi="Times New Roman" w:cs="Times New Roman"/>
          <w:sz w:val="24"/>
          <w:szCs w:val="24"/>
        </w:rPr>
        <w:t>ym</w:t>
      </w:r>
      <w:r>
        <w:rPr>
          <w:rFonts w:ascii="Times New Roman" w:hAnsi="Times New Roman" w:cs="Times New Roman"/>
          <w:sz w:val="24"/>
          <w:szCs w:val="24"/>
        </w:rPr>
        <w:t xml:space="preserve">phocyte </w:t>
      </w:r>
      <w:r w:rsidR="00770E87" w:rsidRPr="00E00B7F">
        <w:rPr>
          <w:rFonts w:ascii="Times New Roman" w:hAnsi="Times New Roman" w:cs="Times New Roman"/>
          <w:sz w:val="24"/>
          <w:szCs w:val="24"/>
        </w:rPr>
        <w:t>0.6</w:t>
      </w:r>
      <w:r>
        <w:rPr>
          <w:rFonts w:ascii="Times New Roman" w:hAnsi="Times New Roman" w:cs="Times New Roman"/>
          <w:sz w:val="24"/>
          <w:szCs w:val="24"/>
        </w:rPr>
        <w:t xml:space="preserve"> × 10</w:t>
      </w:r>
      <w:r>
        <w:rPr>
          <w:rFonts w:ascii="Times New Roman" w:hAnsi="Times New Roman" w:cs="Times New Roman"/>
          <w:sz w:val="24"/>
          <w:szCs w:val="24"/>
          <w:vertAlign w:val="superscript"/>
        </w:rPr>
        <w:t>9</w:t>
      </w:r>
      <w:r>
        <w:rPr>
          <w:rFonts w:ascii="Times New Roman" w:hAnsi="Times New Roman" w:cs="Times New Roman"/>
          <w:sz w:val="24"/>
          <w:szCs w:val="24"/>
        </w:rPr>
        <w:t xml:space="preserve"> / L</w:t>
      </w:r>
      <w:r w:rsidR="00770E87" w:rsidRPr="00E00B7F">
        <w:rPr>
          <w:rFonts w:ascii="Times New Roman" w:hAnsi="Times New Roman" w:cs="Times New Roman"/>
          <w:sz w:val="24"/>
          <w:szCs w:val="24"/>
        </w:rPr>
        <w:t>,</w:t>
      </w:r>
      <w:r>
        <w:rPr>
          <w:rFonts w:ascii="Times New Roman" w:hAnsi="Times New Roman" w:cs="Times New Roman"/>
          <w:sz w:val="24"/>
          <w:szCs w:val="24"/>
        </w:rPr>
        <w:t xml:space="preserve"> and a red blood cell count of</w:t>
      </w:r>
      <w:r w:rsidR="00770E87" w:rsidRPr="00E00B7F">
        <w:rPr>
          <w:rFonts w:ascii="Times New Roman" w:hAnsi="Times New Roman" w:cs="Times New Roman"/>
          <w:sz w:val="24"/>
          <w:szCs w:val="24"/>
        </w:rPr>
        <w:t xml:space="preserve"> 5.04</w:t>
      </w:r>
      <w:r>
        <w:rPr>
          <w:rFonts w:ascii="Times New Roman" w:hAnsi="Times New Roman" w:cs="Times New Roman"/>
          <w:sz w:val="24"/>
          <w:szCs w:val="24"/>
        </w:rPr>
        <w:t xml:space="preserve"> × 10</w:t>
      </w:r>
      <w:r>
        <w:rPr>
          <w:rFonts w:ascii="Times New Roman" w:hAnsi="Times New Roman" w:cs="Times New Roman"/>
          <w:sz w:val="24"/>
          <w:szCs w:val="24"/>
          <w:vertAlign w:val="superscript"/>
        </w:rPr>
        <w:t>9</w:t>
      </w:r>
      <w:r>
        <w:rPr>
          <w:rFonts w:ascii="Times New Roman" w:hAnsi="Times New Roman" w:cs="Times New Roman"/>
          <w:sz w:val="24"/>
          <w:szCs w:val="24"/>
        </w:rPr>
        <w:t xml:space="preserve"> / µL. </w:t>
      </w:r>
      <w:r w:rsidR="00770E87" w:rsidRPr="00E00B7F">
        <w:rPr>
          <w:rFonts w:ascii="Times New Roman" w:hAnsi="Times New Roman" w:cs="Times New Roman"/>
          <w:sz w:val="24"/>
          <w:szCs w:val="24"/>
        </w:rPr>
        <w:t>H</w:t>
      </w:r>
      <w:r>
        <w:rPr>
          <w:rFonts w:ascii="Times New Roman" w:hAnsi="Times New Roman" w:cs="Times New Roman"/>
          <w:sz w:val="24"/>
          <w:szCs w:val="24"/>
        </w:rPr>
        <w:t xml:space="preserve">aemoglobin level was </w:t>
      </w:r>
      <w:r w:rsidR="00770E87" w:rsidRPr="00E00B7F">
        <w:rPr>
          <w:rFonts w:ascii="Times New Roman" w:hAnsi="Times New Roman" w:cs="Times New Roman"/>
          <w:sz w:val="24"/>
          <w:szCs w:val="24"/>
        </w:rPr>
        <w:t>14.7</w:t>
      </w:r>
      <w:r>
        <w:rPr>
          <w:rFonts w:ascii="Times New Roman" w:hAnsi="Times New Roman" w:cs="Times New Roman"/>
          <w:sz w:val="24"/>
          <w:szCs w:val="24"/>
        </w:rPr>
        <w:t xml:space="preserve"> g/dL</w:t>
      </w:r>
      <w:r w:rsidR="00770E87" w:rsidRPr="00E00B7F">
        <w:rPr>
          <w:rFonts w:ascii="Times New Roman" w:hAnsi="Times New Roman" w:cs="Times New Roman"/>
          <w:sz w:val="24"/>
          <w:szCs w:val="24"/>
        </w:rPr>
        <w:t>,</w:t>
      </w:r>
      <w:r>
        <w:rPr>
          <w:rFonts w:ascii="Times New Roman" w:hAnsi="Times New Roman" w:cs="Times New Roman"/>
          <w:sz w:val="24"/>
          <w:szCs w:val="24"/>
        </w:rPr>
        <w:t xml:space="preserve"> with a haematocrit of </w:t>
      </w:r>
      <w:r w:rsidR="00770E87" w:rsidRPr="00E00B7F">
        <w:rPr>
          <w:rFonts w:ascii="Times New Roman" w:hAnsi="Times New Roman" w:cs="Times New Roman"/>
          <w:sz w:val="24"/>
          <w:szCs w:val="24"/>
        </w:rPr>
        <w:t>41.5</w:t>
      </w:r>
      <w:r>
        <w:rPr>
          <w:rFonts w:ascii="Times New Roman" w:hAnsi="Times New Roman" w:cs="Times New Roman"/>
          <w:sz w:val="24"/>
          <w:szCs w:val="24"/>
        </w:rPr>
        <w:t xml:space="preserve">% and the platelet count was </w:t>
      </w:r>
      <w:r w:rsidR="00770E87" w:rsidRPr="00E00B7F">
        <w:rPr>
          <w:rFonts w:ascii="Times New Roman" w:hAnsi="Times New Roman" w:cs="Times New Roman"/>
          <w:sz w:val="24"/>
          <w:szCs w:val="24"/>
        </w:rPr>
        <w:t>125</w:t>
      </w:r>
      <w:r>
        <w:rPr>
          <w:rFonts w:ascii="Times New Roman" w:hAnsi="Times New Roman" w:cs="Times New Roman"/>
          <w:sz w:val="24"/>
          <w:szCs w:val="24"/>
        </w:rPr>
        <w:t xml:space="preserve"> × 10</w:t>
      </w:r>
      <w:r>
        <w:rPr>
          <w:rFonts w:ascii="Times New Roman" w:hAnsi="Times New Roman" w:cs="Times New Roman"/>
          <w:sz w:val="24"/>
          <w:szCs w:val="24"/>
          <w:vertAlign w:val="superscript"/>
        </w:rPr>
        <w:t>3</w:t>
      </w:r>
      <w:r>
        <w:rPr>
          <w:rFonts w:ascii="Times New Roman" w:hAnsi="Times New Roman" w:cs="Times New Roman"/>
          <w:sz w:val="24"/>
          <w:szCs w:val="24"/>
        </w:rPr>
        <w:t xml:space="preserve"> / µL. The C-reactive protein (CRP) level was </w:t>
      </w:r>
      <w:r w:rsidR="00770E87" w:rsidRPr="00E00B7F">
        <w:rPr>
          <w:rFonts w:ascii="Times New Roman" w:hAnsi="Times New Roman" w:cs="Times New Roman"/>
          <w:sz w:val="24"/>
          <w:szCs w:val="24"/>
        </w:rPr>
        <w:t>30.9</w:t>
      </w:r>
      <w:r>
        <w:rPr>
          <w:rFonts w:ascii="Times New Roman" w:hAnsi="Times New Roman" w:cs="Times New Roman"/>
          <w:sz w:val="24"/>
          <w:szCs w:val="24"/>
        </w:rPr>
        <w:t xml:space="preserve"> mg/L</w:t>
      </w:r>
      <w:r w:rsidR="00770E87" w:rsidRPr="00E00B7F">
        <w:rPr>
          <w:rFonts w:ascii="Times New Roman" w:hAnsi="Times New Roman" w:cs="Times New Roman"/>
          <w:sz w:val="24"/>
          <w:szCs w:val="24"/>
        </w:rPr>
        <w:t>,</w:t>
      </w:r>
      <w:r>
        <w:rPr>
          <w:rFonts w:ascii="Times New Roman" w:hAnsi="Times New Roman" w:cs="Times New Roman"/>
          <w:sz w:val="24"/>
          <w:szCs w:val="24"/>
        </w:rPr>
        <w:t xml:space="preserve"> aspartate aminotransferase (AST) </w:t>
      </w:r>
      <w:r w:rsidR="00770E87" w:rsidRPr="00E00B7F">
        <w:rPr>
          <w:rFonts w:ascii="Times New Roman" w:hAnsi="Times New Roman" w:cs="Times New Roman"/>
          <w:sz w:val="24"/>
          <w:szCs w:val="24"/>
        </w:rPr>
        <w:t>1716</w:t>
      </w:r>
      <w:r>
        <w:rPr>
          <w:rFonts w:ascii="Times New Roman" w:hAnsi="Times New Roman" w:cs="Times New Roman"/>
          <w:sz w:val="24"/>
          <w:szCs w:val="24"/>
        </w:rPr>
        <w:t xml:space="preserve"> </w:t>
      </w:r>
      <w:r w:rsidR="00770E87" w:rsidRPr="00E00B7F">
        <w:rPr>
          <w:rFonts w:ascii="Times New Roman" w:hAnsi="Times New Roman" w:cs="Times New Roman"/>
          <w:sz w:val="24"/>
          <w:szCs w:val="24"/>
        </w:rPr>
        <w:t>U/</w:t>
      </w:r>
      <w:r>
        <w:rPr>
          <w:rFonts w:ascii="Times New Roman" w:hAnsi="Times New Roman" w:cs="Times New Roman"/>
          <w:sz w:val="24"/>
          <w:szCs w:val="24"/>
        </w:rPr>
        <w:t xml:space="preserve">L and alanine aminotransferase (ALT) </w:t>
      </w:r>
      <w:r w:rsidR="00770E87" w:rsidRPr="00E00B7F">
        <w:rPr>
          <w:rFonts w:ascii="Times New Roman" w:hAnsi="Times New Roman" w:cs="Times New Roman"/>
          <w:sz w:val="24"/>
          <w:szCs w:val="24"/>
        </w:rPr>
        <w:t>822 U/</w:t>
      </w:r>
      <w:r>
        <w:rPr>
          <w:rFonts w:ascii="Times New Roman" w:hAnsi="Times New Roman" w:cs="Times New Roman"/>
          <w:sz w:val="24"/>
          <w:szCs w:val="24"/>
        </w:rPr>
        <w:t>L.</w:t>
      </w:r>
      <w:r w:rsidR="00770E87" w:rsidRPr="00E00B7F">
        <w:rPr>
          <w:rFonts w:ascii="Times New Roman" w:hAnsi="Times New Roman" w:cs="Times New Roman"/>
          <w:sz w:val="24"/>
          <w:szCs w:val="24"/>
        </w:rPr>
        <w:t xml:space="preserve"> </w:t>
      </w:r>
      <w:r>
        <w:rPr>
          <w:rFonts w:ascii="Times New Roman" w:hAnsi="Times New Roman" w:cs="Times New Roman"/>
          <w:sz w:val="24"/>
          <w:szCs w:val="24"/>
        </w:rPr>
        <w:t>The</w:t>
      </w:r>
      <w:r w:rsidR="00770E87" w:rsidRPr="00E00B7F">
        <w:rPr>
          <w:rFonts w:ascii="Times New Roman" w:hAnsi="Times New Roman" w:cs="Times New Roman"/>
          <w:sz w:val="24"/>
          <w:szCs w:val="24"/>
        </w:rPr>
        <w:t xml:space="preserve"> dengue NS1</w:t>
      </w:r>
      <w:r>
        <w:rPr>
          <w:rFonts w:ascii="Times New Roman" w:hAnsi="Times New Roman" w:cs="Times New Roman"/>
          <w:sz w:val="24"/>
          <w:szCs w:val="24"/>
        </w:rPr>
        <w:t xml:space="preserve"> antigen</w:t>
      </w:r>
      <w:r w:rsidR="00770E87" w:rsidRPr="00E00B7F">
        <w:rPr>
          <w:rFonts w:ascii="Times New Roman" w:hAnsi="Times New Roman" w:cs="Times New Roman"/>
          <w:sz w:val="24"/>
          <w:szCs w:val="24"/>
        </w:rPr>
        <w:t xml:space="preserve"> was positive. </w:t>
      </w:r>
    </w:p>
    <w:p w14:paraId="6785E3B7" w14:textId="7C0F2DA5" w:rsidR="00770E87" w:rsidRPr="00791892" w:rsidRDefault="00791892" w:rsidP="00791892">
      <w:pPr>
        <w:autoSpaceDE w:val="0"/>
        <w:autoSpaceDN w:val="0"/>
        <w:adjustRightInd w:val="0"/>
        <w:spacing w:after="240" w:line="276" w:lineRule="auto"/>
        <w:rPr>
          <w:rFonts w:ascii="Times New Roman" w:hAnsi="Times New Roman" w:cs="Times New Roman"/>
          <w:sz w:val="24"/>
          <w:szCs w:val="24"/>
        </w:rPr>
      </w:pPr>
      <w:r>
        <w:rPr>
          <w:rFonts w:ascii="Times New Roman" w:hAnsi="Times New Roman" w:cs="Times New Roman"/>
          <w:sz w:val="24"/>
          <w:szCs w:val="24"/>
        </w:rPr>
        <w:t>After the initial workup, he was diagnosed with dengue fever, and</w:t>
      </w:r>
      <w:r w:rsidR="00770E87" w:rsidRPr="00E00B7F">
        <w:rPr>
          <w:rFonts w:ascii="Times New Roman" w:hAnsi="Times New Roman" w:cs="Times New Roman"/>
          <w:sz w:val="24"/>
          <w:szCs w:val="24"/>
        </w:rPr>
        <w:t xml:space="preserve"> dengue febrile phase monitoring </w:t>
      </w:r>
      <w:r>
        <w:rPr>
          <w:rFonts w:ascii="Times New Roman" w:hAnsi="Times New Roman" w:cs="Times New Roman"/>
          <w:sz w:val="24"/>
          <w:szCs w:val="24"/>
        </w:rPr>
        <w:t xml:space="preserve">was </w:t>
      </w:r>
      <w:r w:rsidR="00770E87" w:rsidRPr="00E00B7F">
        <w:rPr>
          <w:rFonts w:ascii="Times New Roman" w:hAnsi="Times New Roman" w:cs="Times New Roman"/>
          <w:sz w:val="24"/>
          <w:szCs w:val="24"/>
        </w:rPr>
        <w:t xml:space="preserve">started. </w:t>
      </w:r>
      <w:r>
        <w:rPr>
          <w:rFonts w:ascii="Times New Roman" w:hAnsi="Times New Roman" w:cs="Times New Roman"/>
          <w:sz w:val="24"/>
          <w:szCs w:val="24"/>
        </w:rPr>
        <w:t>On the f</w:t>
      </w:r>
      <w:r w:rsidR="00770E87" w:rsidRPr="00E00B7F">
        <w:rPr>
          <w:rFonts w:ascii="Times New Roman" w:hAnsi="Times New Roman" w:cs="Times New Roman"/>
          <w:sz w:val="24"/>
          <w:szCs w:val="24"/>
        </w:rPr>
        <w:t>ollowing day</w:t>
      </w:r>
      <w:r>
        <w:rPr>
          <w:rFonts w:ascii="Times New Roman" w:hAnsi="Times New Roman" w:cs="Times New Roman"/>
          <w:sz w:val="24"/>
          <w:szCs w:val="24"/>
        </w:rPr>
        <w:t>,</w:t>
      </w:r>
      <w:r w:rsidR="00770E87" w:rsidRPr="00E00B7F">
        <w:rPr>
          <w:rFonts w:ascii="Times New Roman" w:hAnsi="Times New Roman" w:cs="Times New Roman"/>
          <w:sz w:val="24"/>
          <w:szCs w:val="24"/>
        </w:rPr>
        <w:t xml:space="preserve"> he entered into </w:t>
      </w:r>
      <w:r>
        <w:rPr>
          <w:rFonts w:ascii="Times New Roman" w:hAnsi="Times New Roman" w:cs="Times New Roman"/>
          <w:sz w:val="24"/>
          <w:szCs w:val="24"/>
        </w:rPr>
        <w:t xml:space="preserve">the critical </w:t>
      </w:r>
      <w:r w:rsidR="00770E87" w:rsidRPr="00E00B7F">
        <w:rPr>
          <w:rFonts w:ascii="Times New Roman" w:hAnsi="Times New Roman" w:cs="Times New Roman"/>
          <w:sz w:val="24"/>
          <w:szCs w:val="24"/>
        </w:rPr>
        <w:t>phase</w:t>
      </w:r>
      <w:r>
        <w:rPr>
          <w:rFonts w:ascii="Times New Roman" w:hAnsi="Times New Roman" w:cs="Times New Roman"/>
          <w:sz w:val="24"/>
          <w:szCs w:val="24"/>
        </w:rPr>
        <w:t xml:space="preserve"> of dengue fever, which was </w:t>
      </w:r>
      <w:r w:rsidR="00770E87" w:rsidRPr="00E00B7F">
        <w:rPr>
          <w:rFonts w:ascii="Times New Roman" w:hAnsi="Times New Roman" w:cs="Times New Roman"/>
          <w:sz w:val="24"/>
          <w:szCs w:val="24"/>
        </w:rPr>
        <w:t>uncomplicated</w:t>
      </w:r>
      <w:r>
        <w:rPr>
          <w:rFonts w:ascii="Times New Roman" w:hAnsi="Times New Roman" w:cs="Times New Roman"/>
          <w:sz w:val="24"/>
          <w:szCs w:val="24"/>
        </w:rPr>
        <w:t>: routine</w:t>
      </w:r>
      <w:r w:rsidR="00770E87" w:rsidRPr="00E00B7F">
        <w:rPr>
          <w:rFonts w:ascii="Times New Roman" w:hAnsi="Times New Roman" w:cs="Times New Roman"/>
          <w:sz w:val="24"/>
          <w:szCs w:val="24"/>
        </w:rPr>
        <w:t xml:space="preserve"> fluid management and monitoring</w:t>
      </w:r>
      <w:r>
        <w:rPr>
          <w:rFonts w:ascii="Times New Roman" w:hAnsi="Times New Roman" w:cs="Times New Roman"/>
          <w:sz w:val="24"/>
          <w:szCs w:val="24"/>
        </w:rPr>
        <w:t xml:space="preserve"> were done</w:t>
      </w:r>
      <w:r w:rsidR="00770E87" w:rsidRPr="00E00B7F">
        <w:rPr>
          <w:rFonts w:ascii="Times New Roman" w:hAnsi="Times New Roman" w:cs="Times New Roman"/>
          <w:sz w:val="24"/>
          <w:szCs w:val="24"/>
        </w:rPr>
        <w:t>. However</w:t>
      </w:r>
      <w:r>
        <w:rPr>
          <w:rFonts w:ascii="Times New Roman" w:hAnsi="Times New Roman" w:cs="Times New Roman"/>
          <w:sz w:val="24"/>
          <w:szCs w:val="24"/>
        </w:rPr>
        <w:t>,</w:t>
      </w:r>
      <w:r w:rsidR="00770E87" w:rsidRPr="00E00B7F">
        <w:rPr>
          <w:rFonts w:ascii="Times New Roman" w:hAnsi="Times New Roman" w:cs="Times New Roman"/>
          <w:sz w:val="24"/>
          <w:szCs w:val="24"/>
        </w:rPr>
        <w:t xml:space="preserve"> even after </w:t>
      </w:r>
      <w:r>
        <w:rPr>
          <w:rFonts w:ascii="Times New Roman" w:hAnsi="Times New Roman" w:cs="Times New Roman"/>
          <w:sz w:val="24"/>
          <w:szCs w:val="24"/>
        </w:rPr>
        <w:t xml:space="preserve">the </w:t>
      </w:r>
      <w:r w:rsidR="00770E87" w:rsidRPr="00E00B7F">
        <w:rPr>
          <w:rFonts w:ascii="Times New Roman" w:hAnsi="Times New Roman" w:cs="Times New Roman"/>
          <w:sz w:val="24"/>
          <w:szCs w:val="24"/>
        </w:rPr>
        <w:t>critical phase</w:t>
      </w:r>
      <w:r>
        <w:rPr>
          <w:rFonts w:ascii="Times New Roman" w:hAnsi="Times New Roman" w:cs="Times New Roman"/>
          <w:sz w:val="24"/>
          <w:szCs w:val="24"/>
        </w:rPr>
        <w:t xml:space="preserve"> of dengue</w:t>
      </w:r>
      <w:r w:rsidR="00770E87" w:rsidRPr="00E00B7F">
        <w:rPr>
          <w:rFonts w:ascii="Times New Roman" w:hAnsi="Times New Roman" w:cs="Times New Roman"/>
          <w:sz w:val="24"/>
          <w:szCs w:val="24"/>
        </w:rPr>
        <w:t xml:space="preserve"> was over, he had continuous high</w:t>
      </w:r>
      <w:r>
        <w:rPr>
          <w:rFonts w:ascii="Times New Roman" w:hAnsi="Times New Roman" w:cs="Times New Roman"/>
          <w:sz w:val="24"/>
          <w:szCs w:val="24"/>
        </w:rPr>
        <w:t>-</w:t>
      </w:r>
      <w:r w:rsidR="00770E87" w:rsidRPr="00E00B7F">
        <w:rPr>
          <w:rFonts w:ascii="Times New Roman" w:hAnsi="Times New Roman" w:cs="Times New Roman"/>
          <w:sz w:val="24"/>
          <w:szCs w:val="24"/>
        </w:rPr>
        <w:t>grade fever with persistent thrombocytopenia and gradual h</w:t>
      </w:r>
      <w:r>
        <w:rPr>
          <w:rFonts w:ascii="Times New Roman" w:hAnsi="Times New Roman" w:cs="Times New Roman"/>
          <w:sz w:val="24"/>
          <w:szCs w:val="24"/>
        </w:rPr>
        <w:t>a</w:t>
      </w:r>
      <w:r w:rsidR="00770E87" w:rsidRPr="00E00B7F">
        <w:rPr>
          <w:rFonts w:ascii="Times New Roman" w:hAnsi="Times New Roman" w:cs="Times New Roman"/>
          <w:sz w:val="24"/>
          <w:szCs w:val="24"/>
        </w:rPr>
        <w:t>emoglobin drop</w:t>
      </w:r>
      <w:r>
        <w:rPr>
          <w:rFonts w:ascii="Times New Roman" w:hAnsi="Times New Roman" w:cs="Times New Roman"/>
          <w:sz w:val="24"/>
          <w:szCs w:val="24"/>
        </w:rPr>
        <w:t xml:space="preserve">. His red blood cell count was </w:t>
      </w:r>
      <w:r w:rsidRPr="00E00B7F">
        <w:rPr>
          <w:rFonts w:ascii="Times New Roman" w:eastAsia="Times New Roman" w:hAnsi="Times New Roman" w:cs="Times New Roman"/>
          <w:color w:val="000000"/>
          <w:sz w:val="24"/>
          <w:szCs w:val="24"/>
        </w:rPr>
        <w:t>3.21×10</w:t>
      </w:r>
      <w:r w:rsidRPr="00E00B7F">
        <w:rPr>
          <w:rFonts w:ascii="Times New Roman" w:eastAsia="Times New Roman" w:hAnsi="Times New Roman" w:cs="Times New Roman"/>
          <w:color w:val="000000"/>
          <w:sz w:val="24"/>
          <w:szCs w:val="24"/>
          <w:vertAlign w:val="superscript"/>
        </w:rPr>
        <w:t>6</w:t>
      </w:r>
      <w:r w:rsidRPr="00E00B7F">
        <w:rPr>
          <w:rFonts w:ascii="Times New Roman" w:eastAsia="Times New Roman" w:hAnsi="Times New Roman" w:cs="Times New Roman"/>
          <w:color w:val="000000"/>
          <w:sz w:val="24"/>
          <w:szCs w:val="24"/>
        </w:rPr>
        <w:t>/ µ</w:t>
      </w:r>
      <w:r>
        <w:rPr>
          <w:rFonts w:ascii="Times New Roman" w:eastAsia="Times New Roman" w:hAnsi="Times New Roman" w:cs="Times New Roman"/>
          <w:color w:val="000000"/>
          <w:sz w:val="24"/>
          <w:szCs w:val="24"/>
        </w:rPr>
        <w:t xml:space="preserve">L, and the platelet count was </w:t>
      </w:r>
      <w:r w:rsidRPr="00E00B7F">
        <w:rPr>
          <w:rFonts w:ascii="Times New Roman" w:hAnsi="Times New Roman" w:cs="Times New Roman"/>
          <w:sz w:val="24"/>
          <w:szCs w:val="24"/>
        </w:rPr>
        <w:t>27</w:t>
      </w:r>
      <w:r w:rsidRPr="00E00B7F">
        <w:rPr>
          <w:rFonts w:ascii="Times New Roman" w:eastAsia="Times New Roman" w:hAnsi="Times New Roman" w:cs="Times New Roman"/>
          <w:color w:val="000000"/>
          <w:sz w:val="24"/>
          <w:szCs w:val="24"/>
        </w:rPr>
        <w:t>×10</w:t>
      </w:r>
      <w:r w:rsidRPr="00E00B7F">
        <w:rPr>
          <w:rFonts w:ascii="Times New Roman" w:eastAsia="Times New Roman" w:hAnsi="Times New Roman" w:cs="Times New Roman"/>
          <w:color w:val="000000"/>
          <w:sz w:val="24"/>
          <w:szCs w:val="24"/>
          <w:vertAlign w:val="superscript"/>
        </w:rPr>
        <w:t>3</w:t>
      </w:r>
      <w:r w:rsidRPr="00E00B7F">
        <w:rPr>
          <w:rFonts w:ascii="Times New Roman" w:eastAsia="Times New Roman" w:hAnsi="Times New Roman" w:cs="Times New Roman"/>
          <w:color w:val="000000"/>
          <w:sz w:val="24"/>
          <w:szCs w:val="24"/>
        </w:rPr>
        <w:t>/µ</w:t>
      </w:r>
      <w:r>
        <w:rPr>
          <w:rFonts w:ascii="Times New Roman" w:eastAsia="Times New Roman" w:hAnsi="Times New Roman" w:cs="Times New Roman"/>
          <w:color w:val="000000"/>
          <w:sz w:val="24"/>
          <w:szCs w:val="24"/>
        </w:rPr>
        <w:t>L.</w:t>
      </w:r>
      <w:r>
        <w:rPr>
          <w:rFonts w:ascii="Times New Roman" w:hAnsi="Times New Roman" w:cs="Times New Roman"/>
          <w:sz w:val="24"/>
          <w:szCs w:val="24"/>
        </w:rPr>
        <w:t xml:space="preserve"> He had also developed </w:t>
      </w:r>
      <w:r w:rsidR="00770E87" w:rsidRPr="00E00B7F">
        <w:rPr>
          <w:rFonts w:ascii="Times New Roman" w:hAnsi="Times New Roman" w:cs="Times New Roman"/>
          <w:sz w:val="24"/>
          <w:szCs w:val="24"/>
        </w:rPr>
        <w:t xml:space="preserve">mild to moderate hepatosplenomegaly. </w:t>
      </w:r>
      <w:r>
        <w:rPr>
          <w:rFonts w:ascii="Times New Roman" w:hAnsi="Times New Roman" w:cs="Times New Roman"/>
          <w:sz w:val="24"/>
          <w:szCs w:val="24"/>
        </w:rPr>
        <w:t>The b</w:t>
      </w:r>
      <w:r w:rsidR="00770E87" w:rsidRPr="00E00B7F">
        <w:rPr>
          <w:rFonts w:ascii="Times New Roman" w:hAnsi="Times New Roman" w:cs="Times New Roman"/>
          <w:sz w:val="24"/>
          <w:szCs w:val="24"/>
        </w:rPr>
        <w:t>lood picture revealed thrombocytopenia with giant platelet</w:t>
      </w:r>
      <w:r>
        <w:rPr>
          <w:rFonts w:ascii="Times New Roman" w:hAnsi="Times New Roman" w:cs="Times New Roman"/>
          <w:sz w:val="24"/>
          <w:szCs w:val="24"/>
        </w:rPr>
        <w:t>s</w:t>
      </w:r>
      <w:r w:rsidR="00770E87" w:rsidRPr="00E00B7F">
        <w:rPr>
          <w:rFonts w:ascii="Times New Roman" w:hAnsi="Times New Roman" w:cs="Times New Roman"/>
          <w:sz w:val="24"/>
          <w:szCs w:val="24"/>
        </w:rPr>
        <w:t xml:space="preserve"> and features suggestive of </w:t>
      </w:r>
      <w:r>
        <w:rPr>
          <w:rFonts w:ascii="Times New Roman" w:hAnsi="Times New Roman" w:cs="Times New Roman"/>
          <w:sz w:val="24"/>
          <w:szCs w:val="24"/>
        </w:rPr>
        <w:t>HLH</w:t>
      </w:r>
      <w:r w:rsidR="00770E87" w:rsidRPr="00E00B7F">
        <w:rPr>
          <w:rFonts w:ascii="Times New Roman" w:hAnsi="Times New Roman" w:cs="Times New Roman"/>
          <w:sz w:val="24"/>
          <w:szCs w:val="24"/>
        </w:rPr>
        <w:t xml:space="preserve">. </w:t>
      </w:r>
      <w:r>
        <w:rPr>
          <w:rFonts w:ascii="Times New Roman" w:hAnsi="Times New Roman" w:cs="Times New Roman"/>
          <w:sz w:val="24"/>
          <w:szCs w:val="24"/>
        </w:rPr>
        <w:t xml:space="preserve">His serum ferritin level was </w:t>
      </w:r>
      <w:r w:rsidR="00243765">
        <w:rPr>
          <w:rFonts w:ascii="Times New Roman" w:hAnsi="Times New Roman" w:cs="Times New Roman"/>
          <w:sz w:val="24"/>
          <w:szCs w:val="24"/>
        </w:rPr>
        <w:t xml:space="preserve">&gt; </w:t>
      </w:r>
      <w:r>
        <w:rPr>
          <w:rFonts w:ascii="Times New Roman" w:hAnsi="Times New Roman" w:cs="Times New Roman"/>
          <w:sz w:val="24"/>
          <w:szCs w:val="24"/>
        </w:rPr>
        <w:t>3000 ng/mL, triglycerides 314 mg/dL</w:t>
      </w:r>
      <w:r w:rsidR="00243765">
        <w:rPr>
          <w:rFonts w:ascii="Times New Roman" w:hAnsi="Times New Roman" w:cs="Times New Roman"/>
          <w:sz w:val="24"/>
          <w:szCs w:val="24"/>
        </w:rPr>
        <w:t>,</w:t>
      </w:r>
      <w:r>
        <w:rPr>
          <w:rFonts w:ascii="Times New Roman" w:hAnsi="Times New Roman" w:cs="Times New Roman"/>
          <w:sz w:val="24"/>
          <w:szCs w:val="24"/>
        </w:rPr>
        <w:t xml:space="preserve"> and the b</w:t>
      </w:r>
      <w:r w:rsidR="00770E87" w:rsidRPr="00E00B7F">
        <w:rPr>
          <w:rFonts w:ascii="Times New Roman" w:hAnsi="Times New Roman" w:cs="Times New Roman"/>
          <w:sz w:val="24"/>
          <w:szCs w:val="24"/>
        </w:rPr>
        <w:t>one marrow</w:t>
      </w:r>
      <w:r>
        <w:rPr>
          <w:rFonts w:ascii="Times New Roman" w:hAnsi="Times New Roman" w:cs="Times New Roman"/>
          <w:sz w:val="24"/>
          <w:szCs w:val="24"/>
        </w:rPr>
        <w:t xml:space="preserve"> </w:t>
      </w:r>
      <w:r w:rsidR="00412AB4">
        <w:rPr>
          <w:rFonts w:ascii="Times New Roman" w:hAnsi="Times New Roman" w:cs="Times New Roman"/>
          <w:sz w:val="24"/>
          <w:szCs w:val="24"/>
        </w:rPr>
        <w:t>biopsy</w:t>
      </w:r>
      <w:r w:rsidR="00770E87" w:rsidRPr="00E00B7F">
        <w:rPr>
          <w:rFonts w:ascii="Times New Roman" w:hAnsi="Times New Roman" w:cs="Times New Roman"/>
          <w:sz w:val="24"/>
          <w:szCs w:val="24"/>
        </w:rPr>
        <w:t xml:space="preserve"> revealed features of significant haemophagocytic activity. Based on</w:t>
      </w:r>
      <w:r>
        <w:rPr>
          <w:rFonts w:ascii="Times New Roman" w:hAnsi="Times New Roman" w:cs="Times New Roman"/>
          <w:sz w:val="24"/>
          <w:szCs w:val="24"/>
        </w:rPr>
        <w:t xml:space="preserve"> these investigation findings, he was diagnosed to have HLH.</w:t>
      </w:r>
    </w:p>
    <w:p w14:paraId="167DD0BB" w14:textId="7C3BBB65" w:rsidR="00770E87" w:rsidRPr="00E00B7F" w:rsidRDefault="00243765" w:rsidP="00791892">
      <w:pPr>
        <w:autoSpaceDE w:val="0"/>
        <w:autoSpaceDN w:val="0"/>
        <w:adjustRightInd w:val="0"/>
        <w:spacing w:after="240" w:line="276" w:lineRule="auto"/>
        <w:rPr>
          <w:rFonts w:ascii="Times New Roman" w:eastAsia="Times New Roman" w:hAnsi="Times New Roman" w:cs="Times New Roman"/>
          <w:b/>
          <w:color w:val="000000"/>
          <w:sz w:val="24"/>
          <w:szCs w:val="24"/>
        </w:rPr>
      </w:pPr>
      <w:r>
        <w:rPr>
          <w:rFonts w:ascii="Times New Roman" w:hAnsi="Times New Roman" w:cs="Times New Roman"/>
          <w:b/>
          <w:bCs/>
          <w:sz w:val="24"/>
          <w:szCs w:val="24"/>
        </w:rPr>
        <w:t xml:space="preserve">9. </w:t>
      </w:r>
      <w:r w:rsidR="00770E87" w:rsidRPr="00E00B7F">
        <w:rPr>
          <w:rFonts w:ascii="Times New Roman" w:hAnsi="Times New Roman" w:cs="Times New Roman"/>
          <w:b/>
          <w:bCs/>
          <w:sz w:val="24"/>
          <w:szCs w:val="24"/>
        </w:rPr>
        <w:t>Therapeutic Intervention</w:t>
      </w:r>
    </w:p>
    <w:p w14:paraId="73BD42F6" w14:textId="5D84F370" w:rsidR="00770E87" w:rsidRDefault="00791892" w:rsidP="00791892">
      <w:pPr>
        <w:spacing w:after="240" w:line="276" w:lineRule="auto"/>
        <w:rPr>
          <w:rFonts w:ascii="Times New Roman" w:hAnsi="Times New Roman" w:cs="Times New Roman"/>
          <w:sz w:val="24"/>
          <w:szCs w:val="24"/>
        </w:rPr>
      </w:pPr>
      <w:r>
        <w:rPr>
          <w:rFonts w:ascii="Times New Roman" w:hAnsi="Times New Roman" w:cs="Times New Roman"/>
          <w:sz w:val="24"/>
          <w:szCs w:val="24"/>
        </w:rPr>
        <w:t>Then h</w:t>
      </w:r>
      <w:r w:rsidR="00770E87" w:rsidRPr="00E00B7F">
        <w:rPr>
          <w:rFonts w:ascii="Times New Roman" w:hAnsi="Times New Roman" w:cs="Times New Roman"/>
          <w:sz w:val="24"/>
          <w:szCs w:val="24"/>
        </w:rPr>
        <w:t xml:space="preserve">e was started </w:t>
      </w:r>
      <w:r>
        <w:rPr>
          <w:rFonts w:ascii="Times New Roman" w:hAnsi="Times New Roman" w:cs="Times New Roman"/>
          <w:sz w:val="24"/>
          <w:szCs w:val="24"/>
        </w:rPr>
        <w:t>with</w:t>
      </w:r>
      <w:r w:rsidR="00770E87" w:rsidRPr="00E00B7F">
        <w:rPr>
          <w:rFonts w:ascii="Times New Roman" w:hAnsi="Times New Roman" w:cs="Times New Roman"/>
          <w:sz w:val="24"/>
          <w:szCs w:val="24"/>
        </w:rPr>
        <w:t xml:space="preserve"> intravenous dexamethasone 10</w:t>
      </w:r>
      <w:r>
        <w:rPr>
          <w:rFonts w:ascii="Times New Roman" w:hAnsi="Times New Roman" w:cs="Times New Roman"/>
          <w:sz w:val="24"/>
          <w:szCs w:val="24"/>
        </w:rPr>
        <w:t xml:space="preserve"> </w:t>
      </w:r>
      <w:r w:rsidR="00770E87" w:rsidRPr="00E00B7F">
        <w:rPr>
          <w:rFonts w:ascii="Times New Roman" w:hAnsi="Times New Roman" w:cs="Times New Roman"/>
          <w:sz w:val="24"/>
          <w:szCs w:val="24"/>
        </w:rPr>
        <w:t>mg per body surface area (17</w:t>
      </w:r>
      <w:r>
        <w:rPr>
          <w:rFonts w:ascii="Times New Roman" w:hAnsi="Times New Roman" w:cs="Times New Roman"/>
          <w:sz w:val="24"/>
          <w:szCs w:val="24"/>
        </w:rPr>
        <w:t xml:space="preserve"> </w:t>
      </w:r>
      <w:r w:rsidR="00770E87" w:rsidRPr="00E00B7F">
        <w:rPr>
          <w:rFonts w:ascii="Times New Roman" w:hAnsi="Times New Roman" w:cs="Times New Roman"/>
          <w:sz w:val="24"/>
          <w:szCs w:val="24"/>
        </w:rPr>
        <w:t xml:space="preserve">mg). There was </w:t>
      </w:r>
      <w:r>
        <w:rPr>
          <w:rFonts w:ascii="Times New Roman" w:hAnsi="Times New Roman" w:cs="Times New Roman"/>
          <w:sz w:val="24"/>
          <w:szCs w:val="24"/>
        </w:rPr>
        <w:t xml:space="preserve">a </w:t>
      </w:r>
      <w:r w:rsidR="00770E87" w:rsidRPr="00E00B7F">
        <w:rPr>
          <w:rFonts w:ascii="Times New Roman" w:hAnsi="Times New Roman" w:cs="Times New Roman"/>
          <w:sz w:val="24"/>
          <w:szCs w:val="24"/>
        </w:rPr>
        <w:t>good response clinically as well as biochemically.</w:t>
      </w:r>
      <w:r>
        <w:rPr>
          <w:rFonts w:ascii="Times New Roman" w:hAnsi="Times New Roman" w:cs="Times New Roman"/>
          <w:sz w:val="24"/>
          <w:szCs w:val="24"/>
        </w:rPr>
        <w:t xml:space="preserve"> The</w:t>
      </w:r>
      <w:r w:rsidR="00770E87" w:rsidRPr="00E00B7F">
        <w:rPr>
          <w:rFonts w:ascii="Times New Roman" w:hAnsi="Times New Roman" w:cs="Times New Roman"/>
          <w:sz w:val="24"/>
          <w:szCs w:val="24"/>
        </w:rPr>
        <w:t xml:space="preserve"> </w:t>
      </w:r>
      <w:r>
        <w:rPr>
          <w:rFonts w:ascii="Times New Roman" w:hAnsi="Times New Roman" w:cs="Times New Roman"/>
          <w:sz w:val="24"/>
          <w:szCs w:val="24"/>
        </w:rPr>
        <w:t>f</w:t>
      </w:r>
      <w:r w:rsidR="00770E87" w:rsidRPr="00E00B7F">
        <w:rPr>
          <w:rFonts w:ascii="Times New Roman" w:hAnsi="Times New Roman" w:cs="Times New Roman"/>
          <w:sz w:val="24"/>
          <w:szCs w:val="24"/>
        </w:rPr>
        <w:t xml:space="preserve">ever settled within 24 hours </w:t>
      </w:r>
      <w:r w:rsidR="00770E87" w:rsidRPr="00E00B7F">
        <w:rPr>
          <w:rFonts w:ascii="Times New Roman" w:hAnsi="Times New Roman" w:cs="Times New Roman"/>
          <w:sz w:val="24"/>
          <w:szCs w:val="24"/>
        </w:rPr>
        <w:lastRenderedPageBreak/>
        <w:t xml:space="preserve">after starting intravenous dexamethasone with </w:t>
      </w:r>
      <w:r>
        <w:rPr>
          <w:rFonts w:ascii="Times New Roman" w:hAnsi="Times New Roman" w:cs="Times New Roman"/>
          <w:sz w:val="24"/>
          <w:szCs w:val="24"/>
        </w:rPr>
        <w:t xml:space="preserve">a </w:t>
      </w:r>
      <w:r w:rsidR="00770E87" w:rsidRPr="00E00B7F">
        <w:rPr>
          <w:rFonts w:ascii="Times New Roman" w:hAnsi="Times New Roman" w:cs="Times New Roman"/>
          <w:sz w:val="24"/>
          <w:szCs w:val="24"/>
        </w:rPr>
        <w:t xml:space="preserve">doubling of </w:t>
      </w:r>
      <w:r>
        <w:rPr>
          <w:rFonts w:ascii="Times New Roman" w:hAnsi="Times New Roman" w:cs="Times New Roman"/>
          <w:sz w:val="24"/>
          <w:szCs w:val="24"/>
        </w:rPr>
        <w:t>white cell</w:t>
      </w:r>
      <w:r w:rsidR="00770E87" w:rsidRPr="00E00B7F">
        <w:rPr>
          <w:rFonts w:ascii="Times New Roman" w:hAnsi="Times New Roman" w:cs="Times New Roman"/>
          <w:sz w:val="24"/>
          <w:szCs w:val="24"/>
        </w:rPr>
        <w:t xml:space="preserve"> and platelet count. He was discharged after </w:t>
      </w:r>
      <w:r>
        <w:rPr>
          <w:rFonts w:ascii="Times New Roman" w:hAnsi="Times New Roman" w:cs="Times New Roman"/>
          <w:sz w:val="24"/>
          <w:szCs w:val="24"/>
        </w:rPr>
        <w:t>a two-</w:t>
      </w:r>
      <w:r w:rsidR="00770E87" w:rsidRPr="00E00B7F">
        <w:rPr>
          <w:rFonts w:ascii="Times New Roman" w:hAnsi="Times New Roman" w:cs="Times New Roman"/>
          <w:sz w:val="24"/>
          <w:szCs w:val="24"/>
        </w:rPr>
        <w:t>week hospital stay.</w:t>
      </w:r>
    </w:p>
    <w:p w14:paraId="4C53D9E6" w14:textId="648E3857" w:rsidR="00243765" w:rsidRDefault="00243765" w:rsidP="00791892">
      <w:pPr>
        <w:spacing w:after="240" w:line="276" w:lineRule="auto"/>
        <w:rPr>
          <w:rFonts w:ascii="Times New Roman" w:hAnsi="Times New Roman" w:cs="Times New Roman"/>
          <w:b/>
          <w:bCs/>
          <w:sz w:val="24"/>
          <w:szCs w:val="24"/>
        </w:rPr>
      </w:pPr>
      <w:r>
        <w:rPr>
          <w:rFonts w:ascii="Times New Roman" w:hAnsi="Times New Roman" w:cs="Times New Roman"/>
          <w:b/>
          <w:bCs/>
          <w:sz w:val="24"/>
          <w:szCs w:val="24"/>
        </w:rPr>
        <w:t>10. Follow-up and Outcome</w:t>
      </w:r>
    </w:p>
    <w:p w14:paraId="0B9FF7E2" w14:textId="5C027768" w:rsidR="00243765" w:rsidRDefault="00243765" w:rsidP="00243765">
      <w:pPr>
        <w:spacing w:after="240" w:line="276" w:lineRule="auto"/>
        <w:rPr>
          <w:rFonts w:ascii="Times New Roman" w:hAnsi="Times New Roman" w:cs="Times New Roman"/>
          <w:sz w:val="24"/>
          <w:szCs w:val="24"/>
        </w:rPr>
      </w:pPr>
      <w:r>
        <w:rPr>
          <w:rFonts w:ascii="Times New Roman" w:hAnsi="Times New Roman" w:cs="Times New Roman"/>
          <w:sz w:val="24"/>
          <w:szCs w:val="24"/>
        </w:rPr>
        <w:t>I</w:t>
      </w:r>
      <w:r w:rsidRPr="00E00B7F">
        <w:rPr>
          <w:rFonts w:ascii="Times New Roman" w:hAnsi="Times New Roman" w:cs="Times New Roman"/>
          <w:sz w:val="24"/>
          <w:szCs w:val="24"/>
        </w:rPr>
        <w:t xml:space="preserve">ntravenous dexamethasone </w:t>
      </w:r>
      <w:r>
        <w:rPr>
          <w:rFonts w:ascii="Times New Roman" w:hAnsi="Times New Roman" w:cs="Times New Roman"/>
          <w:sz w:val="24"/>
          <w:szCs w:val="24"/>
        </w:rPr>
        <w:t>was given</w:t>
      </w:r>
      <w:r w:rsidRPr="00E00B7F">
        <w:rPr>
          <w:rFonts w:ascii="Times New Roman" w:hAnsi="Times New Roman" w:cs="Times New Roman"/>
          <w:sz w:val="24"/>
          <w:szCs w:val="24"/>
        </w:rPr>
        <w:t xml:space="preserve"> for </w:t>
      </w:r>
      <w:r>
        <w:rPr>
          <w:rFonts w:ascii="Times New Roman" w:hAnsi="Times New Roman" w:cs="Times New Roman"/>
          <w:sz w:val="24"/>
          <w:szCs w:val="24"/>
        </w:rPr>
        <w:t>the first two weeks and then converted to oral dexamethasone, which was gradually tailed off</w:t>
      </w:r>
      <w:r w:rsidRPr="00E00B7F">
        <w:rPr>
          <w:rFonts w:ascii="Times New Roman" w:hAnsi="Times New Roman" w:cs="Times New Roman"/>
          <w:sz w:val="24"/>
          <w:szCs w:val="24"/>
        </w:rPr>
        <w:t xml:space="preserve"> over </w:t>
      </w:r>
      <w:r>
        <w:rPr>
          <w:rFonts w:ascii="Times New Roman" w:hAnsi="Times New Roman" w:cs="Times New Roman"/>
          <w:sz w:val="24"/>
          <w:szCs w:val="24"/>
        </w:rPr>
        <w:t>eight</w:t>
      </w:r>
      <w:r w:rsidRPr="00E00B7F">
        <w:rPr>
          <w:rFonts w:ascii="Times New Roman" w:hAnsi="Times New Roman" w:cs="Times New Roman"/>
          <w:sz w:val="24"/>
          <w:szCs w:val="24"/>
        </w:rPr>
        <w:t xml:space="preserve"> weeks. </w:t>
      </w:r>
      <w:r>
        <w:rPr>
          <w:rFonts w:ascii="Times New Roman" w:hAnsi="Times New Roman" w:cs="Times New Roman"/>
          <w:sz w:val="24"/>
          <w:szCs w:val="24"/>
        </w:rPr>
        <w:t xml:space="preserve">Regular reviews were done till dexamethasone was stopped. </w:t>
      </w:r>
      <w:r w:rsidRPr="00E00B7F">
        <w:rPr>
          <w:rFonts w:ascii="Times New Roman" w:hAnsi="Times New Roman" w:cs="Times New Roman"/>
          <w:sz w:val="24"/>
          <w:szCs w:val="24"/>
        </w:rPr>
        <w:t xml:space="preserve">There was </w:t>
      </w:r>
      <w:r>
        <w:rPr>
          <w:rFonts w:ascii="Times New Roman" w:hAnsi="Times New Roman" w:cs="Times New Roman"/>
          <w:sz w:val="24"/>
          <w:szCs w:val="24"/>
        </w:rPr>
        <w:t xml:space="preserve">a </w:t>
      </w:r>
      <w:r w:rsidRPr="00E00B7F">
        <w:rPr>
          <w:rFonts w:ascii="Times New Roman" w:hAnsi="Times New Roman" w:cs="Times New Roman"/>
          <w:sz w:val="24"/>
          <w:szCs w:val="24"/>
        </w:rPr>
        <w:t>good response clinically a</w:t>
      </w:r>
      <w:r>
        <w:rPr>
          <w:rFonts w:ascii="Times New Roman" w:hAnsi="Times New Roman" w:cs="Times New Roman"/>
          <w:sz w:val="24"/>
          <w:szCs w:val="24"/>
        </w:rPr>
        <w:t>nd</w:t>
      </w:r>
      <w:r w:rsidRPr="00E00B7F">
        <w:rPr>
          <w:rFonts w:ascii="Times New Roman" w:hAnsi="Times New Roman" w:cs="Times New Roman"/>
          <w:sz w:val="24"/>
          <w:szCs w:val="24"/>
        </w:rPr>
        <w:t xml:space="preserve"> biochemically</w:t>
      </w:r>
      <w:r>
        <w:rPr>
          <w:rFonts w:ascii="Times New Roman" w:hAnsi="Times New Roman" w:cs="Times New Roman"/>
          <w:sz w:val="24"/>
          <w:szCs w:val="24"/>
        </w:rPr>
        <w:t>, and the patient was fully recovered after the treatment.</w:t>
      </w:r>
    </w:p>
    <w:p w14:paraId="3EBEDDF0" w14:textId="5DED3E2E" w:rsidR="00770E87" w:rsidRPr="00243765" w:rsidRDefault="00243765" w:rsidP="00791892">
      <w:pPr>
        <w:autoSpaceDE w:val="0"/>
        <w:autoSpaceDN w:val="0"/>
        <w:adjustRightInd w:val="0"/>
        <w:spacing w:after="240" w:line="276" w:lineRule="auto"/>
        <w:rPr>
          <w:rFonts w:ascii="Times New Roman" w:hAnsi="Times New Roman" w:cs="Times New Roman"/>
          <w:b/>
          <w:bCs/>
          <w:sz w:val="24"/>
          <w:szCs w:val="24"/>
        </w:rPr>
      </w:pPr>
      <w:r w:rsidRPr="00243765">
        <w:rPr>
          <w:rFonts w:ascii="Times New Roman" w:hAnsi="Times New Roman" w:cs="Times New Roman"/>
          <w:b/>
          <w:bCs/>
          <w:sz w:val="24"/>
          <w:szCs w:val="24"/>
        </w:rPr>
        <w:t xml:space="preserve">11. </w:t>
      </w:r>
      <w:r w:rsidR="00770E87" w:rsidRPr="00243765">
        <w:rPr>
          <w:rFonts w:ascii="Times New Roman" w:hAnsi="Times New Roman" w:cs="Times New Roman"/>
          <w:b/>
          <w:bCs/>
          <w:sz w:val="24"/>
          <w:szCs w:val="24"/>
        </w:rPr>
        <w:t>Discussion</w:t>
      </w:r>
    </w:p>
    <w:p w14:paraId="5D9F7D6A" w14:textId="1A464F3B" w:rsidR="00791892" w:rsidRDefault="00770E87" w:rsidP="00791892">
      <w:pPr>
        <w:autoSpaceDE w:val="0"/>
        <w:autoSpaceDN w:val="0"/>
        <w:adjustRightInd w:val="0"/>
        <w:spacing w:after="240" w:line="276" w:lineRule="auto"/>
        <w:rPr>
          <w:rFonts w:ascii="Times New Roman" w:hAnsi="Times New Roman" w:cs="Times New Roman"/>
          <w:sz w:val="24"/>
          <w:szCs w:val="24"/>
        </w:rPr>
      </w:pPr>
      <w:r w:rsidRPr="00E00B7F">
        <w:rPr>
          <w:rFonts w:ascii="Times New Roman" w:hAnsi="Times New Roman" w:cs="Times New Roman"/>
          <w:sz w:val="24"/>
          <w:szCs w:val="24"/>
        </w:rPr>
        <w:t xml:space="preserve">HLH is </w:t>
      </w:r>
      <w:r w:rsidR="00791892">
        <w:rPr>
          <w:rFonts w:ascii="Times New Roman" w:hAnsi="Times New Roman" w:cs="Times New Roman"/>
          <w:sz w:val="24"/>
          <w:szCs w:val="24"/>
        </w:rPr>
        <w:t>a rare,</w:t>
      </w:r>
      <w:r w:rsidR="00DB1067">
        <w:rPr>
          <w:rFonts w:ascii="Times New Roman" w:hAnsi="Times New Roman" w:cs="Times New Roman"/>
          <w:sz w:val="24"/>
          <w:szCs w:val="24"/>
        </w:rPr>
        <w:t xml:space="preserve"> potentially fatal</w:t>
      </w:r>
      <w:r w:rsidR="00DB1067" w:rsidRPr="00DB1067">
        <w:rPr>
          <w:rFonts w:ascii="Times New Roman" w:hAnsi="Times New Roman" w:cs="Times New Roman"/>
          <w:sz w:val="24"/>
          <w:szCs w:val="24"/>
        </w:rPr>
        <w:t xml:space="preserve"> hyperinflammatory syndrome</w:t>
      </w:r>
      <w:r w:rsidR="00791892">
        <w:rPr>
          <w:rFonts w:ascii="Times New Roman" w:hAnsi="Times New Roman" w:cs="Times New Roman"/>
          <w:sz w:val="24"/>
          <w:szCs w:val="24"/>
        </w:rPr>
        <w:t>,</w:t>
      </w:r>
      <w:r w:rsidRPr="00E00B7F">
        <w:rPr>
          <w:rFonts w:ascii="Times New Roman" w:hAnsi="Times New Roman" w:cs="Times New Roman"/>
          <w:sz w:val="24"/>
          <w:szCs w:val="24"/>
        </w:rPr>
        <w:t xml:space="preserve"> causing severe hypercytokinemia with excessive activation of lymphocytes and macrophages</w:t>
      </w:r>
      <w:r w:rsidR="00DB1067">
        <w:rPr>
          <w:rFonts w:ascii="Times New Roman" w:hAnsi="Times New Roman" w:cs="Times New Roman"/>
          <w:sz w:val="24"/>
          <w:szCs w:val="24"/>
        </w:rPr>
        <w:t xml:space="preserve"> </w:t>
      </w:r>
      <w:r w:rsidR="00DB1067">
        <w:rPr>
          <w:rFonts w:ascii="Times New Roman" w:hAnsi="Times New Roman" w:cs="Times New Roman"/>
          <w:sz w:val="24"/>
          <w:szCs w:val="24"/>
        </w:rPr>
        <w:fldChar w:fldCharType="begin" w:fldLock="1"/>
      </w:r>
      <w:r w:rsidR="00DF6B0D">
        <w:rPr>
          <w:rFonts w:ascii="Times New Roman" w:hAnsi="Times New Roman" w:cs="Times New Roman"/>
          <w:sz w:val="24"/>
          <w:szCs w:val="24"/>
        </w:rPr>
        <w:instrText>ADDIN CSL_CITATION {"citationItems":[{"id":"ITEM-1","itemData":{"DOI":"10.1586/eci.09.58","ISSN":"1744666X","PMID":"20383897","abstract":"Hemophagocytic lymphohistiocytosis (HLH) is a potentially fatal hyperinflammatory syndrome with prolonged high fever, hepatosplenomegaly and characteristic laboratory findings. HLH may be inherited (primary) or may be secondary to any severe infection, malignancy or rheumatologic condition. The last several years have witnessed an explosion in our understanding of HLH. Of the inherited causes for which the underlying genetic cause is known, most involve abnormalities of proteins important in the exocytosis cytolytic pathway, whereby perforin and granzymes are delivered to a target cell to induce apoptosis. The exact mechanisms underlying this process remain unclear. However, when a known genetic defect is not present, the diagnosis of HLH is still made on a constellation of clinical features and good clinical judgment. Rapid diagnosis is crucial, as early therapy with immunosuppressive agents and/or proapoptotic chemotherapy can be life-saving. This article examines recent advances in our understanding of the pathophysiology, clinical features, diagnosis, etiology and treatment of HLH, as well as the challenges that lie ahead. © 2010 Expert Reviews Ltd.","author":[{"dropping-particle":"","family":"Gupta","given":"Sumit","non-dropping-particle":"","parse-names":false,"suffix":""},{"dropping-particle":"","family":"Weitzman","given":"Sheila","non-dropping-particle":"","parse-names":false,"suffix":""}],"container-title":"Expert Review of Clinical Immunology","id":"ITEM-1","issue":"1","issued":{"date-parts":[["2010"]]},"page":"137-154","title":"Primary and secondary hemophagocytic lymphohistiocytosis: Clinical features, pathogenesis and therapy","type":"article-journal","volume":"6"},"uris":["http://www.mendeley.com/documents/?uuid=9cd6e259-e9b2-468f-a0fc-a9a2de36e049"]}],"mendeley":{"formattedCitation":"[2]","plainTextFormattedCitation":"[2]","previouslyFormattedCitation":"&lt;sup&gt;2&lt;/sup&gt;"},"properties":{"noteIndex":0},"schema":"https://github.com/citation-style-language/schema/raw/master/csl-citation.json"}</w:instrText>
      </w:r>
      <w:r w:rsidR="00DB1067">
        <w:rPr>
          <w:rFonts w:ascii="Times New Roman" w:hAnsi="Times New Roman" w:cs="Times New Roman"/>
          <w:sz w:val="24"/>
          <w:szCs w:val="24"/>
        </w:rPr>
        <w:fldChar w:fldCharType="separate"/>
      </w:r>
      <w:r w:rsidR="00DF6B0D" w:rsidRPr="00DF6B0D">
        <w:rPr>
          <w:rFonts w:ascii="Times New Roman" w:hAnsi="Times New Roman" w:cs="Times New Roman"/>
          <w:noProof/>
          <w:sz w:val="24"/>
          <w:szCs w:val="24"/>
        </w:rPr>
        <w:t>[2]</w:t>
      </w:r>
      <w:r w:rsidR="00DB1067">
        <w:rPr>
          <w:rFonts w:ascii="Times New Roman" w:hAnsi="Times New Roman" w:cs="Times New Roman"/>
          <w:sz w:val="24"/>
          <w:szCs w:val="24"/>
        </w:rPr>
        <w:fldChar w:fldCharType="end"/>
      </w:r>
      <w:r w:rsidRPr="00E00B7F">
        <w:rPr>
          <w:rFonts w:ascii="Times New Roman" w:hAnsi="Times New Roman" w:cs="Times New Roman"/>
          <w:sz w:val="24"/>
          <w:szCs w:val="24"/>
        </w:rPr>
        <w:t xml:space="preserve">. </w:t>
      </w:r>
      <w:r w:rsidR="00DB1067">
        <w:rPr>
          <w:rFonts w:ascii="Times New Roman" w:hAnsi="Times New Roman" w:cs="Times New Roman"/>
          <w:sz w:val="24"/>
          <w:szCs w:val="24"/>
        </w:rPr>
        <w:t>It is</w:t>
      </w:r>
      <w:r w:rsidR="00DB1067" w:rsidRPr="00DB1067">
        <w:rPr>
          <w:rFonts w:ascii="Times New Roman" w:hAnsi="Times New Roman" w:cs="Times New Roman"/>
          <w:sz w:val="24"/>
          <w:szCs w:val="24"/>
        </w:rPr>
        <w:t xml:space="preserve"> also known as </w:t>
      </w:r>
      <w:r w:rsidR="00DB1067">
        <w:rPr>
          <w:rFonts w:ascii="Times New Roman" w:hAnsi="Times New Roman" w:cs="Times New Roman"/>
          <w:sz w:val="24"/>
          <w:szCs w:val="24"/>
        </w:rPr>
        <w:t xml:space="preserve">a </w:t>
      </w:r>
      <w:r w:rsidR="00DB1067" w:rsidRPr="00DB1067">
        <w:rPr>
          <w:rFonts w:ascii="Times New Roman" w:hAnsi="Times New Roman" w:cs="Times New Roman"/>
          <w:sz w:val="24"/>
          <w:szCs w:val="24"/>
        </w:rPr>
        <w:t>hemophagocytic syndrome associated with numerous conditions, such as neoplastic, infectious, autoimmune, or hereditary diseases</w:t>
      </w:r>
      <w:r w:rsidR="00DB1067">
        <w:rPr>
          <w:rFonts w:ascii="Times New Roman" w:hAnsi="Times New Roman" w:cs="Times New Roman"/>
          <w:sz w:val="24"/>
          <w:szCs w:val="24"/>
        </w:rPr>
        <w:t xml:space="preserve"> </w:t>
      </w:r>
      <w:r w:rsidR="00DB1067">
        <w:rPr>
          <w:rFonts w:ascii="Times New Roman" w:hAnsi="Times New Roman" w:cs="Times New Roman"/>
          <w:sz w:val="24"/>
          <w:szCs w:val="24"/>
        </w:rPr>
        <w:fldChar w:fldCharType="begin" w:fldLock="1"/>
      </w:r>
      <w:r w:rsidR="00DF6B0D">
        <w:rPr>
          <w:rFonts w:ascii="Times New Roman" w:hAnsi="Times New Roman" w:cs="Times New Roman"/>
          <w:sz w:val="24"/>
          <w:szCs w:val="24"/>
        </w:rPr>
        <w:instrText>ADDIN CSL_CITATION {"citationItems":[{"id":"ITEM-1","itemData":{"DOI":"10.1309/AJCP4ZDKJ4ICOUAT","ISSN":"00029173","PMID":"23690113","abstract":"Hemophagocytic lymphohistiocytosis (HLH) is a frequently fatal and likely underdiagnosed disease involving a final common pathway of hypercytokinemia, which can result in end-organ damage and death. Although an early diagnosis is crucial to decrease mortality, the definitive diagnosis is often challenging because of the lack of specificity of currently accepted diagnostic criteria and the absence of confirmatory gold standards. Because of the wide range of laboratory assays involved in the diagnosis of HLH, practicing pathologists from a broad spectrum of clinical specialties need to be aware of the disease so that they may appropriately flag results and convey them to their clinical counterparts. Our article summarizes these new advances in the diagnosis of HLH and includes a review of clinical findings, updated understanding of the pathogenesis, and promising new testing methods. © American Society for Clinical Pathology.","author":[{"dropping-particle":"","family":"Rosado","given":"Flavia G.N.","non-dropping-particle":"","parse-names":false,"suffix":""},{"dropping-particle":"","family":"Kim","given":"Annette S.","non-dropping-particle":"","parse-names":false,"suffix":""}],"container-title":"American Journal of Clinical Pathology","id":"ITEM-1","issue":"6","issued":{"date-parts":[["2013"]]},"page":"713-727","title":"Hemophagocytic lymphohistiocytosis","type":"article-journal","volume":"139"},"uris":["http://www.mendeley.com/documents/?uuid=57a27a0f-3eab-45e4-a20b-1b9a78843fe8"]}],"mendeley":{"formattedCitation":"[1]","plainTextFormattedCitation":"[1]","previouslyFormattedCitation":"&lt;sup&gt;1&lt;/sup&gt;"},"properties":{"noteIndex":0},"schema":"https://github.com/citation-style-language/schema/raw/master/csl-citation.json"}</w:instrText>
      </w:r>
      <w:r w:rsidR="00DB1067">
        <w:rPr>
          <w:rFonts w:ascii="Times New Roman" w:hAnsi="Times New Roman" w:cs="Times New Roman"/>
          <w:sz w:val="24"/>
          <w:szCs w:val="24"/>
        </w:rPr>
        <w:fldChar w:fldCharType="separate"/>
      </w:r>
      <w:r w:rsidR="00DF6B0D" w:rsidRPr="00DF6B0D">
        <w:rPr>
          <w:rFonts w:ascii="Times New Roman" w:hAnsi="Times New Roman" w:cs="Times New Roman"/>
          <w:noProof/>
          <w:sz w:val="24"/>
          <w:szCs w:val="24"/>
        </w:rPr>
        <w:t>[1]</w:t>
      </w:r>
      <w:r w:rsidR="00DB1067">
        <w:rPr>
          <w:rFonts w:ascii="Times New Roman" w:hAnsi="Times New Roman" w:cs="Times New Roman"/>
          <w:sz w:val="24"/>
          <w:szCs w:val="24"/>
        </w:rPr>
        <w:fldChar w:fldCharType="end"/>
      </w:r>
      <w:r w:rsidR="00DB1067" w:rsidRPr="00DB1067">
        <w:rPr>
          <w:rFonts w:ascii="Times New Roman" w:hAnsi="Times New Roman" w:cs="Times New Roman"/>
          <w:sz w:val="24"/>
          <w:szCs w:val="24"/>
        </w:rPr>
        <w:t>. The disease is seen in all ages and has no predilection for race or sex</w:t>
      </w:r>
      <w:r w:rsidR="00DB1067">
        <w:rPr>
          <w:rFonts w:ascii="Times New Roman" w:hAnsi="Times New Roman" w:cs="Times New Roman"/>
          <w:sz w:val="24"/>
          <w:szCs w:val="24"/>
        </w:rPr>
        <w:t xml:space="preserve"> </w:t>
      </w:r>
      <w:r w:rsidR="00DB1067">
        <w:rPr>
          <w:rFonts w:ascii="Times New Roman" w:hAnsi="Times New Roman" w:cs="Times New Roman"/>
          <w:sz w:val="24"/>
          <w:szCs w:val="24"/>
        </w:rPr>
        <w:fldChar w:fldCharType="begin" w:fldLock="1"/>
      </w:r>
      <w:r w:rsidR="00DF6B0D">
        <w:rPr>
          <w:rFonts w:ascii="Times New Roman" w:hAnsi="Times New Roman" w:cs="Times New Roman"/>
          <w:sz w:val="24"/>
          <w:szCs w:val="24"/>
        </w:rPr>
        <w:instrText>ADDIN CSL_CITATION {"citationItems":[{"id":"ITEM-1","itemData":{"DOI":"10.1146/annurev-med-041610-134208","ISSN":"00664219","PMID":"22248322","abstract":"Hemophagocytic lymphohistiocytosis (HLH) is a life-threatening syndrome in which an uncontrolled and ineffective immune response, triggered in most cases by infectious agents, leads to severe hyperinflammation. Familial forms of HLH (FHL), which are increasingly found also in adolescents and adults, are due to genetic defects leading to impaired function of natural killer cells and cytotoxic T cells. These mutations occur either in the perforin gene or in genes important for the exocytosis of cytotoxic granules. Cytotoxic granules contain perforin and granzymes, which induce apoptosis upon entering (infected) target cells. Additionally, perforin is important for the downregulation of the immune response. Acquired forms of HLH are encountered in association with (usually) viral infections, autoinflammatory/autoimmune diseases, malignant diseases, and acquired immune deficiency states (e.g., after organ transplantation). Treatment of HLH includes immune-suppressive and immune-modulatory agents, cytostatic drugs, and biological response modifiers. For patients with FHL, stem cell transplantation is indicated and can be curative. © 2012 by Annual Reviews. All rights reserved.","author":[{"dropping-particle":"","family":"Janka","given":"G. E.","non-dropping-particle":"","parse-names":false,"suffix":""}],"container-title":"Annual Review of Medicine","id":"ITEM-1","issued":{"date-parts":[["2012"]]},"page":"233-246","publisher":"Annu Rev Med","title":"Familial and acquired hemophagocytic lymphohistiocytosis","type":"article","volume":"63"},"uris":["http://www.mendeley.com/documents/?uuid=6c6fc87a-e9bb-3465-a7b7-03d5b1a34b03"]}],"mendeley":{"formattedCitation":"[6]","plainTextFormattedCitation":"[6]","previouslyFormattedCitation":"&lt;sup&gt;6&lt;/sup&gt;"},"properties":{"noteIndex":0},"schema":"https://github.com/citation-style-language/schema/raw/master/csl-citation.json"}</w:instrText>
      </w:r>
      <w:r w:rsidR="00DB1067">
        <w:rPr>
          <w:rFonts w:ascii="Times New Roman" w:hAnsi="Times New Roman" w:cs="Times New Roman"/>
          <w:sz w:val="24"/>
          <w:szCs w:val="24"/>
        </w:rPr>
        <w:fldChar w:fldCharType="separate"/>
      </w:r>
      <w:r w:rsidR="00DF6B0D" w:rsidRPr="00DF6B0D">
        <w:rPr>
          <w:rFonts w:ascii="Times New Roman" w:hAnsi="Times New Roman" w:cs="Times New Roman"/>
          <w:noProof/>
          <w:sz w:val="24"/>
          <w:szCs w:val="24"/>
        </w:rPr>
        <w:t>[6]</w:t>
      </w:r>
      <w:r w:rsidR="00DB1067">
        <w:rPr>
          <w:rFonts w:ascii="Times New Roman" w:hAnsi="Times New Roman" w:cs="Times New Roman"/>
          <w:sz w:val="24"/>
          <w:szCs w:val="24"/>
        </w:rPr>
        <w:fldChar w:fldCharType="end"/>
      </w:r>
      <w:r w:rsidR="00DB1067">
        <w:rPr>
          <w:rFonts w:ascii="Times New Roman" w:hAnsi="Times New Roman" w:cs="Times New Roman"/>
          <w:sz w:val="24"/>
          <w:szCs w:val="24"/>
        </w:rPr>
        <w:t xml:space="preserve">. </w:t>
      </w:r>
      <w:r w:rsidRPr="00E00B7F">
        <w:rPr>
          <w:rFonts w:ascii="Times New Roman" w:hAnsi="Times New Roman" w:cs="Times New Roman"/>
          <w:sz w:val="24"/>
          <w:szCs w:val="24"/>
        </w:rPr>
        <w:t>There are two main types; primary or familial HLH associated with genetic predisposition</w:t>
      </w:r>
      <w:r w:rsidR="00791892">
        <w:rPr>
          <w:rFonts w:ascii="Times New Roman" w:hAnsi="Times New Roman" w:cs="Times New Roman"/>
          <w:sz w:val="24"/>
          <w:szCs w:val="24"/>
        </w:rPr>
        <w:t xml:space="preserve"> and </w:t>
      </w:r>
      <w:r w:rsidRPr="00E00B7F">
        <w:rPr>
          <w:rFonts w:ascii="Times New Roman" w:hAnsi="Times New Roman" w:cs="Times New Roman"/>
          <w:sz w:val="24"/>
          <w:szCs w:val="24"/>
        </w:rPr>
        <w:t>secondary or sporadic HLH associated with other medical conditions</w:t>
      </w:r>
      <w:r w:rsidR="00791892">
        <w:rPr>
          <w:rFonts w:ascii="Times New Roman" w:hAnsi="Times New Roman" w:cs="Times New Roman"/>
          <w:sz w:val="24"/>
          <w:szCs w:val="24"/>
        </w:rPr>
        <w:t>,</w:t>
      </w:r>
      <w:r w:rsidRPr="00E00B7F">
        <w:rPr>
          <w:rFonts w:ascii="Times New Roman" w:hAnsi="Times New Roman" w:cs="Times New Roman"/>
          <w:sz w:val="24"/>
          <w:szCs w:val="24"/>
        </w:rPr>
        <w:t xml:space="preserve"> including infective, </w:t>
      </w:r>
      <w:r w:rsidRPr="00E00B7F">
        <w:rPr>
          <w:rFonts w:ascii="Times New Roman" w:hAnsi="Times New Roman" w:cs="Times New Roman"/>
          <w:color w:val="231F20"/>
          <w:sz w:val="24"/>
          <w:szCs w:val="24"/>
        </w:rPr>
        <w:t>rheumatoid</w:t>
      </w:r>
      <w:r w:rsidR="00791892">
        <w:rPr>
          <w:rFonts w:ascii="Times New Roman" w:hAnsi="Times New Roman" w:cs="Times New Roman"/>
          <w:color w:val="231F20"/>
          <w:sz w:val="24"/>
          <w:szCs w:val="24"/>
        </w:rPr>
        <w:t>,</w:t>
      </w:r>
      <w:r w:rsidRPr="00E00B7F">
        <w:rPr>
          <w:rFonts w:ascii="Times New Roman" w:hAnsi="Times New Roman" w:cs="Times New Roman"/>
          <w:color w:val="231F20"/>
          <w:sz w:val="24"/>
          <w:szCs w:val="24"/>
        </w:rPr>
        <w:t xml:space="preserve"> </w:t>
      </w:r>
      <w:r w:rsidRPr="00E00B7F">
        <w:rPr>
          <w:rFonts w:ascii="Times New Roman" w:hAnsi="Times New Roman" w:cs="Times New Roman"/>
          <w:sz w:val="24"/>
          <w:szCs w:val="24"/>
        </w:rPr>
        <w:t xml:space="preserve">and malignant conditions </w:t>
      </w:r>
      <w:r w:rsidR="009D297E">
        <w:rPr>
          <w:rFonts w:ascii="Times New Roman" w:hAnsi="Times New Roman" w:cs="Times New Roman"/>
          <w:sz w:val="24"/>
          <w:szCs w:val="24"/>
        </w:rPr>
        <w:fldChar w:fldCharType="begin" w:fldLock="1"/>
      </w:r>
      <w:r w:rsidR="00DF6B0D">
        <w:rPr>
          <w:rFonts w:ascii="Times New Roman" w:hAnsi="Times New Roman" w:cs="Times New Roman"/>
          <w:sz w:val="24"/>
          <w:szCs w:val="24"/>
        </w:rPr>
        <w:instrText>ADDIN CSL_CITATION {"citationItems":[{"id":"ITEM-1","itemData":{"DOI":"10.1002/pbc.21039","ISSN":"15455009","PMID":"16937360","abstract":"In HLH-94, the first prospective international treatment study for hemophagocytic lymphohistiocytosis (HLH), diagnosis was based on five criteria (fever, splenomegaly, bicytopenia, hypertriglyceridemia and/or hypofibrinogenemia, and hemophagocytosis). In HLH-2004 three additional criteria are introduced; low/absent NK-cell-activity, hyperferritinemia, and high-soluble interleukin-2-receptor levels. Altogether five of these eight criteria must be fulfilled, unless family history or molecular diagnosis is consistent with HLH. HLH-2004 chemo-immunotherapy includes etoposide, dexamethasone, cyclosporine A upfront and, in selected patients, intrathecal therapy with methotrexate and corticosteroids. Subsequent hematopoietic stem cell transplantation (HSCT) is recommended for patients with familial disease or molecular diagnosis, and patients with severe and persistent, or reactivated, disease. In order to hopefully further improve diagnosis, therapy and biological understanding, participation in HLH studies is encouraged. © 2006 Wiley-Liss, Inc.","author":[{"dropping-particle":"","family":"Henter","given":"Jan Inge","non-dropping-particle":"","parse-names":false,"suffix":""},{"dropping-particle":"","family":"Horne","given":"Anna Carin","non-dropping-particle":"","parse-names":false,"suffix":""},{"dropping-particle":"","family":"Aricó","given":"Maurizio","non-dropping-particle":"","parse-names":false,"suffix":""},{"dropping-particle":"","family":"Egeler","given":"R. Maarten","non-dropping-particle":"","parse-names":false,"suffix":""},{"dropping-particle":"","family":"Filipovich","given":"Alexandra H.","non-dropping-particle":"","parse-names":false,"suffix":""},{"dropping-particle":"","family":"Imashuku","given":"Shinsaku","non-dropping-particle":"","parse-names":false,"suffix":""},{"dropping-particle":"","family":"Ladisch","given":"Stephan","non-dropping-particle":"","parse-names":false,"suffix":""},{"dropping-particle":"","family":"McClain","given":"Ken","non-dropping-particle":"","parse-names":false,"suffix":""},{"dropping-particle":"","family":"Webb","given":"David","non-dropping-particle":"","parse-names":false,"suffix":""},{"dropping-particle":"","family":"Winiarski","given":"Jacek","non-dropping-particle":"","parse-names":false,"suffix":""},{"dropping-particle":"","family":"Janka","given":"Gritta","non-dropping-particle":"","parse-names":false,"suffix":""}],"container-title":"Pediatric Blood and Cancer","id":"ITEM-1","issue":"2","issued":{"date-parts":[["2007","2"]]},"page":"124-131","publisher":"Pediatr Blood Cancer","title":"HLH-2004: Diagnostic and therapeutic guidelines for hemophagocytic lymphohistiocytosis","type":"article","volume":"48"},"uris":["http://www.mendeley.com/documents/?uuid=36e2cb75-1f4a-3d29-9939-4ec81c79925f"]}],"mendeley":{"formattedCitation":"[7]","plainTextFormattedCitation":"[7]","previouslyFormattedCitation":"&lt;sup&gt;7&lt;/sup&gt;"},"properties":{"noteIndex":0},"schema":"https://github.com/citation-style-language/schema/raw/master/csl-citation.json"}</w:instrText>
      </w:r>
      <w:r w:rsidR="009D297E">
        <w:rPr>
          <w:rFonts w:ascii="Times New Roman" w:hAnsi="Times New Roman" w:cs="Times New Roman"/>
          <w:sz w:val="24"/>
          <w:szCs w:val="24"/>
        </w:rPr>
        <w:fldChar w:fldCharType="separate"/>
      </w:r>
      <w:r w:rsidR="00DF6B0D" w:rsidRPr="00DF6B0D">
        <w:rPr>
          <w:rFonts w:ascii="Times New Roman" w:hAnsi="Times New Roman" w:cs="Times New Roman"/>
          <w:noProof/>
          <w:sz w:val="24"/>
          <w:szCs w:val="24"/>
        </w:rPr>
        <w:t>[7]</w:t>
      </w:r>
      <w:r w:rsidR="009D297E">
        <w:rPr>
          <w:rFonts w:ascii="Times New Roman" w:hAnsi="Times New Roman" w:cs="Times New Roman"/>
          <w:sz w:val="24"/>
          <w:szCs w:val="24"/>
        </w:rPr>
        <w:fldChar w:fldCharType="end"/>
      </w:r>
      <w:r w:rsidRPr="00E00B7F">
        <w:rPr>
          <w:rFonts w:ascii="Times New Roman" w:hAnsi="Times New Roman" w:cs="Times New Roman"/>
          <w:sz w:val="24"/>
          <w:szCs w:val="24"/>
        </w:rPr>
        <w:t>.</w:t>
      </w:r>
    </w:p>
    <w:p w14:paraId="24D5AEE1" w14:textId="75B4D45E" w:rsidR="00A425DA" w:rsidRDefault="00A425DA" w:rsidP="00A425DA">
      <w:pPr>
        <w:autoSpaceDE w:val="0"/>
        <w:autoSpaceDN w:val="0"/>
        <w:adjustRightInd w:val="0"/>
        <w:spacing w:after="240" w:line="276" w:lineRule="auto"/>
        <w:rPr>
          <w:rFonts w:ascii="Times New Roman" w:hAnsi="Times New Roman" w:cs="Times New Roman"/>
          <w:sz w:val="24"/>
          <w:szCs w:val="24"/>
        </w:rPr>
      </w:pPr>
      <w:r>
        <w:rPr>
          <w:rFonts w:ascii="Times New Roman" w:hAnsi="Times New Roman" w:cs="Times New Roman"/>
          <w:sz w:val="24"/>
          <w:szCs w:val="24"/>
        </w:rPr>
        <w:t>T</w:t>
      </w:r>
      <w:r w:rsidRPr="00A425DA">
        <w:rPr>
          <w:rFonts w:ascii="Times New Roman" w:hAnsi="Times New Roman" w:cs="Times New Roman"/>
          <w:sz w:val="24"/>
          <w:szCs w:val="24"/>
        </w:rPr>
        <w:t>he designations primary and secondary</w:t>
      </w:r>
      <w:r>
        <w:rPr>
          <w:rFonts w:ascii="Times New Roman" w:hAnsi="Times New Roman" w:cs="Times New Roman"/>
          <w:sz w:val="24"/>
          <w:szCs w:val="24"/>
        </w:rPr>
        <w:t xml:space="preserve"> HLH</w:t>
      </w:r>
      <w:r w:rsidRPr="00A425DA">
        <w:rPr>
          <w:rFonts w:ascii="Times New Roman" w:hAnsi="Times New Roman" w:cs="Times New Roman"/>
          <w:sz w:val="24"/>
          <w:szCs w:val="24"/>
        </w:rPr>
        <w:t xml:space="preserve"> have become less relevant</w:t>
      </w:r>
      <w:r>
        <w:rPr>
          <w:rFonts w:ascii="Times New Roman" w:hAnsi="Times New Roman" w:cs="Times New Roman"/>
          <w:sz w:val="24"/>
          <w:szCs w:val="24"/>
        </w:rPr>
        <w:t>, and i</w:t>
      </w:r>
      <w:r w:rsidRPr="00A425DA">
        <w:rPr>
          <w:rFonts w:ascii="Times New Roman" w:hAnsi="Times New Roman" w:cs="Times New Roman"/>
          <w:sz w:val="24"/>
          <w:szCs w:val="24"/>
        </w:rPr>
        <w:t xml:space="preserve">nstead, genetic and acquired HLH </w:t>
      </w:r>
      <w:r>
        <w:rPr>
          <w:rFonts w:ascii="Times New Roman" w:hAnsi="Times New Roman" w:cs="Times New Roman"/>
          <w:sz w:val="24"/>
          <w:szCs w:val="24"/>
        </w:rPr>
        <w:t>is</w:t>
      </w:r>
      <w:r w:rsidRPr="00A425DA">
        <w:rPr>
          <w:rFonts w:ascii="Times New Roman" w:hAnsi="Times New Roman" w:cs="Times New Roman"/>
          <w:sz w:val="24"/>
          <w:szCs w:val="24"/>
        </w:rPr>
        <w:t xml:space="preserve"> more appropriate</w:t>
      </w:r>
      <w:r>
        <w:rPr>
          <w:rFonts w:ascii="Times New Roman" w:hAnsi="Times New Roman" w:cs="Times New Roman"/>
          <w:sz w:val="24"/>
          <w:szCs w:val="24"/>
        </w:rPr>
        <w:t xml:space="preserve"> </w:t>
      </w:r>
      <w:r>
        <w:rPr>
          <w:rFonts w:ascii="Times New Roman" w:hAnsi="Times New Roman" w:cs="Times New Roman"/>
          <w:sz w:val="24"/>
          <w:szCs w:val="24"/>
        </w:rPr>
        <w:fldChar w:fldCharType="begin" w:fldLock="1"/>
      </w:r>
      <w:r w:rsidR="00DF6B0D">
        <w:rPr>
          <w:rFonts w:ascii="Times New Roman" w:hAnsi="Times New Roman" w:cs="Times New Roman"/>
          <w:sz w:val="24"/>
          <w:szCs w:val="24"/>
        </w:rPr>
        <w:instrText>ADDIN CSL_CITATION {"citationItems":[{"id":"ITEM-1","itemData":{"DOI":"10.1309/AJCP4ZDKJ4ICOUAT","ISSN":"00029173","PMID":"23690113","abstract":"Hemophagocytic lymphohistiocytosis (HLH) is a frequently fatal and likely underdiagnosed disease involving a final common pathway of hypercytokinemia, which can result in end-organ damage and death. Although an early diagnosis is crucial to decrease mortality, the definitive diagnosis is often challenging because of the lack of specificity of currently accepted diagnostic criteria and the absence of confirmatory gold standards. Because of the wide range of laboratory assays involved in the diagnosis of HLH, practicing pathologists from a broad spectrum of clinical specialties need to be aware of the disease so that they may appropriately flag results and convey them to their clinical counterparts. Our article summarizes these new advances in the diagnosis of HLH and includes a review of clinical findings, updated understanding of the pathogenesis, and promising new testing methods. © American Society for Clinical Pathology.","author":[{"dropping-particle":"","family":"Rosado","given":"Flavia G.N.","non-dropping-particle":"","parse-names":false,"suffix":""},{"dropping-particle":"","family":"Kim","given":"Annette S.","non-dropping-particle":"","parse-names":false,"suffix":""}],"container-title":"American Journal of Clinical Pathology","id":"ITEM-1","issue":"6","issued":{"date-parts":[["2013"]]},"page":"713-727","title":"Hemophagocytic lymphohistiocytosis","type":"article-journal","volume":"139"},"uris":["http://www.mendeley.com/documents/?uuid=57a27a0f-3eab-45e4-a20b-1b9a78843fe8"]}],"mendeley":{"formattedCitation":"[1]","plainTextFormattedCitation":"[1]","previouslyFormattedCitation":"&lt;sup&gt;1&lt;/sup&gt;"},"properties":{"noteIndex":0},"schema":"https://github.com/citation-style-language/schema/raw/master/csl-citation.json"}</w:instrText>
      </w:r>
      <w:r>
        <w:rPr>
          <w:rFonts w:ascii="Times New Roman" w:hAnsi="Times New Roman" w:cs="Times New Roman"/>
          <w:sz w:val="24"/>
          <w:szCs w:val="24"/>
        </w:rPr>
        <w:fldChar w:fldCharType="separate"/>
      </w:r>
      <w:r w:rsidR="00DF6B0D" w:rsidRPr="00DF6B0D">
        <w:rPr>
          <w:rFonts w:ascii="Times New Roman" w:hAnsi="Times New Roman" w:cs="Times New Roman"/>
          <w:noProof/>
          <w:sz w:val="24"/>
          <w:szCs w:val="24"/>
        </w:rPr>
        <w:t>[1]</w:t>
      </w:r>
      <w:r>
        <w:rPr>
          <w:rFonts w:ascii="Times New Roman" w:hAnsi="Times New Roman" w:cs="Times New Roman"/>
          <w:sz w:val="24"/>
          <w:szCs w:val="24"/>
        </w:rPr>
        <w:fldChar w:fldCharType="end"/>
      </w:r>
      <w:r>
        <w:rPr>
          <w:rFonts w:ascii="Times New Roman" w:hAnsi="Times New Roman" w:cs="Times New Roman"/>
          <w:sz w:val="24"/>
          <w:szCs w:val="24"/>
        </w:rPr>
        <w:t xml:space="preserve">. </w:t>
      </w:r>
      <w:r w:rsidRPr="00A425DA">
        <w:rPr>
          <w:rFonts w:ascii="Times New Roman" w:hAnsi="Times New Roman" w:cs="Times New Roman"/>
          <w:sz w:val="24"/>
          <w:szCs w:val="24"/>
        </w:rPr>
        <w:t>Acquired (secondary) HLH can occur in all age groups</w:t>
      </w:r>
      <w:r>
        <w:rPr>
          <w:rFonts w:ascii="Times New Roman" w:hAnsi="Times New Roman" w:cs="Times New Roman"/>
          <w:sz w:val="24"/>
          <w:szCs w:val="24"/>
        </w:rPr>
        <w:t>, although t</w:t>
      </w:r>
      <w:r w:rsidRPr="00A425DA">
        <w:rPr>
          <w:rFonts w:ascii="Times New Roman" w:hAnsi="Times New Roman" w:cs="Times New Roman"/>
          <w:sz w:val="24"/>
          <w:szCs w:val="24"/>
        </w:rPr>
        <w:t>here are no published data on incidence or age distribution.</w:t>
      </w:r>
      <w:r>
        <w:rPr>
          <w:rFonts w:ascii="Times New Roman" w:hAnsi="Times New Roman" w:cs="Times New Roman"/>
          <w:sz w:val="24"/>
          <w:szCs w:val="24"/>
        </w:rPr>
        <w:t xml:space="preserve"> </w:t>
      </w:r>
      <w:r w:rsidRPr="00A425DA">
        <w:rPr>
          <w:rFonts w:ascii="Times New Roman" w:hAnsi="Times New Roman" w:cs="Times New Roman"/>
          <w:sz w:val="24"/>
          <w:szCs w:val="24"/>
        </w:rPr>
        <w:t>Conditions associated with acquired HLH are predominantly infections, autoimmune diseases and, especially in adults, malignant diseases</w:t>
      </w:r>
      <w:r>
        <w:rPr>
          <w:rFonts w:ascii="Times New Roman" w:hAnsi="Times New Roman" w:cs="Times New Roman"/>
          <w:sz w:val="24"/>
          <w:szCs w:val="24"/>
        </w:rPr>
        <w:t xml:space="preserve"> </w:t>
      </w:r>
      <w:r>
        <w:rPr>
          <w:rFonts w:ascii="Times New Roman" w:hAnsi="Times New Roman" w:cs="Times New Roman"/>
          <w:sz w:val="24"/>
          <w:szCs w:val="24"/>
        </w:rPr>
        <w:fldChar w:fldCharType="begin" w:fldLock="1"/>
      </w:r>
      <w:r w:rsidR="00DF6B0D">
        <w:rPr>
          <w:rFonts w:ascii="Times New Roman" w:hAnsi="Times New Roman" w:cs="Times New Roman"/>
          <w:sz w:val="24"/>
          <w:szCs w:val="24"/>
        </w:rPr>
        <w:instrText>ADDIN CSL_CITATION {"citationItems":[{"id":"ITEM-1","itemData":{"DOI":"10.1055/s-0029-1237386","ISSN":"03008630","PMID":"19707989","abstract":"Hemophagocytic lymphohistiocytosis (HLH) is a life-threatening syndrome in which an exaggerated but ineffective immune response leads to severe hyperinflammation. Key players in HLH are activated lymphocytes and histiocytes which infiltrate all organs and secrete large amounts of cytokines. Cardinal symptoms are prolonged fever, hepatosplenomegaly, cytopenias, and hemophagocytosis. Biochemical markers include elevated ferritin, triglycerides, and low fibrinogen. HLH occurs on the basis of various inherited and acquired immune defects. Impaired function of natural killer cells and cytotoxic T cells is shared by all forms of HLH. Nearly all genetic defects identified in inherited cases of HLH are either mutations in the perforin gene or in genes important for the exocytosis of cytotoxic granules. Cytotoxic granules contain perforin and granzymes which induce apoptosis upon entering the target cell. Additionally perforin is important for the down-regulation of the immune response. Acquired forms of HLH are found in association with infectious agents, in patients with autoimmune diseases, in malignant diseases, and in patients receiving immune suppression or after organ transplantation. HLH is still difficult to diagnose and may be overlooked since initially it may masquerade as a normal infection. HLH should be considered when symptoms are more pronounced than usual and in case of progression. Suppression of the severe hyperinflammation can be achieved with immunosuppressive and immunomodulatory agents and cytostatic drugs. Patients with genetic HLH have to undergo stem cell transplantation for cure. © Georg Thieme Verlag KG Stuttgart New York.","author":[{"dropping-particle":"","family":"Janka","given":"G.","non-dropping-particle":"","parse-names":false,"suffix":""}],"container-title":"Klinische Padiatrie","id":"ITEM-1","issue":"5","issued":{"date-parts":[["2009"]]},"page":"278-285","publisher":"Georg Thieme Verlag","title":"Hemophagocytic lymphohistiocytosis: When the immune system runs amok","type":"article","volume":"221"},"uris":["http://www.mendeley.com/documents/?uuid=84e151e6-6623-3b9d-ae9f-41ddb29de2b1"]}],"mendeley":{"formattedCitation":"[8]","plainTextFormattedCitation":"[8]","previouslyFormattedCitation":"&lt;sup&gt;8&lt;/sup&gt;"},"properties":{"noteIndex":0},"schema":"https://github.com/citation-style-language/schema/raw/master/csl-citation.json"}</w:instrText>
      </w:r>
      <w:r>
        <w:rPr>
          <w:rFonts w:ascii="Times New Roman" w:hAnsi="Times New Roman" w:cs="Times New Roman"/>
          <w:sz w:val="24"/>
          <w:szCs w:val="24"/>
        </w:rPr>
        <w:fldChar w:fldCharType="separate"/>
      </w:r>
      <w:r w:rsidR="00DF6B0D" w:rsidRPr="00DF6B0D">
        <w:rPr>
          <w:rFonts w:ascii="Times New Roman" w:hAnsi="Times New Roman" w:cs="Times New Roman"/>
          <w:noProof/>
          <w:sz w:val="24"/>
          <w:szCs w:val="24"/>
        </w:rPr>
        <w:t>[8]</w:t>
      </w:r>
      <w:r>
        <w:rPr>
          <w:rFonts w:ascii="Times New Roman" w:hAnsi="Times New Roman" w:cs="Times New Roman"/>
          <w:sz w:val="24"/>
          <w:szCs w:val="24"/>
        </w:rPr>
        <w:fldChar w:fldCharType="end"/>
      </w:r>
      <w:r>
        <w:rPr>
          <w:rFonts w:ascii="Times New Roman" w:hAnsi="Times New Roman" w:cs="Times New Roman"/>
          <w:sz w:val="24"/>
          <w:szCs w:val="24"/>
        </w:rPr>
        <w:t>. The infections causing HLH include viral infections like h</w:t>
      </w:r>
      <w:r w:rsidRPr="00A425DA">
        <w:rPr>
          <w:rFonts w:ascii="Times New Roman" w:hAnsi="Times New Roman" w:cs="Times New Roman"/>
          <w:sz w:val="24"/>
          <w:szCs w:val="24"/>
        </w:rPr>
        <w:t>erpesviruses,</w:t>
      </w:r>
      <w:r>
        <w:rPr>
          <w:rFonts w:ascii="Times New Roman" w:hAnsi="Times New Roman" w:cs="Times New Roman"/>
          <w:sz w:val="24"/>
          <w:szCs w:val="24"/>
        </w:rPr>
        <w:t xml:space="preserve"> human immunodeficiency virus</w:t>
      </w:r>
      <w:r w:rsidRPr="00A425DA">
        <w:rPr>
          <w:rFonts w:ascii="Times New Roman" w:hAnsi="Times New Roman" w:cs="Times New Roman"/>
          <w:sz w:val="24"/>
          <w:szCs w:val="24"/>
        </w:rPr>
        <w:t xml:space="preserve"> </w:t>
      </w:r>
      <w:r>
        <w:rPr>
          <w:rFonts w:ascii="Times New Roman" w:hAnsi="Times New Roman" w:cs="Times New Roman"/>
          <w:sz w:val="24"/>
          <w:szCs w:val="24"/>
        </w:rPr>
        <w:t>(</w:t>
      </w:r>
      <w:r w:rsidRPr="00A425DA">
        <w:rPr>
          <w:rFonts w:ascii="Times New Roman" w:hAnsi="Times New Roman" w:cs="Times New Roman"/>
          <w:sz w:val="24"/>
          <w:szCs w:val="24"/>
        </w:rPr>
        <w:t>HIV</w:t>
      </w:r>
      <w:r>
        <w:rPr>
          <w:rFonts w:ascii="Times New Roman" w:hAnsi="Times New Roman" w:cs="Times New Roman"/>
          <w:sz w:val="24"/>
          <w:szCs w:val="24"/>
        </w:rPr>
        <w:t>)</w:t>
      </w:r>
      <w:r w:rsidRPr="00A425DA">
        <w:rPr>
          <w:rFonts w:ascii="Times New Roman" w:hAnsi="Times New Roman" w:cs="Times New Roman"/>
          <w:sz w:val="24"/>
          <w:szCs w:val="24"/>
        </w:rPr>
        <w:t>, adenovirus,</w:t>
      </w:r>
      <w:r>
        <w:rPr>
          <w:rFonts w:ascii="Times New Roman" w:hAnsi="Times New Roman" w:cs="Times New Roman"/>
          <w:sz w:val="24"/>
          <w:szCs w:val="24"/>
        </w:rPr>
        <w:t xml:space="preserve"> </w:t>
      </w:r>
      <w:r w:rsidRPr="00A425DA">
        <w:rPr>
          <w:rFonts w:ascii="Times New Roman" w:hAnsi="Times New Roman" w:cs="Times New Roman"/>
          <w:sz w:val="24"/>
          <w:szCs w:val="24"/>
        </w:rPr>
        <w:t>dengue</w:t>
      </w:r>
      <w:r>
        <w:rPr>
          <w:rFonts w:ascii="Times New Roman" w:hAnsi="Times New Roman" w:cs="Times New Roman"/>
          <w:sz w:val="24"/>
          <w:szCs w:val="24"/>
        </w:rPr>
        <w:t xml:space="preserve"> and </w:t>
      </w:r>
      <w:r w:rsidRPr="00A425DA">
        <w:rPr>
          <w:rFonts w:ascii="Times New Roman" w:hAnsi="Times New Roman" w:cs="Times New Roman"/>
          <w:sz w:val="24"/>
          <w:szCs w:val="24"/>
        </w:rPr>
        <w:t xml:space="preserve">hantavirus, </w:t>
      </w:r>
      <w:r>
        <w:rPr>
          <w:rFonts w:ascii="Times New Roman" w:hAnsi="Times New Roman" w:cs="Times New Roman"/>
          <w:sz w:val="24"/>
          <w:szCs w:val="24"/>
        </w:rPr>
        <w:t xml:space="preserve">bacterial causes like </w:t>
      </w:r>
      <w:r w:rsidRPr="00A425DA">
        <w:rPr>
          <w:rFonts w:ascii="Times New Roman" w:hAnsi="Times New Roman" w:cs="Times New Roman"/>
          <w:sz w:val="24"/>
          <w:szCs w:val="24"/>
        </w:rPr>
        <w:t>Staphylococcus aureus, Campylobacter spp,</w:t>
      </w:r>
      <w:r>
        <w:rPr>
          <w:rFonts w:ascii="Times New Roman" w:hAnsi="Times New Roman" w:cs="Times New Roman"/>
          <w:sz w:val="24"/>
          <w:szCs w:val="24"/>
        </w:rPr>
        <w:t xml:space="preserve"> and </w:t>
      </w:r>
      <w:r w:rsidRPr="00A425DA">
        <w:rPr>
          <w:rFonts w:ascii="Times New Roman" w:hAnsi="Times New Roman" w:cs="Times New Roman"/>
          <w:sz w:val="24"/>
          <w:szCs w:val="24"/>
        </w:rPr>
        <w:t>Mycoplasma spp,</w:t>
      </w:r>
      <w:r>
        <w:rPr>
          <w:rFonts w:ascii="Times New Roman" w:hAnsi="Times New Roman" w:cs="Times New Roman"/>
          <w:sz w:val="24"/>
          <w:szCs w:val="24"/>
        </w:rPr>
        <w:t xml:space="preserve"> fungal infections like </w:t>
      </w:r>
      <w:r w:rsidRPr="00A425DA">
        <w:rPr>
          <w:rFonts w:ascii="Times New Roman" w:hAnsi="Times New Roman" w:cs="Times New Roman"/>
          <w:sz w:val="24"/>
          <w:szCs w:val="24"/>
        </w:rPr>
        <w:t>Candida spp, Cryptococcus spp, Pneumocystis spp,</w:t>
      </w:r>
      <w:r>
        <w:rPr>
          <w:rFonts w:ascii="Times New Roman" w:hAnsi="Times New Roman" w:cs="Times New Roman"/>
          <w:sz w:val="24"/>
          <w:szCs w:val="24"/>
        </w:rPr>
        <w:t xml:space="preserve"> and</w:t>
      </w:r>
      <w:r w:rsidRPr="00A425DA">
        <w:rPr>
          <w:rFonts w:ascii="Times New Roman" w:hAnsi="Times New Roman" w:cs="Times New Roman"/>
          <w:sz w:val="24"/>
          <w:szCs w:val="24"/>
        </w:rPr>
        <w:t xml:space="preserve"> Histoplasma spp, </w:t>
      </w:r>
      <w:r>
        <w:rPr>
          <w:rFonts w:ascii="Times New Roman" w:hAnsi="Times New Roman" w:cs="Times New Roman"/>
          <w:sz w:val="24"/>
          <w:szCs w:val="24"/>
        </w:rPr>
        <w:t>and parasitic infections like</w:t>
      </w:r>
      <w:r w:rsidRPr="00A425DA">
        <w:rPr>
          <w:rFonts w:ascii="Times New Roman" w:hAnsi="Times New Roman" w:cs="Times New Roman"/>
          <w:sz w:val="24"/>
          <w:szCs w:val="24"/>
        </w:rPr>
        <w:t xml:space="preserve"> Plasmodium falciparum, Plasmodium vivax, Toxoplasma spp, </w:t>
      </w:r>
      <w:r>
        <w:rPr>
          <w:rFonts w:ascii="Times New Roman" w:hAnsi="Times New Roman" w:cs="Times New Roman"/>
          <w:sz w:val="24"/>
          <w:szCs w:val="24"/>
        </w:rPr>
        <w:t xml:space="preserve">and </w:t>
      </w:r>
      <w:r w:rsidRPr="00A425DA">
        <w:rPr>
          <w:rFonts w:ascii="Times New Roman" w:hAnsi="Times New Roman" w:cs="Times New Roman"/>
          <w:sz w:val="24"/>
          <w:szCs w:val="24"/>
        </w:rPr>
        <w:t>Leishmania spp</w:t>
      </w:r>
      <w:r>
        <w:rPr>
          <w:rFonts w:ascii="Times New Roman" w:hAnsi="Times New Roman" w:cs="Times New Roman"/>
          <w:sz w:val="24"/>
          <w:szCs w:val="24"/>
        </w:rPr>
        <w:t xml:space="preserve"> </w:t>
      </w:r>
      <w:r>
        <w:rPr>
          <w:rFonts w:ascii="Times New Roman" w:hAnsi="Times New Roman" w:cs="Times New Roman"/>
          <w:sz w:val="24"/>
          <w:szCs w:val="24"/>
        </w:rPr>
        <w:fldChar w:fldCharType="begin" w:fldLock="1"/>
      </w:r>
      <w:r w:rsidR="00DF6B0D">
        <w:rPr>
          <w:rFonts w:ascii="Times New Roman" w:hAnsi="Times New Roman" w:cs="Times New Roman"/>
          <w:sz w:val="24"/>
          <w:szCs w:val="24"/>
        </w:rPr>
        <w:instrText>ADDIN CSL_CITATION {"citationItems":[{"id":"ITEM-1","itemData":{"DOI":"10.1309/AJCP4ZDKJ4ICOUAT","ISSN":"00029173","PMID":"23690113","abstract":"Hemophagocytic lymphohistiocytosis (HLH) is a frequently fatal and likely underdiagnosed disease involving a final common pathway of hypercytokinemia, which can result in end-organ damage and death. Although an early diagnosis is crucial to decrease mortality, the definitive diagnosis is often challenging because of the lack of specificity of currently accepted diagnostic criteria and the absence of confirmatory gold standards. Because of the wide range of laboratory assays involved in the diagnosis of HLH, practicing pathologists from a broad spectrum of clinical specialties need to be aware of the disease so that they may appropriately flag results and convey them to their clinical counterparts. Our article summarizes these new advances in the diagnosis of HLH and includes a review of clinical findings, updated understanding of the pathogenesis, and promising new testing methods. © American Society for Clinical Pathology.","author":[{"dropping-particle":"","family":"Rosado","given":"Flavia G.N.","non-dropping-particle":"","parse-names":false,"suffix":""},{"dropping-particle":"","family":"Kim","given":"Annette S.","non-dropping-particle":"","parse-names":false,"suffix":""}],"container-title":"American Journal of Clinical Pathology","id":"ITEM-1","issue":"6","issued":{"date-parts":[["2013"]]},"page":"713-727","title":"Hemophagocytic lymphohistiocytosis","type":"article-journal","volume":"139"},"uris":["http://www.mendeley.com/documents/?uuid=57a27a0f-3eab-45e4-a20b-1b9a78843fe8"]}],"mendeley":{"formattedCitation":"[1]","plainTextFormattedCitation":"[1]","previouslyFormattedCitation":"&lt;sup&gt;1&lt;/sup&gt;"},"properties":{"noteIndex":0},"schema":"https://github.com/citation-style-language/schema/raw/master/csl-citation.json"}</w:instrText>
      </w:r>
      <w:r>
        <w:rPr>
          <w:rFonts w:ascii="Times New Roman" w:hAnsi="Times New Roman" w:cs="Times New Roman"/>
          <w:sz w:val="24"/>
          <w:szCs w:val="24"/>
        </w:rPr>
        <w:fldChar w:fldCharType="separate"/>
      </w:r>
      <w:r w:rsidR="00DF6B0D" w:rsidRPr="00DF6B0D">
        <w:rPr>
          <w:rFonts w:ascii="Times New Roman" w:hAnsi="Times New Roman" w:cs="Times New Roman"/>
          <w:noProof/>
          <w:sz w:val="24"/>
          <w:szCs w:val="24"/>
        </w:rPr>
        <w:t>[1]</w:t>
      </w:r>
      <w:r>
        <w:rPr>
          <w:rFonts w:ascii="Times New Roman" w:hAnsi="Times New Roman" w:cs="Times New Roman"/>
          <w:sz w:val="24"/>
          <w:szCs w:val="24"/>
        </w:rPr>
        <w:fldChar w:fldCharType="end"/>
      </w:r>
      <w:r>
        <w:rPr>
          <w:rFonts w:ascii="Times New Roman" w:hAnsi="Times New Roman" w:cs="Times New Roman"/>
          <w:sz w:val="24"/>
          <w:szCs w:val="24"/>
        </w:rPr>
        <w:t xml:space="preserve">. HLH is an uncommon manifestation in dengue, and the diagnosis of HLH is difficult when present concurrent with dengue fever </w:t>
      </w:r>
      <w:r>
        <w:rPr>
          <w:rFonts w:ascii="Times New Roman" w:hAnsi="Times New Roman" w:cs="Times New Roman"/>
          <w:sz w:val="24"/>
          <w:szCs w:val="24"/>
        </w:rPr>
        <w:fldChar w:fldCharType="begin" w:fldLock="1"/>
      </w:r>
      <w:r w:rsidR="00DF6B0D">
        <w:rPr>
          <w:rFonts w:ascii="Times New Roman" w:hAnsi="Times New Roman" w:cs="Times New Roman"/>
          <w:sz w:val="24"/>
          <w:szCs w:val="24"/>
        </w:rPr>
        <w:instrText>ADDIN CSL_CITATION {"citationItems":[{"id":"ITEM-1","itemData":{"DOI":"10.1179/2295333714Y.0000000040","ISSN":"22953337","PMID":"25649532","abstract":"Sir, the recent report on ‘haemophagocytic lymphohistiocytosis and dengue’ is very interesting.1 de Koninck et al. reported a case of dengue with haemophagocytic lymphohistiocytosis and noted that ...","author":[{"dropping-particle":"","family":"Wiwanitkit","given":"V.","non-dropping-particle":"","parse-names":false,"suffix":""}],"container-title":"Acta Clinica Belgica: International Journal of Clinical and Laboratory Medicine","id":"ITEM-1","issue":"1","issued":{"date-parts":[["2015","2","1"]]},"page":"72","publisher":"Taylor and Francis Ltd.","title":"Haemophagocytic lymphohistiocytosis and dengue","type":"article","volume":"70"},"uris":["http://www.mendeley.com/documents/?uuid=4f4b5d94-9c57-392c-90c9-01caed1cf6ad"]},{"id":"ITEM-2","itemData":{"DOI":"10.3109/00365548.2011.652667","ISSN":"00365548","PMID":"22264033","abstract":"Dengue is characterized by biphasic fever, myalgia or arthralgia, rash, leukopenia, and lymphadenopathy. It is self-limiting, and dengue-associated haemophagocytic lymphohistiocytosis has been reported in fewer than 20 children worldwide. We report the case of a 4-y-old boy with dengue who continued to have fever for 30 days, with hepatomegaly, thrombocytopenia, and leukopenia. Bone marrow examination showed haemophagocytes. The child was treated with steroids, instead etoposide and oral cyclosporine. © 2012 Informa Healthcare.","author":[{"dropping-particle":"","family":"Kapdi","given":"Muznah","non-dropping-particle":"","parse-names":false,"suffix":""},{"dropping-particle":"","family":"Shah","given":"Ira","non-dropping-particle":"","parse-names":false,"suffix":""}],"container-title":"Scandinavian Journal of Infectious Diseases","id":"ITEM-2","issue":"9","issued":{"date-parts":[["2012","9"]]},"page":"708-709","publisher":"Scand J Infect Dis","title":"Dengue and haemophagocytic lymphohistiocytosis","type":"article-journal","volume":"44"},"uris":["http://www.mendeley.com/documents/?uuid=ef2d5a2c-0503-3c6a-9e26-533e8233028d"]}],"mendeley":{"formattedCitation":"[4,9]","plainTextFormattedCitation":"[4,9]","previouslyFormattedCitation":"&lt;sup&gt;4,9&lt;/sup&gt;"},"properties":{"noteIndex":0},"schema":"https://github.com/citation-style-language/schema/raw/master/csl-citation.json"}</w:instrText>
      </w:r>
      <w:r>
        <w:rPr>
          <w:rFonts w:ascii="Times New Roman" w:hAnsi="Times New Roman" w:cs="Times New Roman"/>
          <w:sz w:val="24"/>
          <w:szCs w:val="24"/>
        </w:rPr>
        <w:fldChar w:fldCharType="separate"/>
      </w:r>
      <w:r w:rsidR="00DF6B0D" w:rsidRPr="00DF6B0D">
        <w:rPr>
          <w:rFonts w:ascii="Times New Roman" w:hAnsi="Times New Roman" w:cs="Times New Roman"/>
          <w:noProof/>
          <w:sz w:val="24"/>
          <w:szCs w:val="24"/>
        </w:rPr>
        <w:t>[4,9]</w:t>
      </w:r>
      <w:r>
        <w:rPr>
          <w:rFonts w:ascii="Times New Roman" w:hAnsi="Times New Roman" w:cs="Times New Roman"/>
          <w:sz w:val="24"/>
          <w:szCs w:val="24"/>
        </w:rPr>
        <w:fldChar w:fldCharType="end"/>
      </w:r>
      <w:r>
        <w:rPr>
          <w:rFonts w:ascii="Times New Roman" w:hAnsi="Times New Roman" w:cs="Times New Roman"/>
          <w:sz w:val="24"/>
          <w:szCs w:val="24"/>
        </w:rPr>
        <w:t>.</w:t>
      </w:r>
    </w:p>
    <w:p w14:paraId="7C670F14" w14:textId="2ACB8701" w:rsidR="00412AB4" w:rsidRDefault="00A425DA" w:rsidP="00A425DA">
      <w:pPr>
        <w:autoSpaceDE w:val="0"/>
        <w:autoSpaceDN w:val="0"/>
        <w:adjustRightInd w:val="0"/>
        <w:spacing w:after="240" w:line="276" w:lineRule="auto"/>
        <w:rPr>
          <w:rFonts w:ascii="Times New Roman" w:hAnsi="Times New Roman" w:cs="Times New Roman"/>
          <w:sz w:val="24"/>
          <w:szCs w:val="24"/>
        </w:rPr>
      </w:pPr>
      <w:r w:rsidRPr="00A425DA">
        <w:rPr>
          <w:rFonts w:ascii="Times New Roman" w:hAnsi="Times New Roman" w:cs="Times New Roman"/>
          <w:sz w:val="24"/>
          <w:szCs w:val="24"/>
        </w:rPr>
        <w:t>Dengue</w:t>
      </w:r>
      <w:r>
        <w:rPr>
          <w:rFonts w:ascii="Times New Roman" w:hAnsi="Times New Roman" w:cs="Times New Roman"/>
          <w:sz w:val="24"/>
          <w:szCs w:val="24"/>
        </w:rPr>
        <w:t xml:space="preserve"> fever is caused by the Dengue</w:t>
      </w:r>
      <w:r w:rsidRPr="00A425DA">
        <w:rPr>
          <w:rFonts w:ascii="Times New Roman" w:hAnsi="Times New Roman" w:cs="Times New Roman"/>
          <w:sz w:val="24"/>
          <w:szCs w:val="24"/>
        </w:rPr>
        <w:t xml:space="preserve"> virus</w:t>
      </w:r>
      <w:r>
        <w:rPr>
          <w:rFonts w:ascii="Times New Roman" w:hAnsi="Times New Roman" w:cs="Times New Roman"/>
          <w:sz w:val="24"/>
          <w:szCs w:val="24"/>
        </w:rPr>
        <w:t>, which</w:t>
      </w:r>
      <w:r w:rsidRPr="00A425DA">
        <w:rPr>
          <w:rFonts w:ascii="Times New Roman" w:hAnsi="Times New Roman" w:cs="Times New Roman"/>
          <w:sz w:val="24"/>
          <w:szCs w:val="24"/>
        </w:rPr>
        <w:t xml:space="preserve"> belongs to the family Flaviviridae,</w:t>
      </w:r>
      <w:r>
        <w:rPr>
          <w:rFonts w:ascii="Times New Roman" w:hAnsi="Times New Roman" w:cs="Times New Roman"/>
          <w:sz w:val="24"/>
          <w:szCs w:val="24"/>
        </w:rPr>
        <w:t xml:space="preserve"> </w:t>
      </w:r>
      <w:r w:rsidRPr="00A425DA">
        <w:rPr>
          <w:rFonts w:ascii="Times New Roman" w:hAnsi="Times New Roman" w:cs="Times New Roman"/>
          <w:sz w:val="24"/>
          <w:szCs w:val="24"/>
        </w:rPr>
        <w:t>genus Flavivirus, and is transmitted to humans by Aedes mosquitoes, mainly Aedes aegypti</w:t>
      </w:r>
      <w:r>
        <w:rPr>
          <w:rFonts w:ascii="Times New Roman" w:hAnsi="Times New Roman" w:cs="Times New Roman"/>
          <w:sz w:val="24"/>
          <w:szCs w:val="24"/>
        </w:rPr>
        <w:t xml:space="preserve"> </w:t>
      </w:r>
      <w:r>
        <w:rPr>
          <w:rFonts w:ascii="Times New Roman" w:hAnsi="Times New Roman" w:cs="Times New Roman"/>
          <w:sz w:val="24"/>
          <w:szCs w:val="24"/>
        </w:rPr>
        <w:fldChar w:fldCharType="begin" w:fldLock="1"/>
      </w:r>
      <w:r w:rsidR="00DF6B0D">
        <w:rPr>
          <w:rFonts w:ascii="Times New Roman" w:hAnsi="Times New Roman" w:cs="Times New Roman"/>
          <w:sz w:val="24"/>
          <w:szCs w:val="24"/>
        </w:rPr>
        <w:instrText>ADDIN CSL_CITATION {"citationItems":[{"id":"ITEM-1","itemData":{"DOI":"10.1128/CMR.00035-09","ISSN":"08938512","PMID":"19822889","author":[{"dropping-particle":"","family":"Martina","given":"Byron E.E.","non-dropping-particle":"","parse-names":false,"suffix":""},{"dropping-particle":"","family":"Koraka","given":"Penelope","non-dropping-particle":"","parse-names":false,"suffix":""},{"dropping-particle":"","family":"Osterhaus","given":"Albert D.M.E.","non-dropping-particle":"","parse-names":false,"suffix":""}],"container-title":"Clinical Microbiology Reviews","id":"ITEM-1","issue":"4","issued":{"date-parts":[["2009","10"]]},"page":"564-581","publisher":"American Society for Microbiology (ASM)","title":"Dengue virus pathogenesis: An integrated view","type":"article","volume":"22"},"uris":["http://www.mendeley.com/documents/?uuid=d55e595d-7ee9-3cfd-99bb-9da736ce17d1"]}],"mendeley":{"formattedCitation":"[10]","plainTextFormattedCitation":"[10]","previouslyFormattedCitation":"&lt;sup&gt;10&lt;/sup&gt;"},"properties":{"noteIndex":0},"schema":"https://github.com/citation-style-language/schema/raw/master/csl-citation.json"}</w:instrText>
      </w:r>
      <w:r>
        <w:rPr>
          <w:rFonts w:ascii="Times New Roman" w:hAnsi="Times New Roman" w:cs="Times New Roman"/>
          <w:sz w:val="24"/>
          <w:szCs w:val="24"/>
        </w:rPr>
        <w:fldChar w:fldCharType="separate"/>
      </w:r>
      <w:r w:rsidR="00DF6B0D" w:rsidRPr="00DF6B0D">
        <w:rPr>
          <w:rFonts w:ascii="Times New Roman" w:hAnsi="Times New Roman" w:cs="Times New Roman"/>
          <w:noProof/>
          <w:sz w:val="24"/>
          <w:szCs w:val="24"/>
        </w:rPr>
        <w:t>[10]</w:t>
      </w:r>
      <w:r>
        <w:rPr>
          <w:rFonts w:ascii="Times New Roman" w:hAnsi="Times New Roman" w:cs="Times New Roman"/>
          <w:sz w:val="24"/>
          <w:szCs w:val="24"/>
        </w:rPr>
        <w:fldChar w:fldCharType="end"/>
      </w:r>
      <w:r>
        <w:rPr>
          <w:rFonts w:ascii="Times New Roman" w:hAnsi="Times New Roman" w:cs="Times New Roman"/>
          <w:sz w:val="24"/>
          <w:szCs w:val="24"/>
        </w:rPr>
        <w:t xml:space="preserve">. The clinical spectrum of dengue viral infection includes undifferentiated fever, dengue fever, dengue haemorrhagic fever (DHF) and expanded dengue syndrome or isolated organopathy </w:t>
      </w:r>
      <w:r>
        <w:rPr>
          <w:rFonts w:ascii="Times New Roman" w:hAnsi="Times New Roman" w:cs="Times New Roman"/>
          <w:sz w:val="24"/>
          <w:szCs w:val="24"/>
        </w:rPr>
        <w:fldChar w:fldCharType="begin" w:fldLock="1"/>
      </w:r>
      <w:r w:rsidR="00DF6B0D">
        <w:rPr>
          <w:rFonts w:ascii="Times New Roman" w:hAnsi="Times New Roman" w:cs="Times New Roman"/>
          <w:sz w:val="24"/>
          <w:szCs w:val="24"/>
        </w:rPr>
        <w:instrText>ADDIN CSL_CITATION {"citationItems":[{"id":"ITEM-1","itemData":{"ISBN":"9789550505128","author":[{"dropping-particle":"","family":"Ministry of Health Sri Lanka","given":"","non-dropping-particle":"","parse-names":false,"suffix":""}],"id":"ITEM-1","issued":{"date-parts":[["2010"]]},"number-of-pages":"1-39","title":"Guidelines on Management of Dengue Fever &amp; Dengue Haemorrhagic Fever In Adults","type":"book"},"uris":["http://www.mendeley.com/documents/?uuid=3f47fe2c-0d7b-3124-a4a4-8d9724bedc9c"]}],"mendeley":{"formattedCitation":"[11]","plainTextFormattedCitation":"[11]","previouslyFormattedCitation":"&lt;sup&gt;11&lt;/sup&gt;"},"properties":{"noteIndex":0},"schema":"https://github.com/citation-style-language/schema/raw/master/csl-citation.json"}</w:instrText>
      </w:r>
      <w:r>
        <w:rPr>
          <w:rFonts w:ascii="Times New Roman" w:hAnsi="Times New Roman" w:cs="Times New Roman"/>
          <w:sz w:val="24"/>
          <w:szCs w:val="24"/>
        </w:rPr>
        <w:fldChar w:fldCharType="separate"/>
      </w:r>
      <w:r w:rsidR="00DF6B0D" w:rsidRPr="00DF6B0D">
        <w:rPr>
          <w:rFonts w:ascii="Times New Roman" w:hAnsi="Times New Roman" w:cs="Times New Roman"/>
          <w:noProof/>
          <w:sz w:val="24"/>
          <w:szCs w:val="24"/>
        </w:rPr>
        <w:t>[11]</w:t>
      </w:r>
      <w:r>
        <w:rPr>
          <w:rFonts w:ascii="Times New Roman" w:hAnsi="Times New Roman" w:cs="Times New Roman"/>
          <w:sz w:val="24"/>
          <w:szCs w:val="24"/>
        </w:rPr>
        <w:fldChar w:fldCharType="end"/>
      </w:r>
      <w:r>
        <w:rPr>
          <w:rFonts w:ascii="Times New Roman" w:hAnsi="Times New Roman" w:cs="Times New Roman"/>
          <w:sz w:val="24"/>
          <w:szCs w:val="24"/>
        </w:rPr>
        <w:t xml:space="preserve">. </w:t>
      </w:r>
      <w:r w:rsidRPr="00A425DA">
        <w:rPr>
          <w:rFonts w:ascii="Times New Roman" w:hAnsi="Times New Roman" w:cs="Times New Roman"/>
          <w:sz w:val="24"/>
          <w:szCs w:val="24"/>
        </w:rPr>
        <w:t xml:space="preserve">Those infected with </w:t>
      </w:r>
      <w:r>
        <w:rPr>
          <w:rFonts w:ascii="Times New Roman" w:hAnsi="Times New Roman" w:cs="Times New Roman"/>
          <w:sz w:val="24"/>
          <w:szCs w:val="24"/>
        </w:rPr>
        <w:t xml:space="preserve">the </w:t>
      </w:r>
      <w:r w:rsidRPr="00A425DA">
        <w:rPr>
          <w:rFonts w:ascii="Times New Roman" w:hAnsi="Times New Roman" w:cs="Times New Roman"/>
          <w:sz w:val="24"/>
          <w:szCs w:val="24"/>
        </w:rPr>
        <w:t>dengue virus, especially for the first time</w:t>
      </w:r>
      <w:r>
        <w:rPr>
          <w:rFonts w:ascii="Times New Roman" w:hAnsi="Times New Roman" w:cs="Times New Roman"/>
          <w:sz w:val="24"/>
          <w:szCs w:val="24"/>
        </w:rPr>
        <w:t>,</w:t>
      </w:r>
      <w:r w:rsidRPr="00A425DA">
        <w:rPr>
          <w:rFonts w:ascii="Times New Roman" w:hAnsi="Times New Roman" w:cs="Times New Roman"/>
          <w:sz w:val="24"/>
          <w:szCs w:val="24"/>
        </w:rPr>
        <w:t xml:space="preserve"> </w:t>
      </w:r>
      <w:r>
        <w:rPr>
          <w:rFonts w:ascii="Times New Roman" w:hAnsi="Times New Roman" w:cs="Times New Roman"/>
          <w:sz w:val="24"/>
          <w:szCs w:val="24"/>
        </w:rPr>
        <w:t>having</w:t>
      </w:r>
      <w:r w:rsidRPr="00A425DA">
        <w:rPr>
          <w:rFonts w:ascii="Times New Roman" w:hAnsi="Times New Roman" w:cs="Times New Roman"/>
          <w:sz w:val="24"/>
          <w:szCs w:val="24"/>
        </w:rPr>
        <w:t xml:space="preserve"> a simple fever indistinguishable from other viral infections</w:t>
      </w:r>
      <w:r>
        <w:rPr>
          <w:rFonts w:ascii="Times New Roman" w:hAnsi="Times New Roman" w:cs="Times New Roman"/>
          <w:sz w:val="24"/>
          <w:szCs w:val="24"/>
        </w:rPr>
        <w:t xml:space="preserve"> is called undifferentiated fever </w:t>
      </w:r>
      <w:r>
        <w:rPr>
          <w:rFonts w:ascii="Times New Roman" w:hAnsi="Times New Roman" w:cs="Times New Roman"/>
          <w:sz w:val="24"/>
          <w:szCs w:val="24"/>
        </w:rPr>
        <w:fldChar w:fldCharType="begin" w:fldLock="1"/>
      </w:r>
      <w:r w:rsidR="00DF6B0D">
        <w:rPr>
          <w:rFonts w:ascii="Times New Roman" w:hAnsi="Times New Roman" w:cs="Times New Roman"/>
          <w:sz w:val="24"/>
          <w:szCs w:val="24"/>
        </w:rPr>
        <w:instrText>ADDIN CSL_CITATION {"citationItems":[{"id":"ITEM-1","itemData":{"ISBN":"9789550505128","author":[{"dropping-particle":"","family":"Ministry of Health Sri Lanka","given":"","non-dropping-particle":"","parse-names":false,"suffix":""}],"id":"ITEM-1","issued":{"date-parts":[["2010"]]},"number-of-pages":"1-39","title":"Guidelines on Management of Dengue Fever &amp; Dengue Haemorrhagic Fever In Adults","type":"book"},"uris":["http://www.mendeley.com/documents/?uuid=3f47fe2c-0d7b-3124-a4a4-8d9724bedc9c"]},{"id":"ITEM-2","itemData":{"ISSN":"04513347","PMID":"5187641","author":[{"dropping-particle":"","family":"Kosakai","given":"N.","non-dropping-particle":"","parse-names":false,"suffix":""}],"container-title":"Kango kyoshitsu. [Nursing classroom]","id":"ITEM-2","issue":"6","issued":{"date-parts":[["1968"]]},"page":"26-29","title":"Clinical diagnosis","type":"article-journal","volume":"12"},"uris":["http://www.mendeley.com/documents/?uuid=cd8ff5f3-a43c-4962-a450-81fa46206db0"]}],"mendeley":{"formattedCitation":"[11,12]","plainTextFormattedCitation":"[11,12]","previouslyFormattedCitation":"&lt;sup&gt;11,12&lt;/sup&gt;"},"properties":{"noteIndex":0},"schema":"https://github.com/citation-style-language/schema/raw/master/csl-citation.json"}</w:instrText>
      </w:r>
      <w:r>
        <w:rPr>
          <w:rFonts w:ascii="Times New Roman" w:hAnsi="Times New Roman" w:cs="Times New Roman"/>
          <w:sz w:val="24"/>
          <w:szCs w:val="24"/>
        </w:rPr>
        <w:fldChar w:fldCharType="separate"/>
      </w:r>
      <w:r w:rsidR="00DF6B0D" w:rsidRPr="00DF6B0D">
        <w:rPr>
          <w:rFonts w:ascii="Times New Roman" w:hAnsi="Times New Roman" w:cs="Times New Roman"/>
          <w:noProof/>
          <w:sz w:val="24"/>
          <w:szCs w:val="24"/>
        </w:rPr>
        <w:t>[11,12]</w:t>
      </w:r>
      <w:r>
        <w:rPr>
          <w:rFonts w:ascii="Times New Roman" w:hAnsi="Times New Roman" w:cs="Times New Roman"/>
          <w:sz w:val="24"/>
          <w:szCs w:val="24"/>
        </w:rPr>
        <w:fldChar w:fldCharType="end"/>
      </w:r>
      <w:r w:rsidRPr="00A425DA">
        <w:rPr>
          <w:rFonts w:ascii="Times New Roman" w:hAnsi="Times New Roman" w:cs="Times New Roman"/>
          <w:sz w:val="24"/>
          <w:szCs w:val="24"/>
        </w:rPr>
        <w:t>.</w:t>
      </w:r>
      <w:r>
        <w:rPr>
          <w:rFonts w:ascii="Times New Roman" w:hAnsi="Times New Roman" w:cs="Times New Roman"/>
          <w:sz w:val="24"/>
          <w:szCs w:val="24"/>
        </w:rPr>
        <w:t xml:space="preserve"> Dengue fever</w:t>
      </w:r>
      <w:r w:rsidRPr="00A425DA">
        <w:rPr>
          <w:rFonts w:ascii="Times New Roman" w:hAnsi="Times New Roman" w:cs="Times New Roman"/>
          <w:sz w:val="24"/>
          <w:szCs w:val="24"/>
        </w:rPr>
        <w:t xml:space="preserve"> </w:t>
      </w:r>
      <w:r>
        <w:rPr>
          <w:rFonts w:ascii="Times New Roman" w:hAnsi="Times New Roman" w:cs="Times New Roman"/>
          <w:sz w:val="24"/>
          <w:szCs w:val="24"/>
        </w:rPr>
        <w:t xml:space="preserve">is </w:t>
      </w:r>
      <w:r w:rsidRPr="00A425DA">
        <w:rPr>
          <w:rFonts w:ascii="Times New Roman" w:hAnsi="Times New Roman" w:cs="Times New Roman"/>
          <w:sz w:val="24"/>
          <w:szCs w:val="24"/>
        </w:rPr>
        <w:t>an acute febrile illness with severe headache, myalgia, arthralgia and rashes</w:t>
      </w:r>
      <w:r>
        <w:rPr>
          <w:rFonts w:ascii="Times New Roman" w:hAnsi="Times New Roman" w:cs="Times New Roman"/>
          <w:sz w:val="24"/>
          <w:szCs w:val="24"/>
        </w:rPr>
        <w:t xml:space="preserve"> associated with</w:t>
      </w:r>
      <w:r w:rsidRPr="00A425DA">
        <w:rPr>
          <w:rFonts w:ascii="Times New Roman" w:hAnsi="Times New Roman" w:cs="Times New Roman"/>
          <w:sz w:val="24"/>
          <w:szCs w:val="24"/>
        </w:rPr>
        <w:t xml:space="preserve"> </w:t>
      </w:r>
      <w:r>
        <w:rPr>
          <w:rFonts w:ascii="Times New Roman" w:hAnsi="Times New Roman" w:cs="Times New Roman"/>
          <w:sz w:val="24"/>
          <w:szCs w:val="24"/>
        </w:rPr>
        <w:t>l</w:t>
      </w:r>
      <w:r w:rsidRPr="00A425DA">
        <w:rPr>
          <w:rFonts w:ascii="Times New Roman" w:hAnsi="Times New Roman" w:cs="Times New Roman"/>
          <w:sz w:val="24"/>
          <w:szCs w:val="24"/>
        </w:rPr>
        <w:t>eucopenia and thrombocytopenia</w:t>
      </w:r>
      <w:r>
        <w:rPr>
          <w:rFonts w:ascii="Times New Roman" w:hAnsi="Times New Roman" w:cs="Times New Roman"/>
          <w:sz w:val="24"/>
          <w:szCs w:val="24"/>
        </w:rPr>
        <w:t xml:space="preserve"> </w:t>
      </w:r>
      <w:r>
        <w:rPr>
          <w:rFonts w:ascii="Times New Roman" w:hAnsi="Times New Roman" w:cs="Times New Roman"/>
          <w:sz w:val="24"/>
          <w:szCs w:val="24"/>
        </w:rPr>
        <w:fldChar w:fldCharType="begin" w:fldLock="1"/>
      </w:r>
      <w:r w:rsidR="00DF6B0D">
        <w:rPr>
          <w:rFonts w:ascii="Times New Roman" w:hAnsi="Times New Roman" w:cs="Times New Roman"/>
          <w:sz w:val="24"/>
          <w:szCs w:val="24"/>
        </w:rPr>
        <w:instrText>ADDIN CSL_CITATION {"citationItems":[{"id":"ITEM-1","itemData":{"DOI":"10.1128/CMR.00035-09","ISSN":"08938512","PMID":"19822889","author":[{"dropping-particle":"","family":"Martina","given":"Byron E.E.","non-dropping-particle":"","parse-names":false,"suffix":""},{"dropping-particle":"","family":"Koraka","given":"Penelope","non-dropping-particle":"","parse-names":false,"suffix":""},{"dropping-particle":"","family":"Osterhaus","given":"Albert D.M.E.","non-dropping-particle":"","parse-names":false,"suffix":""}],"container-title":"Clinical Microbiology Reviews","id":"ITEM-1","issue":"4","issued":{"date-parts":[["2009","10"]]},"page":"564-581","publisher":"American Society for Microbiology (ASM)","title":"Dengue virus pathogenesis: An integrated view","type":"article","volume":"22"},"uris":["http://www.mendeley.com/documents/?uuid=d55e595d-7ee9-3cfd-99bb-9da736ce17d1"]},{"id":"ITEM-2","itemData":{"DOI":"10.9790/0853-1602015359","ISBN":"0853160201","ISSN":"22790861","abstract":"Dengue fever a vector borne disease also transmitted via infected blood products and organ donation. Mainly prevalent in Southeast Asia, now has spread to other countries. Worldwide cost of dengue is estimated US 9 billion. There are five strains (serotypes) of the virus, distinction between serotypes are based on the antigenicity. The course of disease is divided into three phases,febrile, critical, and recovery. The critical phase may proceed to organ dysfunction,severe bleeding and dengue shock-syndrome, and dengue hemorrhagic fever. Diagnosis is made clinically on the reported symptoms, physical examination, with low white blood cell count, low platelet and metabolic acidosis. Treatment depends on symptoms, and maintaining fluid balance is important. Blood transfusion is initiated early in individuals with unstable vital signs. NSAIDS such as ibuprofen and aspirins are avoided, as they might aggravate the risk of bleeding. Prevention by controlling A.aegypti is by eliminating its habitats. Dengue vaccine (Dengavaxia) is available in many countries. There is an","author":[{"dropping-particle":"","family":"Ustafa","given":"Murtaza","non-dropping-particle":"","parse-names":false,"suffix":""}],"container-title":"IOSR Journal of Dental and Medical Sciences","id":"ITEM-2","issue":"02","issued":{"date-parts":[["2017"]]},"page":"53-59","title":"Dengue Fever: Clinical Spectrum, And Management","type":"article-journal","volume":"16"},"uris":["http://www.mendeley.com/documents/?uuid=77d16b78-e44a-4863-ac94-738a679b0348"]},{"id":"ITEM-3","itemData":{"ISBN":"9789550505128","author":[{"dropping-particle":"","family":"Ministry of Health Sri Lanka","given":"","non-dropping-particle":"","parse-names":false,"suffix":""}],"id":"ITEM-3","issued":{"date-parts":[["2010"]]},"number-of-pages":"1-39","title":"Guidelines on Management of Dengue Fever &amp; Dengue Haemorrhagic Fever In Adults","type":"book"},"uris":["http://www.mendeley.com/documents/?uuid=3f47fe2c-0d7b-3124-a4a4-8d9724bedc9c"]}],"mendeley":{"formattedCitation":"[10,11,13]","plainTextFormattedCitation":"[10,11,13]","previouslyFormattedCitation":"&lt;sup&gt;10,11,13&lt;/sup&gt;"},"properties":{"noteIndex":0},"schema":"https://github.com/citation-style-language/schema/raw/master/csl-citation.json"}</w:instrText>
      </w:r>
      <w:r>
        <w:rPr>
          <w:rFonts w:ascii="Times New Roman" w:hAnsi="Times New Roman" w:cs="Times New Roman"/>
          <w:sz w:val="24"/>
          <w:szCs w:val="24"/>
        </w:rPr>
        <w:fldChar w:fldCharType="separate"/>
      </w:r>
      <w:r w:rsidR="00DF6B0D" w:rsidRPr="00DF6B0D">
        <w:rPr>
          <w:rFonts w:ascii="Times New Roman" w:hAnsi="Times New Roman" w:cs="Times New Roman"/>
          <w:noProof/>
          <w:sz w:val="24"/>
          <w:szCs w:val="24"/>
        </w:rPr>
        <w:t>[10,11,13]</w:t>
      </w:r>
      <w:r>
        <w:rPr>
          <w:rFonts w:ascii="Times New Roman" w:hAnsi="Times New Roman" w:cs="Times New Roman"/>
          <w:sz w:val="24"/>
          <w:szCs w:val="24"/>
        </w:rPr>
        <w:fldChar w:fldCharType="end"/>
      </w:r>
      <w:r>
        <w:rPr>
          <w:rFonts w:ascii="Times New Roman" w:hAnsi="Times New Roman" w:cs="Times New Roman"/>
          <w:sz w:val="24"/>
          <w:szCs w:val="24"/>
        </w:rPr>
        <w:t xml:space="preserve">. </w:t>
      </w:r>
      <w:r w:rsidRPr="00A425DA">
        <w:rPr>
          <w:rFonts w:ascii="Times New Roman" w:hAnsi="Times New Roman" w:cs="Times New Roman"/>
          <w:sz w:val="24"/>
          <w:szCs w:val="24"/>
        </w:rPr>
        <w:t>D</w:t>
      </w:r>
      <w:r>
        <w:rPr>
          <w:rFonts w:ascii="Times New Roman" w:hAnsi="Times New Roman" w:cs="Times New Roman"/>
          <w:sz w:val="24"/>
          <w:szCs w:val="24"/>
        </w:rPr>
        <w:t>HF</w:t>
      </w:r>
      <w:r w:rsidRPr="00A425DA">
        <w:rPr>
          <w:rFonts w:ascii="Times New Roman" w:hAnsi="Times New Roman" w:cs="Times New Roman"/>
          <w:sz w:val="24"/>
          <w:szCs w:val="24"/>
        </w:rPr>
        <w:t xml:space="preserve"> is characterized by the acute onset of high fever associated with signs and symptoms similar to DF in the early febrile phase</w:t>
      </w:r>
      <w:r>
        <w:rPr>
          <w:rFonts w:ascii="Times New Roman" w:hAnsi="Times New Roman" w:cs="Times New Roman"/>
          <w:sz w:val="24"/>
          <w:szCs w:val="24"/>
        </w:rPr>
        <w:t xml:space="preserve"> with p</w:t>
      </w:r>
      <w:r w:rsidRPr="00A425DA">
        <w:rPr>
          <w:rFonts w:ascii="Times New Roman" w:hAnsi="Times New Roman" w:cs="Times New Roman"/>
          <w:sz w:val="24"/>
          <w:szCs w:val="24"/>
        </w:rPr>
        <w:t xml:space="preserve">lasma leakage </w:t>
      </w:r>
      <w:r>
        <w:rPr>
          <w:rFonts w:ascii="Times New Roman" w:hAnsi="Times New Roman" w:cs="Times New Roman"/>
          <w:sz w:val="24"/>
          <w:szCs w:val="24"/>
        </w:rPr>
        <w:t>giving rise to a</w:t>
      </w:r>
      <w:r w:rsidRPr="00A425DA">
        <w:rPr>
          <w:rFonts w:ascii="Times New Roman" w:hAnsi="Times New Roman" w:cs="Times New Roman"/>
          <w:sz w:val="24"/>
          <w:szCs w:val="24"/>
        </w:rPr>
        <w:t xml:space="preserve"> tendency to develop hypovolemic shock (dengue shock </w:t>
      </w:r>
      <w:r w:rsidRPr="00A425DA">
        <w:rPr>
          <w:rFonts w:ascii="Times New Roman" w:hAnsi="Times New Roman" w:cs="Times New Roman"/>
          <w:sz w:val="24"/>
          <w:szCs w:val="24"/>
        </w:rPr>
        <w:lastRenderedPageBreak/>
        <w:t>syndrome)</w:t>
      </w:r>
      <w:r>
        <w:rPr>
          <w:rFonts w:ascii="Times New Roman" w:hAnsi="Times New Roman" w:cs="Times New Roman"/>
          <w:sz w:val="24"/>
          <w:szCs w:val="24"/>
        </w:rPr>
        <w:t xml:space="preserve"> </w:t>
      </w:r>
      <w:r>
        <w:rPr>
          <w:rFonts w:ascii="Times New Roman" w:hAnsi="Times New Roman" w:cs="Times New Roman"/>
          <w:sz w:val="24"/>
          <w:szCs w:val="24"/>
        </w:rPr>
        <w:fldChar w:fldCharType="begin" w:fldLock="1"/>
      </w:r>
      <w:r w:rsidR="00DF6B0D">
        <w:rPr>
          <w:rFonts w:ascii="Times New Roman" w:hAnsi="Times New Roman" w:cs="Times New Roman"/>
          <w:sz w:val="24"/>
          <w:szCs w:val="24"/>
        </w:rPr>
        <w:instrText>ADDIN CSL_CITATION {"citationItems":[{"id":"ITEM-1","itemData":{"ISBN":"9789550505128","author":[{"dropping-particle":"","family":"Ministry of Health Sri Lanka","given":"","non-dropping-particle":"","parse-names":false,"suffix":""}],"id":"ITEM-1","issued":{"date-parts":[["2010"]]},"number-of-pages":"1-39","title":"Guidelines on Management of Dengue Fever &amp; Dengue Haemorrhagic Fever In Adults","type":"book"},"uris":["http://www.mendeley.com/documents/?uuid=3f47fe2c-0d7b-3124-a4a4-8d9724bedc9c"]},{"id":"ITEM-2","itemData":{"ISSN":"04513347","PMID":"5187641","author":[{"dropping-particle":"","family":"Kosakai","given":"N.","non-dropping-particle":"","parse-names":false,"suffix":""}],"container-title":"Kango kyoshitsu. [Nursing classroom]","id":"ITEM-2","issue":"6","issued":{"date-parts":[["1968"]]},"page":"26-29","title":"Clinical diagnosis","type":"article-journal","volume":"12"},"uris":["http://www.mendeley.com/documents/?uuid=cd8ff5f3-a43c-4962-a450-81fa46206db0"]},{"id":"ITEM-3","itemData":{"DOI":"10.1128/CMR.00035-09","ISSN":"08938512","PMID":"19822889","author":[{"dropping-particle":"","family":"Martina","given":"Byron E.E.","non-dropping-particle":"","parse-names":false,"suffix":""},{"dropping-particle":"","family":"Koraka","given":"Penelope","non-dropping-particle":"","parse-names":false,"suffix":""},{"dropping-particle":"","family":"Osterhaus","given":"Albert D.M.E.","non-dropping-particle":"","parse-names":false,"suffix":""}],"container-title":"Clinical Microbiology Reviews","id":"ITEM-3","issue":"4","issued":{"date-parts":[["2009","10"]]},"page":"564-581","publisher":"American Society for Microbiology (ASM)","title":"Dengue virus pathogenesis: An integrated view","type":"article","volume":"22"},"uris":["http://www.mendeley.com/documents/?uuid=d55e595d-7ee9-3cfd-99bb-9da736ce17d1"]}],"mendeley":{"formattedCitation":"[10–12]","plainTextFormattedCitation":"[10–12]","previouslyFormattedCitation":"&lt;sup&gt;10–12&lt;/sup&gt;"},"properties":{"noteIndex":0},"schema":"https://github.com/citation-style-language/schema/raw/master/csl-citation.json"}</w:instrText>
      </w:r>
      <w:r>
        <w:rPr>
          <w:rFonts w:ascii="Times New Roman" w:hAnsi="Times New Roman" w:cs="Times New Roman"/>
          <w:sz w:val="24"/>
          <w:szCs w:val="24"/>
        </w:rPr>
        <w:fldChar w:fldCharType="separate"/>
      </w:r>
      <w:r w:rsidR="00DF6B0D" w:rsidRPr="00DF6B0D">
        <w:rPr>
          <w:rFonts w:ascii="Times New Roman" w:hAnsi="Times New Roman" w:cs="Times New Roman"/>
          <w:noProof/>
          <w:sz w:val="24"/>
          <w:szCs w:val="24"/>
        </w:rPr>
        <w:t>[10–12]</w:t>
      </w:r>
      <w:r>
        <w:rPr>
          <w:rFonts w:ascii="Times New Roman" w:hAnsi="Times New Roman" w:cs="Times New Roman"/>
          <w:sz w:val="24"/>
          <w:szCs w:val="24"/>
        </w:rPr>
        <w:fldChar w:fldCharType="end"/>
      </w:r>
      <w:r w:rsidRPr="00A425DA">
        <w:rPr>
          <w:rFonts w:ascii="Times New Roman" w:hAnsi="Times New Roman" w:cs="Times New Roman"/>
          <w:sz w:val="24"/>
          <w:szCs w:val="24"/>
        </w:rPr>
        <w:t>.</w:t>
      </w:r>
      <w:r w:rsidRPr="00A425DA">
        <w:t xml:space="preserve"> </w:t>
      </w:r>
      <w:r>
        <w:rPr>
          <w:rFonts w:ascii="Times New Roman" w:hAnsi="Times New Roman" w:cs="Times New Roman"/>
          <w:sz w:val="24"/>
          <w:szCs w:val="24"/>
        </w:rPr>
        <w:t>E</w:t>
      </w:r>
      <w:r w:rsidRPr="00A425DA">
        <w:rPr>
          <w:rFonts w:ascii="Times New Roman" w:hAnsi="Times New Roman" w:cs="Times New Roman"/>
          <w:sz w:val="24"/>
          <w:szCs w:val="24"/>
        </w:rPr>
        <w:t>xpanded dengue syndrome</w:t>
      </w:r>
      <w:r>
        <w:rPr>
          <w:rFonts w:ascii="Times New Roman" w:hAnsi="Times New Roman" w:cs="Times New Roman"/>
          <w:sz w:val="24"/>
          <w:szCs w:val="24"/>
        </w:rPr>
        <w:t>s</w:t>
      </w:r>
      <w:r w:rsidRPr="00A425DA">
        <w:rPr>
          <w:rFonts w:ascii="Times New Roman" w:hAnsi="Times New Roman" w:cs="Times New Roman"/>
          <w:sz w:val="24"/>
          <w:szCs w:val="24"/>
        </w:rPr>
        <w:t xml:space="preserve"> </w:t>
      </w:r>
      <w:r>
        <w:rPr>
          <w:rFonts w:ascii="Times New Roman" w:hAnsi="Times New Roman" w:cs="Times New Roman"/>
          <w:sz w:val="24"/>
          <w:szCs w:val="24"/>
        </w:rPr>
        <w:t xml:space="preserve">are used to designate cases that do not fall into either dengue shock syndrome or dengue hemorrhagic fever, associated with atypical and unusual manifestations </w:t>
      </w:r>
      <w:r>
        <w:rPr>
          <w:rFonts w:ascii="Times New Roman" w:hAnsi="Times New Roman" w:cs="Times New Roman"/>
          <w:sz w:val="24"/>
          <w:szCs w:val="24"/>
        </w:rPr>
        <w:fldChar w:fldCharType="begin" w:fldLock="1"/>
      </w:r>
      <w:r w:rsidR="00DF6B0D">
        <w:rPr>
          <w:rFonts w:ascii="Times New Roman" w:hAnsi="Times New Roman" w:cs="Times New Roman"/>
          <w:sz w:val="24"/>
          <w:szCs w:val="24"/>
        </w:rPr>
        <w:instrText>ADDIN CSL_CITATION {"citationItems":[{"id":"ITEM-1","itemData":{"DOI":"10.7759/cureus.10678","ISSN":"2168-8184","abstract":"Dengue infection may manifest as dengue fever (DF), dengue hemorrhagic fever (DHF), and dengue shock syndrome (DSS). The World Health Organization (WHO) came up with the term \"expanded dengue syndrome\" (EDS) to designate cases which do not fall into either DHF or DSS, with unusual manifestations in other organs such as the cardiovascular system, the nervous system, the kidneys, the gut, and the hematological system, which have been increasingly reported and called EDS. Furthermore, EDS is becoming widespread globally with unusual features and increased severity. There are increasing reports of under-recognized and infrequent manifestations with severe organ involvement. This review gives knowledge of expanded dengue syndrome which helps to catch the diagnosis of dengue early, particularly during the ongoing epidemics and escaping from further series of unnecessary investigations.","author":[{"dropping-particle":"","family":"Umakanth","given":"Maheswaran","non-dropping-particle":"","parse-names":false,"suffix":""},{"dropping-particle":"","family":"Suganthan","given":"Navaneethakrishnan","non-dropping-particle":"","parse-names":false,"suffix":""}],"container-title":"Cureus","id":"ITEM-1","issue":"9","issued":{"date-parts":[["2020","9","27"]]},"publisher":"Cureus, Inc.","title":"Unusual Manifestations of Dengue Fever: A Review on Expanded Dengue Syndrome","type":"article-journal","volume":"12"},"uris":["http://www.mendeley.com/documents/?uuid=7dc29b7d-c5e5-3978-ba98-50df0042af97"]}],"mendeley":{"formattedCitation":"[14]","plainTextFormattedCitation":"[14]","previouslyFormattedCitation":"&lt;sup&gt;14&lt;/sup&gt;"},"properties":{"noteIndex":0},"schema":"https://github.com/citation-style-language/schema/raw/master/csl-citation.json"}</w:instrText>
      </w:r>
      <w:r>
        <w:rPr>
          <w:rFonts w:ascii="Times New Roman" w:hAnsi="Times New Roman" w:cs="Times New Roman"/>
          <w:sz w:val="24"/>
          <w:szCs w:val="24"/>
        </w:rPr>
        <w:fldChar w:fldCharType="separate"/>
      </w:r>
      <w:r w:rsidR="00DF6B0D" w:rsidRPr="00DF6B0D">
        <w:rPr>
          <w:rFonts w:ascii="Times New Roman" w:hAnsi="Times New Roman" w:cs="Times New Roman"/>
          <w:noProof/>
          <w:sz w:val="24"/>
          <w:szCs w:val="24"/>
        </w:rPr>
        <w:t>[14]</w:t>
      </w:r>
      <w:r>
        <w:rPr>
          <w:rFonts w:ascii="Times New Roman" w:hAnsi="Times New Roman" w:cs="Times New Roman"/>
          <w:sz w:val="24"/>
          <w:szCs w:val="24"/>
        </w:rPr>
        <w:fldChar w:fldCharType="end"/>
      </w:r>
      <w:r w:rsidRPr="00A425DA">
        <w:rPr>
          <w:rFonts w:ascii="Times New Roman" w:hAnsi="Times New Roman" w:cs="Times New Roman"/>
          <w:sz w:val="24"/>
          <w:szCs w:val="24"/>
        </w:rPr>
        <w:t>.</w:t>
      </w:r>
      <w:r>
        <w:rPr>
          <w:rFonts w:ascii="Times New Roman" w:hAnsi="Times New Roman" w:cs="Times New Roman"/>
          <w:sz w:val="24"/>
          <w:szCs w:val="24"/>
        </w:rPr>
        <w:t xml:space="preserve"> Our patient demonstrated classic symptoms of dengue such as fever, severe frontal headache with retro-orbital pain, arthralgia, and myalgia, although also had nausea and watery diarrhoea. After the clinical suspicion, confirmation of dengue infection can be done by</w:t>
      </w:r>
      <w:r w:rsidRPr="00A425DA">
        <w:rPr>
          <w:rFonts w:ascii="Times New Roman" w:hAnsi="Times New Roman" w:cs="Times New Roman"/>
          <w:sz w:val="24"/>
          <w:szCs w:val="24"/>
        </w:rPr>
        <w:t xml:space="preserve"> detecti</w:t>
      </w:r>
      <w:r>
        <w:rPr>
          <w:rFonts w:ascii="Times New Roman" w:hAnsi="Times New Roman" w:cs="Times New Roman"/>
          <w:sz w:val="24"/>
          <w:szCs w:val="24"/>
        </w:rPr>
        <w:t>ng</w:t>
      </w:r>
      <w:r w:rsidRPr="00A425DA">
        <w:rPr>
          <w:rFonts w:ascii="Times New Roman" w:hAnsi="Times New Roman" w:cs="Times New Roman"/>
          <w:sz w:val="24"/>
          <w:szCs w:val="24"/>
        </w:rPr>
        <w:t xml:space="preserve"> the virus, viral nucleic acid, antigens or antibodies, or </w:t>
      </w:r>
      <w:r>
        <w:rPr>
          <w:rFonts w:ascii="Times New Roman" w:hAnsi="Times New Roman" w:cs="Times New Roman"/>
          <w:sz w:val="24"/>
          <w:szCs w:val="24"/>
        </w:rPr>
        <w:t>combining</w:t>
      </w:r>
      <w:r w:rsidRPr="00A425DA">
        <w:rPr>
          <w:rFonts w:ascii="Times New Roman" w:hAnsi="Times New Roman" w:cs="Times New Roman"/>
          <w:sz w:val="24"/>
          <w:szCs w:val="24"/>
        </w:rPr>
        <w:t xml:space="preserve"> these techniques</w:t>
      </w:r>
      <w:r>
        <w:rPr>
          <w:rFonts w:ascii="Times New Roman" w:hAnsi="Times New Roman" w:cs="Times New Roman"/>
          <w:sz w:val="24"/>
          <w:szCs w:val="24"/>
        </w:rPr>
        <w:t xml:space="preserve"> </w:t>
      </w:r>
      <w:r>
        <w:rPr>
          <w:rFonts w:ascii="Times New Roman" w:hAnsi="Times New Roman" w:cs="Times New Roman"/>
          <w:sz w:val="24"/>
          <w:szCs w:val="24"/>
        </w:rPr>
        <w:fldChar w:fldCharType="begin" w:fldLock="1"/>
      </w:r>
      <w:r w:rsidR="00DF6B0D">
        <w:rPr>
          <w:rFonts w:ascii="Times New Roman" w:hAnsi="Times New Roman" w:cs="Times New Roman"/>
          <w:sz w:val="24"/>
          <w:szCs w:val="24"/>
        </w:rPr>
        <w:instrText>ADDIN CSL_CITATION {"citationItems":[{"id":"ITEM-1","itemData":{"author":[{"dropping-particle":"","family":"WHO","given":"","non-dropping-particle":"","parse-names":false,"suffix":""}],"id":"ITEM-1","issued":{"date-parts":[["2009"]]},"title":"LABORATORY DIAGNOSIS AND DIAGNOSTIC TESTS - Dengue - NCBI Bookshelf","type":"book"},"uris":["http://www.mendeley.com/documents/?uuid=0b780cf5-9482-3ebe-a33c-4e0287ada4f4"]}],"mendeley":{"formattedCitation":"[15]","plainTextFormattedCitation":"[15]","previouslyFormattedCitation":"&lt;sup&gt;15&lt;/sup&gt;"},"properties":{"noteIndex":0},"schema":"https://github.com/citation-style-language/schema/raw/master/csl-citation.json"}</w:instrText>
      </w:r>
      <w:r>
        <w:rPr>
          <w:rFonts w:ascii="Times New Roman" w:hAnsi="Times New Roman" w:cs="Times New Roman"/>
          <w:sz w:val="24"/>
          <w:szCs w:val="24"/>
        </w:rPr>
        <w:fldChar w:fldCharType="separate"/>
      </w:r>
      <w:r w:rsidR="00DF6B0D" w:rsidRPr="00DF6B0D">
        <w:rPr>
          <w:rFonts w:ascii="Times New Roman" w:hAnsi="Times New Roman" w:cs="Times New Roman"/>
          <w:noProof/>
          <w:sz w:val="24"/>
          <w:szCs w:val="24"/>
        </w:rPr>
        <w:t>[15]</w:t>
      </w:r>
      <w:r>
        <w:rPr>
          <w:rFonts w:ascii="Times New Roman" w:hAnsi="Times New Roman" w:cs="Times New Roman"/>
          <w:sz w:val="24"/>
          <w:szCs w:val="24"/>
        </w:rPr>
        <w:fldChar w:fldCharType="end"/>
      </w:r>
      <w:r w:rsidRPr="00A425DA">
        <w:rPr>
          <w:rFonts w:ascii="Times New Roman" w:hAnsi="Times New Roman" w:cs="Times New Roman"/>
          <w:sz w:val="24"/>
          <w:szCs w:val="24"/>
        </w:rPr>
        <w:t xml:space="preserve">. </w:t>
      </w:r>
      <w:r>
        <w:rPr>
          <w:rFonts w:ascii="Times New Roman" w:hAnsi="Times New Roman" w:cs="Times New Roman"/>
          <w:sz w:val="24"/>
          <w:szCs w:val="24"/>
        </w:rPr>
        <w:t>T</w:t>
      </w:r>
      <w:r w:rsidRPr="00A425DA">
        <w:rPr>
          <w:rFonts w:ascii="Times New Roman" w:hAnsi="Times New Roman" w:cs="Times New Roman"/>
          <w:sz w:val="24"/>
          <w:szCs w:val="24"/>
        </w:rPr>
        <w:t>he virus can be detected in circulati</w:t>
      </w:r>
      <w:r>
        <w:rPr>
          <w:rFonts w:ascii="Times New Roman" w:hAnsi="Times New Roman" w:cs="Times New Roman"/>
          <w:sz w:val="24"/>
          <w:szCs w:val="24"/>
        </w:rPr>
        <w:t>on</w:t>
      </w:r>
      <w:r w:rsidRPr="00A425DA">
        <w:rPr>
          <w:rFonts w:ascii="Times New Roman" w:hAnsi="Times New Roman" w:cs="Times New Roman"/>
          <w:sz w:val="24"/>
          <w:szCs w:val="24"/>
        </w:rPr>
        <w:t xml:space="preserve"> </w:t>
      </w:r>
      <w:r>
        <w:rPr>
          <w:rFonts w:ascii="Times New Roman" w:hAnsi="Times New Roman" w:cs="Times New Roman"/>
          <w:sz w:val="24"/>
          <w:szCs w:val="24"/>
        </w:rPr>
        <w:t>within the first</w:t>
      </w:r>
      <w:r w:rsidRPr="00A425DA">
        <w:rPr>
          <w:rFonts w:ascii="Times New Roman" w:hAnsi="Times New Roman" w:cs="Times New Roman"/>
          <w:sz w:val="24"/>
          <w:szCs w:val="24"/>
        </w:rPr>
        <w:t xml:space="preserve"> 4–5 days</w:t>
      </w:r>
      <w:r>
        <w:rPr>
          <w:rFonts w:ascii="Times New Roman" w:hAnsi="Times New Roman" w:cs="Times New Roman"/>
          <w:sz w:val="24"/>
          <w:szCs w:val="24"/>
        </w:rPr>
        <w:t xml:space="preserve"> by checking for NS1 antigen </w:t>
      </w:r>
      <w:r>
        <w:rPr>
          <w:rFonts w:ascii="Times New Roman" w:hAnsi="Times New Roman" w:cs="Times New Roman"/>
          <w:sz w:val="24"/>
          <w:szCs w:val="24"/>
        </w:rPr>
        <w:fldChar w:fldCharType="begin" w:fldLock="1"/>
      </w:r>
      <w:r w:rsidR="00DF6B0D">
        <w:rPr>
          <w:rFonts w:ascii="Times New Roman" w:hAnsi="Times New Roman" w:cs="Times New Roman"/>
          <w:sz w:val="24"/>
          <w:szCs w:val="24"/>
        </w:rPr>
        <w:instrText>ADDIN CSL_CITATION {"citationItems":[{"id":"ITEM-1","itemData":{"author":[{"dropping-particle":"","family":"WHO","given":"","non-dropping-particle":"","parse-names":false,"suffix":""}],"id":"ITEM-1","issued":{"date-parts":[["2009"]]},"title":"LABORATORY DIAGNOSIS AND DIAGNOSTIC TESTS - Dengue - NCBI Bookshelf","type":"book"},"uris":["http://www.mendeley.com/documents/?uuid=0b780cf5-9482-3ebe-a33c-4e0287ada4f4"]},{"id":"ITEM-2","itemData":{"ISBN":"9789550505128","author":[{"dropping-particle":"","family":"Ministry of Health Sri Lanka","given":"","non-dropping-particle":"","parse-names":false,"suffix":""}],"id":"ITEM-2","issued":{"date-parts":[["2010"]]},"number-of-pages":"1-39","title":"Guidelines on Management of Dengue Fever &amp; Dengue Haemorrhagic Fever In Adults","type":"book"},"uris":["http://www.mendeley.com/documents/?uuid=3f47fe2c-0d7b-3124-a4a4-8d9724bedc9c"]}],"mendeley":{"formattedCitation":"[11,15]","plainTextFormattedCitation":"[11,15]","previouslyFormattedCitation":"&lt;sup&gt;11,15&lt;/sup&gt;"},"properties":{"noteIndex":0},"schema":"https://github.com/citation-style-language/schema/raw/master/csl-citation.json"}</w:instrText>
      </w:r>
      <w:r>
        <w:rPr>
          <w:rFonts w:ascii="Times New Roman" w:hAnsi="Times New Roman" w:cs="Times New Roman"/>
          <w:sz w:val="24"/>
          <w:szCs w:val="24"/>
        </w:rPr>
        <w:fldChar w:fldCharType="separate"/>
      </w:r>
      <w:r w:rsidR="00DF6B0D" w:rsidRPr="00DF6B0D">
        <w:rPr>
          <w:rFonts w:ascii="Times New Roman" w:hAnsi="Times New Roman" w:cs="Times New Roman"/>
          <w:noProof/>
          <w:sz w:val="24"/>
          <w:szCs w:val="24"/>
        </w:rPr>
        <w:t>[11,15]</w:t>
      </w:r>
      <w:r>
        <w:rPr>
          <w:rFonts w:ascii="Times New Roman" w:hAnsi="Times New Roman" w:cs="Times New Roman"/>
          <w:sz w:val="24"/>
          <w:szCs w:val="24"/>
        </w:rPr>
        <w:fldChar w:fldCharType="end"/>
      </w:r>
      <w:r w:rsidRPr="00A425DA">
        <w:rPr>
          <w:rFonts w:ascii="Times New Roman" w:hAnsi="Times New Roman" w:cs="Times New Roman"/>
          <w:sz w:val="24"/>
          <w:szCs w:val="24"/>
        </w:rPr>
        <w:t xml:space="preserve">. IgM antibodies are detectable in 50% of patients by days 3-5 after </w:t>
      </w:r>
      <w:r>
        <w:rPr>
          <w:rFonts w:ascii="Times New Roman" w:hAnsi="Times New Roman" w:cs="Times New Roman"/>
          <w:sz w:val="24"/>
          <w:szCs w:val="24"/>
        </w:rPr>
        <w:t xml:space="preserve">the </w:t>
      </w:r>
      <w:r w:rsidRPr="00A425DA">
        <w:rPr>
          <w:rFonts w:ascii="Times New Roman" w:hAnsi="Times New Roman" w:cs="Times New Roman"/>
          <w:sz w:val="24"/>
          <w:szCs w:val="24"/>
        </w:rPr>
        <w:t xml:space="preserve">onset of illness, increasing to 80% by day </w:t>
      </w:r>
      <w:r>
        <w:rPr>
          <w:rFonts w:ascii="Times New Roman" w:hAnsi="Times New Roman" w:cs="Times New Roman"/>
          <w:sz w:val="24"/>
          <w:szCs w:val="24"/>
        </w:rPr>
        <w:t>five</w:t>
      </w:r>
      <w:r w:rsidRPr="00A425DA">
        <w:rPr>
          <w:rFonts w:ascii="Times New Roman" w:hAnsi="Times New Roman" w:cs="Times New Roman"/>
          <w:sz w:val="24"/>
          <w:szCs w:val="24"/>
        </w:rPr>
        <w:t xml:space="preserve"> and 99% by day </w:t>
      </w:r>
      <w:r>
        <w:rPr>
          <w:rFonts w:ascii="Times New Roman" w:hAnsi="Times New Roman" w:cs="Times New Roman"/>
          <w:sz w:val="24"/>
          <w:szCs w:val="24"/>
        </w:rPr>
        <w:t>ten, where its</w:t>
      </w:r>
      <w:r w:rsidRPr="00A425DA">
        <w:rPr>
          <w:rFonts w:ascii="Times New Roman" w:hAnsi="Times New Roman" w:cs="Times New Roman"/>
          <w:sz w:val="24"/>
          <w:szCs w:val="24"/>
        </w:rPr>
        <w:t xml:space="preserve"> peak about two weeks after the onset of symptoms and then decline generally to undetectable levels over 2–3 months. Anti-dengue serum IgG is generally detectable at low titres at the end of the first week of illness, increasing slowly </w:t>
      </w:r>
      <w:r>
        <w:rPr>
          <w:rFonts w:ascii="Times New Roman" w:hAnsi="Times New Roman" w:cs="Times New Roman"/>
          <w:sz w:val="24"/>
          <w:szCs w:val="24"/>
        </w:rPr>
        <w:t>after that</w:t>
      </w:r>
      <w:r w:rsidRPr="00A425DA">
        <w:rPr>
          <w:rFonts w:ascii="Times New Roman" w:hAnsi="Times New Roman" w:cs="Times New Roman"/>
          <w:sz w:val="24"/>
          <w:szCs w:val="24"/>
        </w:rPr>
        <w:t>, with serum IgG still detectable after several months, and probably even for life</w:t>
      </w:r>
      <w:r>
        <w:rPr>
          <w:rFonts w:ascii="Times New Roman" w:hAnsi="Times New Roman" w:cs="Times New Roman"/>
          <w:sz w:val="24"/>
          <w:szCs w:val="24"/>
        </w:rPr>
        <w:t xml:space="preserve"> </w:t>
      </w:r>
      <w:r>
        <w:rPr>
          <w:rFonts w:ascii="Times New Roman" w:hAnsi="Times New Roman" w:cs="Times New Roman"/>
          <w:sz w:val="24"/>
          <w:szCs w:val="24"/>
        </w:rPr>
        <w:fldChar w:fldCharType="begin" w:fldLock="1"/>
      </w:r>
      <w:r w:rsidR="00DF6B0D">
        <w:rPr>
          <w:rFonts w:ascii="Times New Roman" w:hAnsi="Times New Roman" w:cs="Times New Roman"/>
          <w:sz w:val="24"/>
          <w:szCs w:val="24"/>
        </w:rPr>
        <w:instrText>ADDIN CSL_CITATION {"citationItems":[{"id":"ITEM-1","itemData":{"author":[{"dropping-particle":"","family":"WHO","given":"","non-dropping-particle":"","parse-names":false,"suffix":""}],"id":"ITEM-1","issued":{"date-parts":[["2009"]]},"title":"LABORATORY DIAGNOSIS AND DIAGNOSTIC TESTS - Dengue - NCBI Bookshelf","type":"book"},"uris":["http://www.mendeley.com/documents/?uuid=0b780cf5-9482-3ebe-a33c-4e0287ada4f4"]}],"mendeley":{"formattedCitation":"[15]","plainTextFormattedCitation":"[15]","previouslyFormattedCitation":"&lt;sup&gt;15&lt;/sup&gt;"},"properties":{"noteIndex":0},"schema":"https://github.com/citation-style-language/schema/raw/master/csl-citation.json"}</w:instrText>
      </w:r>
      <w:r>
        <w:rPr>
          <w:rFonts w:ascii="Times New Roman" w:hAnsi="Times New Roman" w:cs="Times New Roman"/>
          <w:sz w:val="24"/>
          <w:szCs w:val="24"/>
        </w:rPr>
        <w:fldChar w:fldCharType="separate"/>
      </w:r>
      <w:r w:rsidR="00DF6B0D" w:rsidRPr="00DF6B0D">
        <w:rPr>
          <w:rFonts w:ascii="Times New Roman" w:hAnsi="Times New Roman" w:cs="Times New Roman"/>
          <w:noProof/>
          <w:sz w:val="24"/>
          <w:szCs w:val="24"/>
        </w:rPr>
        <w:t>[15]</w:t>
      </w:r>
      <w:r>
        <w:rPr>
          <w:rFonts w:ascii="Times New Roman" w:hAnsi="Times New Roman" w:cs="Times New Roman"/>
          <w:sz w:val="24"/>
          <w:szCs w:val="24"/>
        </w:rPr>
        <w:fldChar w:fldCharType="end"/>
      </w:r>
      <w:r>
        <w:rPr>
          <w:rFonts w:ascii="Times New Roman" w:hAnsi="Times New Roman" w:cs="Times New Roman"/>
          <w:sz w:val="24"/>
          <w:szCs w:val="24"/>
        </w:rPr>
        <w:t>. In our patient, the NS1 antigen positivity confirmed the diagnosis of dengue infection, facilitating further management.</w:t>
      </w:r>
      <w:r w:rsidR="00412AB4">
        <w:rPr>
          <w:rFonts w:ascii="Times New Roman" w:hAnsi="Times New Roman" w:cs="Times New Roman"/>
          <w:sz w:val="24"/>
          <w:szCs w:val="24"/>
        </w:rPr>
        <w:t xml:space="preserve"> </w:t>
      </w:r>
    </w:p>
    <w:p w14:paraId="58ABA080" w14:textId="3BF1E698" w:rsidR="00A425DA" w:rsidRPr="00A425DA" w:rsidRDefault="00412AB4" w:rsidP="00A425DA">
      <w:pPr>
        <w:autoSpaceDE w:val="0"/>
        <w:autoSpaceDN w:val="0"/>
        <w:adjustRightInd w:val="0"/>
        <w:spacing w:after="240" w:line="276" w:lineRule="auto"/>
        <w:rPr>
          <w:rFonts w:ascii="Times New Roman" w:hAnsi="Times New Roman" w:cs="Times New Roman"/>
          <w:sz w:val="24"/>
          <w:szCs w:val="24"/>
        </w:rPr>
      </w:pPr>
      <w:r>
        <w:rPr>
          <w:rFonts w:ascii="Times New Roman" w:hAnsi="Times New Roman" w:cs="Times New Roman"/>
          <w:sz w:val="24"/>
          <w:szCs w:val="24"/>
        </w:rPr>
        <w:t xml:space="preserve">Persistent fever following dengue infection indicates the vital differential diagnosis of sepsis and expanded dengue syndrome, including HLH </w:t>
      </w:r>
      <w:r>
        <w:rPr>
          <w:rFonts w:ascii="Times New Roman" w:hAnsi="Times New Roman" w:cs="Times New Roman"/>
          <w:sz w:val="24"/>
          <w:szCs w:val="24"/>
        </w:rPr>
        <w:fldChar w:fldCharType="begin" w:fldLock="1"/>
      </w:r>
      <w:r w:rsidR="00DF6B0D">
        <w:rPr>
          <w:rFonts w:ascii="Times New Roman" w:hAnsi="Times New Roman" w:cs="Times New Roman"/>
          <w:sz w:val="24"/>
          <w:szCs w:val="24"/>
        </w:rPr>
        <w:instrText>ADDIN CSL_CITATION {"citationItems":[{"id":"ITEM-1","itemData":{"DOI":"10.1371/journal.pone.0176233","ISSN":"19326203","PMID":"28437459","abstract":"Background Dengue is a common cause of infection in adults in tropical countries. Sepsis is a syndrome of systemic manifestations induced by infection of any organisms; including bacterial, fungal and viral agents. Here, we investigated the diagnosis, management and outcomes of dengue patients presenting with sepsis in a prospective study of community-acquired sepsis in Thailand. Methods From June to December 2015, 874 adult patients (age≥18 years) with suspected or documented community-acquired infection, with ≥3 diagnostic criteria for sepsis according to the Surviving Sepsis Campaign 2012, and within 24 hours of admission were evaluated. Serum was stored and later tested for dengue PCR assays. Results A total of 126 patients had dengue PCR assays positive (2 DENV-1, 12 DENV-2, 24 DENV- 3 and 88 DENV-4), and 5 of them (4%) died. We found that attending physicians suspected dengue infection on admission in 84 patients (67%), and recorded dengue infection as the final diagnosis in 96 patients (76%). Four of five fatal cases were diagnosed and treated as septic shock not due to dengue. In multivariable analysis, there was a trend showing that age≥60 years, hypoxemia and misdiagnosis of dengue by attending physicians were associated with 28-day mortality.Conclusions A number of adult patients who died of dengue are misdiagnosed as severe sepsis and septic shock. Diagnosis of dengue based on clinical features alone is difficult. Rapid diagnostic tests for dengue may need to be routinely used in adult patients presenting with sepsis and septic shock in tropical countries. This approach could improve diagnosis and management of those patients.","author":[{"dropping-particle":"","family":"Teparrukkul","given":"Prapit","non-dropping-particle":"","parse-names":false,"suffix":""},{"dropping-particle":"","family":"Hantrakun","given":"Viriya","non-dropping-particle":"","parse-names":false,"suffix":""},{"dropping-particle":"","family":"Day","given":"Nicholas P.J.","non-dropping-particle":"","parse-names":false,"suffix":""},{"dropping-particle":"","family":"West","given":"T. Eoin","non-dropping-particle":"","parse-names":false,"suffix":""},{"dropping-particle":"","family":"Limmathurotsakul","given":"Direk","non-dropping-particle":"","parse-names":false,"suffix":""}],"container-title":"PLoS ONE","id":"ITEM-1","issue":"4","issued":{"date-parts":[["2017","4","1"]]},"publisher":"Public Library of Science","title":"Management and outcomes of severe dengue patients presenting with sepsis in a tropical country","type":"article-journal","volume":"12"},"uris":["http://www.mendeley.com/documents/?uuid=ab01ed42-889d-3bd1-8ce0-69a3d74bb441"]},{"id":"ITEM-2","itemData":{"DOI":"10.1016/j.jmii.2018.11.003","ISSN":"19959133","PMID":"30528336","abstract":"Background: Dengue is an important mosquito-borne tropical viral disease and dual infection, though rare, has been regarded as a risk factor for severe disease and mortality. However, few studies focused on bloodstream infections (BSIs) and empirical antibiotic therapy rarely addressed. Methods: Dengue patients with concurrent or subsequent BSIs between July 1 and December 31, 2015 were included. Clinical information, laboratory data, and drug susceptibility data were collected. Results: Totally 80 patients, with an in-hospital mortality rate of 32.5%, were included and categorized into three groups. 32 patients in Group I (BSI onset within 48 h after admission), 32 in Group II (between 48 h and one week), and 16 in Group III (more than one week). Patients in Group I were older (mean age: 75.6 vs. 72.6 or 69.6 years; P = 0.01) and had a higher Charlson comorbidity index (3.1 vs. 1.8 or 1.9; P = 0.02) than those in Group II or III. Streptococcus species (28.9%, 11/38) and Escherichia coli (23.7%, 9/38) were major pathogens in Group I. Enterobacteriaceae (38.2%, 13/34) isolates predominated in Group II. Fatal patients more often received inappropriate empirical antibiotic than the survivors (61.5% vs. 35.2%; P = 0.03). According to susceptibility data, pathogens in Group I and II shared similar susceptibility profiles, and levofloxacin, cefepime, or piperacillin/tazobactam, can be empirically prescribed for those hospitalized within one week. Conclusions: BSI pathogens vary among dengue patients. For adults with dengue and suspected BSI hospitalized within one week, empirical antimicrobial agents are recommended.","author":[{"dropping-particle":"","family":"Syue","given":"Ling Shan","non-dropping-particle":"","parse-names":false,"suffix":""},{"dropping-particle":"","family":"Tang","given":"Hung Jen","non-dropping-particle":"","parse-names":false,"suffix":""},{"dropping-particle":"","family":"Hung","given":"Yuan Pin","non-dropping-particle":"","parse-names":false,"suffix":""},{"dropping-particle":"","family":"Chen","given":"Po Lin","non-dropping-particle":"","parse-names":false,"suffix":""},{"dropping-particle":"","family":"Li","given":"Chia Wen","non-dropping-particle":"","parse-names":false,"suffix":""},{"dropping-particle":"","family":"Li","given":"Ming Chi","non-dropping-particle":"","parse-names":false,"suffix":""},{"dropping-particle":"","family":"Tsai","given":"Pei Fang","non-dropping-particle":"","parse-names":false,"suffix":""},{"dropping-particle":"","family":"Liu","given":"Ching Chuan","non-dropping-particle":"","parse-names":false,"suffix":""},{"dropping-particle":"","family":"Lee","given":"Nan Yao","non-dropping-particle":"","parse-names":false,"suffix":""},{"dropping-particle":"","family":"Ko","given":"Wen Chien","non-dropping-particle":"","parse-names":false,"suffix":""}],"container-title":"Journal of Microbiology, Immunology and Infection","id":"ITEM-2","issue":"2","issued":{"date-parts":[["2019","4","1"]]},"page":"225-232","publisher":"Elsevier Ltd","title":"Bloodstream infections in hospitalized adults with dengue fever: Clinical characteristics and recommended empirical therapy","type":"article-journal","volume":"52"},"uris":["http://www.mendeley.com/documents/?uuid=9e8b8ee4-ba34-30f4-a63b-182262fd3421"]},{"id":"ITEM-3","itemData":{"DOI":"10.1111/j.1365-3156.2007.01891.x","ISSN":"13602276","PMID":"17875019","abstract":"As the spread of dengue and dengue haemorrhagic fever is increasing, atypical manifestations are also on the rise, although they may be under reported because of lack of awareness. This review compiles descriptions of atypical manifestations of dengue, such as dengue encephalitis, dengue myocarditis, dengue hepatitis and dengue cholecystitis. © 2007 Blackwell Publishing Ltd.","author":[{"dropping-particle":"","family":"Gulati","given":"Sameer","non-dropping-particle":"","parse-names":false,"suffix":""},{"dropping-particle":"","family":"Maheshwari","given":"Anu","non-dropping-particle":"","parse-names":false,"suffix":""}],"container-title":"Tropical Medicine and International Health","id":"ITEM-3","issue":"9","issued":{"date-parts":[["2007"]]},"page":"1087-1095","title":"Atypical manifestations of dengue","type":"article-journal","volume":"12"},"uris":["http://www.mendeley.com/documents/?uuid=9b0f4d5d-f418-4c2c-ab4c-293057a77772"]}],"mendeley":{"formattedCitation":"[16–18]","plainTextFormattedCitation":"[16–18]","previouslyFormattedCitation":"&lt;sup&gt;16–18&lt;/sup&gt;"},"properties":{"noteIndex":0},"schema":"https://github.com/citation-style-language/schema/raw/master/csl-citation.json"}</w:instrText>
      </w:r>
      <w:r>
        <w:rPr>
          <w:rFonts w:ascii="Times New Roman" w:hAnsi="Times New Roman" w:cs="Times New Roman"/>
          <w:sz w:val="24"/>
          <w:szCs w:val="24"/>
        </w:rPr>
        <w:fldChar w:fldCharType="separate"/>
      </w:r>
      <w:r w:rsidR="00DF6B0D" w:rsidRPr="00DF6B0D">
        <w:rPr>
          <w:rFonts w:ascii="Times New Roman" w:hAnsi="Times New Roman" w:cs="Times New Roman"/>
          <w:noProof/>
          <w:sz w:val="24"/>
          <w:szCs w:val="24"/>
        </w:rPr>
        <w:t>[16–18]</w:t>
      </w:r>
      <w:r>
        <w:rPr>
          <w:rFonts w:ascii="Times New Roman" w:hAnsi="Times New Roman" w:cs="Times New Roman"/>
          <w:sz w:val="24"/>
          <w:szCs w:val="24"/>
        </w:rPr>
        <w:fldChar w:fldCharType="end"/>
      </w:r>
      <w:r>
        <w:rPr>
          <w:rFonts w:ascii="Times New Roman" w:hAnsi="Times New Roman" w:cs="Times New Roman"/>
          <w:sz w:val="24"/>
          <w:szCs w:val="24"/>
        </w:rPr>
        <w:t>. HLH is an unusual haematological manifestation of expanded dengue syndrome, among other manifestations like d</w:t>
      </w:r>
      <w:r w:rsidRPr="00412AB4">
        <w:rPr>
          <w:rFonts w:ascii="Times New Roman" w:hAnsi="Times New Roman" w:cs="Times New Roman"/>
          <w:sz w:val="24"/>
          <w:szCs w:val="24"/>
        </w:rPr>
        <w:t>isseminated intravascular coagulopathy (DIC)</w:t>
      </w:r>
      <w:r>
        <w:rPr>
          <w:rFonts w:ascii="Times New Roman" w:hAnsi="Times New Roman" w:cs="Times New Roman"/>
          <w:sz w:val="24"/>
          <w:szCs w:val="24"/>
        </w:rPr>
        <w:t xml:space="preserve"> and cytopenias </w:t>
      </w:r>
      <w:r>
        <w:rPr>
          <w:rFonts w:ascii="Times New Roman" w:hAnsi="Times New Roman" w:cs="Times New Roman"/>
          <w:sz w:val="24"/>
          <w:szCs w:val="24"/>
        </w:rPr>
        <w:fldChar w:fldCharType="begin" w:fldLock="1"/>
      </w:r>
      <w:r w:rsidR="00DF6B0D">
        <w:rPr>
          <w:rFonts w:ascii="Times New Roman" w:hAnsi="Times New Roman" w:cs="Times New Roman"/>
          <w:sz w:val="24"/>
          <w:szCs w:val="24"/>
        </w:rPr>
        <w:instrText>ADDIN CSL_CITATION {"citationItems":[{"id":"ITEM-1","itemData":{"DOI":"10.7759/cureus.10678","ISSN":"2168-8184","abstract":"Dengue infection may manifest as dengue fever (DF), dengue hemorrhagic fever (DHF), and dengue shock syndrome (DSS). The World Health Organization (WHO) came up with the term \"expanded dengue syndrome\" (EDS) to designate cases which do not fall into either DHF or DSS, with unusual manifestations in other organs such as the cardiovascular system, the nervous system, the kidneys, the gut, and the hematological system, which have been increasingly reported and called EDS. Furthermore, EDS is becoming widespread globally with unusual features and increased severity. There are increasing reports of under-recognized and infrequent manifestations with severe organ involvement. This review gives knowledge of expanded dengue syndrome which helps to catch the diagnosis of dengue early, particularly during the ongoing epidemics and escaping from further series of unnecessary investigations.","author":[{"dropping-particle":"","family":"Umakanth","given":"Maheswaran","non-dropping-particle":"","parse-names":false,"suffix":""},{"dropping-particle":"","family":"Suganthan","given":"Navaneethakrishnan","non-dropping-particle":"","parse-names":false,"suffix":""}],"container-title":"Cureus","id":"ITEM-1","issue":"9","issued":{"date-parts":[["2020","9","27"]]},"publisher":"Cureus, Inc.","title":"Unusual Manifestations of Dengue Fever: A Review on Expanded Dengue Syndrome","type":"article-journal","volume":"12"},"uris":["http://www.mendeley.com/documents/?uuid=7dc29b7d-c5e5-3978-ba98-50df0042af97"]}],"mendeley":{"formattedCitation":"[14]","plainTextFormattedCitation":"[14]","previouslyFormattedCitation":"&lt;sup&gt;14&lt;/sup&gt;"},"properties":{"noteIndex":0},"schema":"https://github.com/citation-style-language/schema/raw/master/csl-citation.json"}</w:instrText>
      </w:r>
      <w:r>
        <w:rPr>
          <w:rFonts w:ascii="Times New Roman" w:hAnsi="Times New Roman" w:cs="Times New Roman"/>
          <w:sz w:val="24"/>
          <w:szCs w:val="24"/>
        </w:rPr>
        <w:fldChar w:fldCharType="separate"/>
      </w:r>
      <w:r w:rsidR="00DF6B0D" w:rsidRPr="00DF6B0D">
        <w:rPr>
          <w:rFonts w:ascii="Times New Roman" w:hAnsi="Times New Roman" w:cs="Times New Roman"/>
          <w:noProof/>
          <w:sz w:val="24"/>
          <w:szCs w:val="24"/>
        </w:rPr>
        <w:t>[14]</w:t>
      </w:r>
      <w:r>
        <w:rPr>
          <w:rFonts w:ascii="Times New Roman" w:hAnsi="Times New Roman" w:cs="Times New Roman"/>
          <w:sz w:val="24"/>
          <w:szCs w:val="24"/>
        </w:rPr>
        <w:fldChar w:fldCharType="end"/>
      </w:r>
      <w:r>
        <w:rPr>
          <w:rFonts w:ascii="Times New Roman" w:hAnsi="Times New Roman" w:cs="Times New Roman"/>
          <w:sz w:val="24"/>
          <w:szCs w:val="24"/>
        </w:rPr>
        <w:t xml:space="preserve">. There are several reported cases of HLH as a secondary manifestation of dengue infection both in the paediatric and adult population. Most of these cases have occurred in patients without any other comorbidities; however, one case has reported co-infection with Plasmodium vivax, and another case has occurred in a young child with beta-thalassemia major </w:t>
      </w:r>
      <w:r>
        <w:rPr>
          <w:rFonts w:ascii="Times New Roman" w:hAnsi="Times New Roman" w:cs="Times New Roman"/>
          <w:sz w:val="24"/>
          <w:szCs w:val="24"/>
        </w:rPr>
        <w:fldChar w:fldCharType="begin" w:fldLock="1"/>
      </w:r>
      <w:r w:rsidR="00DF6B0D">
        <w:rPr>
          <w:rFonts w:ascii="Times New Roman" w:hAnsi="Times New Roman" w:cs="Times New Roman"/>
          <w:sz w:val="24"/>
          <w:szCs w:val="24"/>
        </w:rPr>
        <w:instrText>ADDIN CSL_CITATION {"citationItems":[{"id":"ITEM-1","itemData":{"DOI":"10.1016/S1473-3099(20)30788-X","ISSN":"14744457","PMID":"33639131","author":[{"dropping-particle":"","family":"Ren","given":"Dongdong","non-dropping-particle":"","parse-names":false,"suffix":""},{"dropping-particle":"","family":"Ong","given":"Sean Wei Xiang","non-dropping-particle":"","parse-names":false,"suffix":""},{"dropping-particle":"","family":"Batac","given":"Jireh Ann Landingin","non-dropping-particle":"","parse-names":false,"suffix":""},{"dropping-particle":"","family":"Fan","given":"Bingwen Eugene","non-dropping-particle":"","parse-names":false,"suffix":""},{"dropping-particle":"","family":"Vasoo","given":"Shawn","non-dropping-particle":"","parse-names":false,"suffix":""}],"container-title":"The Lancet Infectious Diseases","id":"ITEM-1","issue":"3","issued":{"date-parts":[["2021","3","1"]]},"page":"437","publisher":"Lancet Publishing Group","title":"Haemophagocytic lymphohistiocytosis in dengue fever","type":"article","volume":"21"},"uris":["http://www.mendeley.com/documents/?uuid=3206eb96-8056-3dc5-9db9-40a07b4dfe99"]},{"id":"ITEM-2","itemData":{"DOI":"10.4103/0974-777X.91068","ISSN":"0974777X","abstract":"A 24-year-old previously healthy girl presented with persistent fever, headache, and jaundice. Rapid-test anti-dengue virus IgM antibody was positive but anti-dengue IgG was nonreactive, which is suggestive of primary dengue infection. There was clinical deterioration during empiric antibiotic and symptomatic therapy. Bone marrow examination demonstrated the presence of hemophagocytosis. Diagnosis of dengue fever with virus-associated hemophagocytic syndrome was made according to the diagnostic criteria of the HLH 2004 protocol of the Histiocyte Society. The patient recovered with corticosteroid therapy. A review of literature revealed only a handful of case reports that showed the evidence that this syndrome is caused by dengue virus. Our patient is an interesting case of hemophagocytic syndrome associated with classic dengue fever and contributes an additional case to the existing literature on this topic. This case highlights the need for increased awareness even in infections not typically associated with hemophagocytic syndrome.","author":[{"dropping-particle":"","family":"Ray","given":"Sayantan","non-dropping-particle":"","parse-names":false,"suffix":""},{"dropping-particle":"","family":"Kundu","given":"Supratip","non-dropping-particle":"","parse-names":false,"suffix":""},{"dropping-particle":"","family":"Saha","given":"Manjari","non-dropping-particle":"","parse-names":false,"suffix":""},{"dropping-particle":"","family":"Chakrabarti","given":"Prantar","non-dropping-particle":"","parse-names":false,"suffix":""}],"container-title":"Journal of Global Infectious Diseases","id":"ITEM-2","issue":"4","issued":{"date-parts":[["2011","10"]]},"page":"399-401","publisher":"Wolters Kluwer -- Medknow Publications","title":"Hemophagocytic syndrome in classic dengue fever","type":"article-journal","volume":"3"},"uris":["http://www.mendeley.com/documents/?uuid=7d90728e-7f4d-3b14-befb-6be4de8ab630"]},{"id":"ITEM-3","itemData":{"DOI":"10.1097/MD.0000000000006159","ISSN":"15365964","PMID":"28225498","abstract":"Background: Infection-associated hemophagocytic syndrome (IAHS) is potentially a fatal disease caused by systemic infection complicated by hemophagocyticlymphohistiocytosis (HLH). Here, we report a case of HLH associated with dengue hemorrhagic fever (DHF) after a trip to Thailand. Case summary: A 33-year-old healthy female patient presented with 3 days of fever, myalgia, and skin rash. Serotype 3 dengue virus was isolated. Clinical and laboratory findings fulfilled the criteria of HLH. After the initiation of corticosteroid therapy, the patient recovered and laboratory findings were normalized. Conclusion: It would be important to differentially diagnose dengue-associated HLH from severe DHF. Early recognition and initiation of steroid treatment would be crucial for the successful treatment of dengue fever complicated by HLH.","author":[{"dropping-particle":"","family":"Chung","given":"Sang Mi","non-dropping-particle":"","parse-names":false,"suffix":""},{"dropping-particle":"","family":"Song","given":"Joon Young","non-dropping-particle":"","parse-names":false,"suffix":""},{"dropping-particle":"","family":"Kim","given":"Wonshik","non-dropping-particle":"","parse-names":false,"suffix":""},{"dropping-particle":"","family":"Choi","given":"Min Joo","non-dropping-particle":"","parse-names":false,"suffix":""},{"dropping-particle":"","family":"Jeon","given":"Ji Ho","non-dropping-particle":"","parse-names":false,"suffix":""},{"dropping-particle":"","family":"Kang","given":"Seonghui","non-dropping-particle":"","parse-names":false,"suffix":""},{"dropping-particle":"","family":"Jung","given":"Eunju","non-dropping-particle":"","parse-names":false,"suffix":""},{"dropping-particle":"","family":"Noh","given":"Ji Yun","non-dropping-particle":"","parse-names":false,"suffix":""},{"dropping-particle":"","family":"Cheong","given":"Hee Jin","non-dropping-particle":"","parse-names":false,"suffix":""},{"dropping-particle":"","family":"Kim","given":"Woo Joo","non-dropping-particle":"","parse-names":false,"suffix":""}],"container-title":"Medicine (United States)","id":"ITEM-3","issue":"8","issued":{"date-parts":[["2017"]]},"publisher":"Lippincott Williams and Wilkins","title":"Dengue-associated hemophagocyticlymphohistiocytosis in an adult A case report and literature review","type":"article-journal","volume":"96"},"uris":["http://www.mendeley.com/documents/?uuid=1915a38e-6b2f-327d-ab2b-f5b4588477b3"]},{"id":"ITEM-4","itemData":{"DOI":"10.3109/00365548.2011.652667","ISSN":"00365548","PMID":"22264033","abstract":"Dengue is characterized by biphasic fever, myalgia or arthralgia, rash, leukopenia, and lymphadenopathy. It is self-limiting, and dengue-associated haemophagocytic lymphohistiocytosis has been reported in fewer than 20 children worldwide. We report the case of a 4-y-old boy with dengue who continued to have fever for 30 days, with hepatomegaly, thrombocytopenia, and leukopenia. Bone marrow examination showed haemophagocytes. The child was treated with steroids, instead etoposide and oral cyclosporine. © 2012 Informa Healthcare.","author":[{"dropping-particle":"","family":"Kapdi","given":"Muznah","non-dropping-particle":"","parse-names":false,"suffix":""},{"dropping-particle":"","family":"Shah","given":"Ira","non-dropping-particle":"","parse-names":false,"suffix":""}],"container-title":"Scandinavian Journal of Infectious Diseases","id":"ITEM-4","issue":"9","issued":{"date-parts":[["2012","9"]]},"page":"708-709","publisher":"Scand J Infect Dis","title":"Dengue and haemophagocytic lymphohistiocytosis","type":"article-journal","volume":"44"},"uris":["http://www.mendeley.com/documents/?uuid=ef2d5a2c-0503-3c6a-9e26-533e8233028d"]},{"id":"ITEM-5","itemData":{"DOI":"10.7759/cureus.11232","ISSN":"2168-8184","abstract":"Hemophagocytic lymphohistiocytosis (HLH) is a rare, fatal complication of dengue infection and often leads to multi-system involvement and failure. Early recognition is crucial in improving the outcome. We report two children who developed secondary haemophagocytic lymphohistiocytosis following dengue fever. A 14-year-old girl who was diagnosed with beta-thalassemia major presented with dengue hemorrhagic fever and developed a continuous very high fever, persistent thrombocytopenia, and anemia despite several transfusions of blood and blood products. The other child was a 12-year old girl who, following initial confirmation of dengue fever, presented with persistent fever and hepatosplenomegaly. The diagnosis of HLH in both children was confirmed by clinical and laboratory features supported by the demonstration of haemophagocytes in the bone marrow. Both children were treated with steroids and supportive care and made a gradual recovery with treatment. Second-line immune-suppressive treatment was not needed. Whilst sepsis is a priority differential diagnosis in children with persistent fever following recovery from dengue fever, HLH should always be suspected early in these patients. Early, appropriate immunosuppressive treatment is likely to improve long-term outcomes and prevent mortality.","author":[{"dropping-particle":"","family":"Thadchanamoorthy","given":"Vijayakumary","non-dropping-particle":"","parse-names":false,"suffix":""},{"dropping-particle":"","family":"Dayasiri","given":"Kavinda","non-dropping-particle":"","parse-names":false,"suffix":""}],"container-title":"Cureus","id":"ITEM-5","issue":"10","issued":{"date-parts":[["2020","10","29"]]},"publisher":"Cureus, Inc.","title":"Dengue Fever Associated Haemophagocytic Lymphohistiocytosis: A Report of Two Children","type":"article-journal","volume":"12"},"uris":["http://www.mendeley.com/documents/?uuid=67daebf3-fb74-3ada-9357-bf71e708b457"]},{"id":"ITEM-6","itemData":{"DOI":"10.1179/2295333714Y.0000000019","ISSN":"00015512","PMID":"24820925","abstract":"We describe a 21-year-old female patient returning from a journey to Cambodia, who developed dengue fever complicated with hemophagocytic lymphohistiocytosis. Hectic fever, rash, leukopenia, thrombocytopenia, hepatocellular dysfunction, a markedly elevated ferritin level, and a bone marrow demonstrating abundant hemophagocytosis were present. The patient recovered within 14 days. To our knowledge, this is only the second reported case of dengue virus-associated hemophagocytosis in Europe. As dengue is a rising pathogen in tropical import diseases, clinicians must be aware of its rare but serious complications. © Acta Clinica Belgica 2014.","author":[{"dropping-particle":"","family":"Koninck","given":"A. S.","non-dropping-particle":"De","parse-names":false,"suffix":""},{"dropping-particle":"","family":"Dierick","given":"J.","non-dropping-particle":"","parse-names":false,"suffix":""},{"dropping-particle":"","family":"Steyaert","given":"S.","non-dropping-particle":"","parse-names":false,"suffix":""},{"dropping-particle":"","family":"Taelman","given":"P.","non-dropping-particle":"","parse-names":false,"suffix":""}],"container-title":"Acta Clinica Belgica","id":"ITEM-6","issue":"3","issued":{"date-parts":[["2014"]]},"page":"210-213","publisher":"Acta Clinica Belgica","title":"Hemophagocytic lymphohistiocytosis and dengue infection: Rare case report","type":"article-journal","volume":"69"},"uris":["http://www.mendeley.com/documents/?uuid=5892f7f4-5493-3ad3-88c8-4e0945c72bc3"]},{"id":"ITEM-7","itemData":{"DOI":"10.1016/j.idcr.2017.03.013","ISSN":"22142509","PMID":"28409119","abstract":"Dengue, transmitted by the mosquito Aedes aegypti affects millions of people worldwide every year. Dengue induced hemophagocytic lymphohistiocytosis (HLH) is a serious condition and may prove fatal if not detected early and treated appropriately. Diagnosis of HLH is challenging and usually missed as clinical and laboratory findings are nonspecific. Moreover, the pathophysiology of the systemic inflammatory response syndrome and/or sepsis is remarkably similar to HLH. Secondary HLH following infection by the dengue virus is now being increasingly recognized as a cause of severe form of the disease. We report a case of dengue associated HLH in an otherwise healthy person who deteriorated during the course of hospitalization. A disproportionately high ferritin level and persistent bicytopenia prompted investigations for HLH. Diagnosis of dengue fever with virus-associated hemophagocytic syndrome was established according to the diagnostic criteria laid down by the Histiocyte Society. We discuss the diagnosis and management of this complex case and try to generate awareness about dengue induced HLH as one of the possible causes for severe manifestations of this infection","author":[{"dropping-particle":"","family":"Ray","given":"Ujjwayini","non-dropping-particle":"","parse-names":false,"suffix":""},{"dropping-particle":"","family":"Dutta","given":"Soma","non-dropping-particle":"","parse-names":false,"suffix":""},{"dropping-particle":"","family":"Mondal","given":"Susovan","non-dropping-particle":"","parse-names":false,"suffix":""},{"dropping-particle":"","family":"Bandyopadhyay","given":"Syamasis","non-dropping-particle":"","parse-names":false,"suffix":""}],"container-title":"IDCases","id":"ITEM-7","issued":{"date-parts":[["2017"]]},"page":"50-53","publisher":"Elsevier Ltd","title":"Severe dengue due to secondary hemophagocytic lymphohistiocytosis: A case study","type":"article-journal","volume":"8"},"uris":["http://www.mendeley.com/documents/?uuid=13692c3c-c849-3ff2-9647-8f59546403d0"]},{"id":"ITEM-8","itemData":{"DOI":"10.1002/ccr3.3422","ISSN":"20500904","abstract":"Hemophagocytic lymphohistiocytosis is a rare but severe complication of dengue infection which carries a high mortality. This report highlights the importance of early recognition of this condition as prompt appropriate treatment improves outcomes.","author":[{"dropping-particle":"","family":"Chang","given":"Chee Yik","non-dropping-particle":"","parse-names":false,"suffix":""},{"dropping-particle":"","family":"Rajappan","given":"Mahaletchumi","non-dropping-particle":"","parse-names":false,"suffix":""},{"dropping-particle":"","family":"Zaid","given":"Masliza","non-dropping-particle":"","parse-names":false,"suffix":""},{"dropping-particle":"","family":"Ong","given":"Edmund L.C.","non-dropping-particle":"","parse-names":false,"suffix":""}],"container-title":"Clinical Case Reports","id":"ITEM-8","issue":"12","issued":{"date-parts":[["2020","12","1"]]},"page":"3427-3431","publisher":"Blackwell Publishing Ltd","title":"Dengue fever complicated by hemophagocytic lymphohistiocytosis: Report of 2 cases and bone marrow findings","type":"article-journal","volume":"8"},"uris":["http://www.mendeley.com/documents/?uuid=5e700eca-df52-363d-b8e7-00cfd691025c"]},{"id":"ITEM-9","itemData":{"DOI":"10.1155/2015/696842","ISSN":"16879635","abstract":"Hemophagocytic lymphohistiocytosis (HLH) is a rare disorder. Dysfunction of cytotoxic T and natural killer (NK) cells causes uncontrolled activity of lymphocytes and histiocytes which leads to HLH. Infections, malignancies, and autoimmune disorders are associated with development of HLH. Dengue and Plasmodium vivax are rare causes of HLH. We report the first ever case of a young man who developed fatal HLH that complicated Dengue Hemorrhagic Fever (DHF) and Plasmodium vivax infection.","author":[{"dropping-particle":"","family":"Khurram","given":"Muhammad","non-dropping-particle":"","parse-names":false,"suffix":""},{"dropping-particle":"","family":"Faheem","given":"Muhammad","non-dropping-particle":"","parse-names":false,"suffix":""},{"dropping-particle":"","family":"Umar","given":"Muhammad","non-dropping-particle":"","parse-names":false,"suffix":""},{"dropping-particle":"","family":"Yasin","given":"Asif","non-dropping-particle":"","parse-names":false,"suffix":""},{"dropping-particle":"","family":"Qayyum","given":"Wajeeha","non-dropping-particle":"","parse-names":false,"suffix":""},{"dropping-particle":"","family":"Ashraf","given":"Amna","non-dropping-particle":"","parse-names":false,"suffix":""},{"dropping-particle":"","family":"Khan","given":"Javeria Zahid","non-dropping-particle":"","parse-names":false,"suffix":""},{"dropping-particle":"","family":"Yasir","given":"Ali Hasnain","non-dropping-particle":"","parse-names":false,"suffix":""},{"dropping-particle":"","family":"Ansari","given":"Yusra","non-dropping-particle":"","parse-names":false,"suffix":""},{"dropping-particle":"","family":"Asad","given":"Muhammad","non-dropping-particle":"","parse-names":false,"suffix":""},{"dropping-particle":"","family":"Khan","given":"Iram","non-dropping-particle":"","parse-names":false,"suffix":""},{"dropping-particle":"","family":"Abbas","given":"Shuja","non-dropping-particle":"","parse-names":false,"suffix":""},{"dropping-particle":"","family":"Rasheed","given":"Irum","non-dropping-particle":"","parse-names":false,"suffix":""},{"dropping-particle":"","family":"Rasool","given":"Natasha","non-dropping-particle":"","parse-names":false,"suffix":""},{"dropping-particle":"","family":"Khar","given":"Hamama Tul Bushra","non-dropping-particle":"","parse-names":false,"suffix":""}],"container-title":"Case Reports in Medicine","id":"ITEM-9","issued":{"date-parts":[["2015"]]},"publisher":"Hindawi Limited","title":"Hemophagocytic Lymphohistiocytosis Complicating Dengue and Plasmodium vivax Coinfection","type":"article-journal","volume":"2015"},"uris":["http://www.mendeley.com/documents/?uuid=fc14a8c5-7dec-3ebb-8f9d-e62a55a5bca2"]}],"mendeley":{"formattedCitation":"[3,9,19–25]","plainTextFormattedCitation":"[3,9,19–25]","previouslyFormattedCitation":"&lt;sup&gt;3,9,19–25&lt;/sup&gt;"},"properties":{"noteIndex":0},"schema":"https://github.com/citation-style-language/schema/raw/master/csl-citation.json"}</w:instrText>
      </w:r>
      <w:r>
        <w:rPr>
          <w:rFonts w:ascii="Times New Roman" w:hAnsi="Times New Roman" w:cs="Times New Roman"/>
          <w:sz w:val="24"/>
          <w:szCs w:val="24"/>
        </w:rPr>
        <w:fldChar w:fldCharType="separate"/>
      </w:r>
      <w:r w:rsidR="00DF6B0D" w:rsidRPr="00DF6B0D">
        <w:rPr>
          <w:rFonts w:ascii="Times New Roman" w:hAnsi="Times New Roman" w:cs="Times New Roman"/>
          <w:noProof/>
          <w:sz w:val="24"/>
          <w:szCs w:val="24"/>
        </w:rPr>
        <w:t>[3,9,19–25]</w:t>
      </w:r>
      <w:r>
        <w:rPr>
          <w:rFonts w:ascii="Times New Roman" w:hAnsi="Times New Roman" w:cs="Times New Roman"/>
          <w:sz w:val="24"/>
          <w:szCs w:val="24"/>
        </w:rPr>
        <w:fldChar w:fldCharType="end"/>
      </w:r>
      <w:r>
        <w:rPr>
          <w:rFonts w:ascii="Times New Roman" w:hAnsi="Times New Roman" w:cs="Times New Roman"/>
          <w:sz w:val="24"/>
          <w:szCs w:val="24"/>
        </w:rPr>
        <w:t xml:space="preserve">. </w:t>
      </w:r>
    </w:p>
    <w:p w14:paraId="4E330B59" w14:textId="10FAF2B6" w:rsidR="00DB1067" w:rsidRDefault="00DB1067" w:rsidP="00DB1067">
      <w:pPr>
        <w:autoSpaceDE w:val="0"/>
        <w:autoSpaceDN w:val="0"/>
        <w:adjustRightInd w:val="0"/>
        <w:spacing w:after="240" w:line="276" w:lineRule="auto"/>
        <w:rPr>
          <w:rFonts w:ascii="Times New Roman" w:hAnsi="Times New Roman" w:cs="Times New Roman"/>
          <w:sz w:val="24"/>
          <w:szCs w:val="24"/>
        </w:rPr>
      </w:pPr>
      <w:r w:rsidRPr="00DB1067">
        <w:rPr>
          <w:rFonts w:ascii="Times New Roman" w:hAnsi="Times New Roman" w:cs="Times New Roman"/>
          <w:sz w:val="24"/>
          <w:szCs w:val="24"/>
        </w:rPr>
        <w:t xml:space="preserve">The pathogenesis of HLH was at first thought to be </w:t>
      </w:r>
      <w:r>
        <w:rPr>
          <w:rFonts w:ascii="Times New Roman" w:hAnsi="Times New Roman" w:cs="Times New Roman"/>
          <w:sz w:val="24"/>
          <w:szCs w:val="24"/>
        </w:rPr>
        <w:t>a</w:t>
      </w:r>
      <w:r w:rsidRPr="00DB1067">
        <w:rPr>
          <w:rFonts w:ascii="Times New Roman" w:hAnsi="Times New Roman" w:cs="Times New Roman"/>
          <w:sz w:val="24"/>
          <w:szCs w:val="24"/>
        </w:rPr>
        <w:t xml:space="preserve"> result of an inability to clear infections in immunodeficient patients</w:t>
      </w:r>
      <w:r>
        <w:rPr>
          <w:rFonts w:ascii="Times New Roman" w:hAnsi="Times New Roman" w:cs="Times New Roman"/>
          <w:sz w:val="24"/>
          <w:szCs w:val="24"/>
        </w:rPr>
        <w:t xml:space="preserve"> </w:t>
      </w:r>
      <w:r>
        <w:rPr>
          <w:rFonts w:ascii="Times New Roman" w:hAnsi="Times New Roman" w:cs="Times New Roman"/>
          <w:sz w:val="24"/>
          <w:szCs w:val="24"/>
        </w:rPr>
        <w:fldChar w:fldCharType="begin" w:fldLock="1"/>
      </w:r>
      <w:r w:rsidR="00DF6B0D">
        <w:rPr>
          <w:rFonts w:ascii="Times New Roman" w:hAnsi="Times New Roman" w:cs="Times New Roman"/>
          <w:sz w:val="24"/>
          <w:szCs w:val="24"/>
        </w:rPr>
        <w:instrText>ADDIN CSL_CITATION {"citationItems":[{"id":"ITEM-1","itemData":{"DOI":"10.1159/000312628","ISSN":"10182438","PMID":"20407267","abstract":"Macrophage activation syndrome (MAS) is a phenomenon characterized by cytopenia, organ dysfunction, and coagulopathy associated with an inappropriate activation of macrophages. Current diagnostic criteria are imprecise, but the syndrome is now recognized as a form of hemophagocytic lymphohistiocytosis that is characteristically associated with autoimmune diatheses. The diagnosis of incipient MAS in patients with autoimmune disease requires a high index of suspicion, as several characteristics of the disorder may be present in the underlying condition or infectious complications associated with the treatment thereof. Proposed treatment regimens include aggressive approaches that require validation in future controlled studies. This review discusses the major aspects of the pathophysiology, diagnosis, and management of MAS with a focus on the association with autoimmune disease. Copyright © 2010 S. Karger AG, Basel.","author":[{"dropping-particle":"","family":"Deane","given":"Sean","non-dropping-particle":"","parse-names":false,"suffix":""},{"dropping-particle":"","family":"Selmi","given":"Carlo","non-dropping-particle":"","parse-names":false,"suffix":""},{"dropping-particle":"","family":"Teuber","given":"Suzanne S.","non-dropping-particle":"","parse-names":false,"suffix":""},{"dropping-particle":"","family":"Gershwin","given":"M. Eric","non-dropping-particle":"","parse-names":false,"suffix":""}],"container-title":"International Archives of Allergy and Immunology","id":"ITEM-1","issue":"2","issued":{"date-parts":[["2010","9"]]},"page":"109-120","publisher":"Int Arch Allergy Immunol","title":"Macrophage activation syndrome in autoimmune disease","type":"article","volume":"153"},"uris":["http://www.mendeley.com/documents/?uuid=0f8c7beb-d9cb-35cb-8e4d-0bd2882c44f0"]}],"mendeley":{"formattedCitation":"[26]","plainTextFormattedCitation":"[26]","previouslyFormattedCitation":"&lt;sup&gt;26&lt;/sup&gt;"},"properties":{"noteIndex":0},"schema":"https://github.com/citation-style-language/schema/raw/master/csl-citation.json"}</w:instrText>
      </w:r>
      <w:r>
        <w:rPr>
          <w:rFonts w:ascii="Times New Roman" w:hAnsi="Times New Roman" w:cs="Times New Roman"/>
          <w:sz w:val="24"/>
          <w:szCs w:val="24"/>
        </w:rPr>
        <w:fldChar w:fldCharType="separate"/>
      </w:r>
      <w:r w:rsidR="00DF6B0D" w:rsidRPr="00DF6B0D">
        <w:rPr>
          <w:rFonts w:ascii="Times New Roman" w:hAnsi="Times New Roman" w:cs="Times New Roman"/>
          <w:noProof/>
          <w:sz w:val="24"/>
          <w:szCs w:val="24"/>
        </w:rPr>
        <w:t>[26]</w:t>
      </w:r>
      <w:r>
        <w:rPr>
          <w:rFonts w:ascii="Times New Roman" w:hAnsi="Times New Roman" w:cs="Times New Roman"/>
          <w:sz w:val="24"/>
          <w:szCs w:val="24"/>
        </w:rPr>
        <w:fldChar w:fldCharType="end"/>
      </w:r>
      <w:r w:rsidRPr="00DB1067">
        <w:rPr>
          <w:rFonts w:ascii="Times New Roman" w:hAnsi="Times New Roman" w:cs="Times New Roman"/>
          <w:sz w:val="24"/>
          <w:szCs w:val="24"/>
        </w:rPr>
        <w:t xml:space="preserve">. </w:t>
      </w:r>
      <w:r>
        <w:rPr>
          <w:rFonts w:ascii="Times New Roman" w:hAnsi="Times New Roman" w:cs="Times New Roman"/>
          <w:sz w:val="24"/>
          <w:szCs w:val="24"/>
        </w:rPr>
        <w:t>However,</w:t>
      </w:r>
      <w:r w:rsidRPr="00DB1067">
        <w:rPr>
          <w:rFonts w:ascii="Times New Roman" w:hAnsi="Times New Roman" w:cs="Times New Roman"/>
          <w:sz w:val="24"/>
          <w:szCs w:val="24"/>
        </w:rPr>
        <w:t xml:space="preserve"> HLH in immunocompetent patients worked to disprove such </w:t>
      </w:r>
      <w:r>
        <w:rPr>
          <w:rFonts w:ascii="Times New Roman" w:hAnsi="Times New Roman" w:cs="Times New Roman"/>
          <w:sz w:val="24"/>
          <w:szCs w:val="24"/>
        </w:rPr>
        <w:t xml:space="preserve">a </w:t>
      </w:r>
      <w:r w:rsidRPr="00DB1067">
        <w:rPr>
          <w:rFonts w:ascii="Times New Roman" w:hAnsi="Times New Roman" w:cs="Times New Roman"/>
          <w:sz w:val="24"/>
          <w:szCs w:val="24"/>
        </w:rPr>
        <w:t>theory</w:t>
      </w:r>
      <w:r>
        <w:rPr>
          <w:rFonts w:ascii="Times New Roman" w:hAnsi="Times New Roman" w:cs="Times New Roman"/>
          <w:sz w:val="24"/>
          <w:szCs w:val="24"/>
        </w:rPr>
        <w:t xml:space="preserve"> later, and</w:t>
      </w:r>
      <w:r w:rsidRPr="00DB1067">
        <w:rPr>
          <w:rFonts w:ascii="Times New Roman" w:hAnsi="Times New Roman" w:cs="Times New Roman"/>
          <w:sz w:val="24"/>
          <w:szCs w:val="24"/>
        </w:rPr>
        <w:t xml:space="preserve"> the identification of cytotoxic pathway mutations as the primary cause of genetic HLH has elucidated to some extent the mechanism of this disease</w:t>
      </w:r>
      <w:r>
        <w:rPr>
          <w:rFonts w:ascii="Times New Roman" w:hAnsi="Times New Roman" w:cs="Times New Roman"/>
          <w:sz w:val="24"/>
          <w:szCs w:val="24"/>
        </w:rPr>
        <w:t xml:space="preserve"> </w:t>
      </w:r>
      <w:r>
        <w:rPr>
          <w:rFonts w:ascii="Times New Roman" w:hAnsi="Times New Roman" w:cs="Times New Roman"/>
          <w:sz w:val="24"/>
          <w:szCs w:val="24"/>
        </w:rPr>
        <w:fldChar w:fldCharType="begin" w:fldLock="1"/>
      </w:r>
      <w:r w:rsidR="00DF6B0D">
        <w:rPr>
          <w:rFonts w:ascii="Times New Roman" w:hAnsi="Times New Roman" w:cs="Times New Roman"/>
          <w:sz w:val="24"/>
          <w:szCs w:val="24"/>
        </w:rPr>
        <w:instrText>ADDIN CSL_CITATION {"citationItems":[{"id":"ITEM-1","itemData":{"DOI":"10.1309/AJCP4ZDKJ4ICOUAT","ISSN":"00029173","PMID":"23690113","abstract":"Hemophagocytic lymphohistiocytosis (HLH) is a frequently fatal and likely underdiagnosed disease involving a final common pathway of hypercytokinemia, which can result in end-organ damage and death. Although an early diagnosis is crucial to decrease mortality, the definitive diagnosis is often challenging because of the lack of specificity of currently accepted diagnostic criteria and the absence of confirmatory gold standards. Because of the wide range of laboratory assays involved in the diagnosis of HLH, practicing pathologists from a broad spectrum of clinical specialties need to be aware of the disease so that they may appropriately flag results and convey them to their clinical counterparts. Our article summarizes these new advances in the diagnosis of HLH and includes a review of clinical findings, updated understanding of the pathogenesis, and promising new testing methods. © American Society for Clinical Pathology.","author":[{"dropping-particle":"","family":"Rosado","given":"Flavia G.N.","non-dropping-particle":"","parse-names":false,"suffix":""},{"dropping-particle":"","family":"Kim","given":"Annette S.","non-dropping-particle":"","parse-names":false,"suffix":""}],"container-title":"American Journal of Clinical Pathology","id":"ITEM-1","issue":"6","issued":{"date-parts":[["2013"]]},"page":"713-727","title":"Hemophagocytic lymphohistiocytosis","type":"article-journal","volume":"139"},"uris":["http://www.mendeley.com/documents/?uuid=57a27a0f-3eab-45e4-a20b-1b9a78843fe8"]}],"mendeley":{"formattedCitation":"[1]","plainTextFormattedCitation":"[1]","previouslyFormattedCitation":"&lt;sup&gt;1&lt;/sup&gt;"},"properties":{"noteIndex":0},"schema":"https://github.com/citation-style-language/schema/raw/master/csl-citation.json"}</w:instrText>
      </w:r>
      <w:r>
        <w:rPr>
          <w:rFonts w:ascii="Times New Roman" w:hAnsi="Times New Roman" w:cs="Times New Roman"/>
          <w:sz w:val="24"/>
          <w:szCs w:val="24"/>
        </w:rPr>
        <w:fldChar w:fldCharType="separate"/>
      </w:r>
      <w:r w:rsidR="00DF6B0D" w:rsidRPr="00DF6B0D">
        <w:rPr>
          <w:rFonts w:ascii="Times New Roman" w:hAnsi="Times New Roman" w:cs="Times New Roman"/>
          <w:noProof/>
          <w:sz w:val="24"/>
          <w:szCs w:val="24"/>
        </w:rPr>
        <w:t>[1]</w:t>
      </w:r>
      <w:r>
        <w:rPr>
          <w:rFonts w:ascii="Times New Roman" w:hAnsi="Times New Roman" w:cs="Times New Roman"/>
          <w:sz w:val="24"/>
          <w:szCs w:val="24"/>
        </w:rPr>
        <w:fldChar w:fldCharType="end"/>
      </w:r>
      <w:r w:rsidRPr="00DB1067">
        <w:rPr>
          <w:rFonts w:ascii="Times New Roman" w:hAnsi="Times New Roman" w:cs="Times New Roman"/>
          <w:sz w:val="24"/>
          <w:szCs w:val="24"/>
        </w:rPr>
        <w:t xml:space="preserve">. </w:t>
      </w:r>
      <w:r>
        <w:rPr>
          <w:rFonts w:ascii="Times New Roman" w:hAnsi="Times New Roman" w:cs="Times New Roman"/>
          <w:sz w:val="24"/>
          <w:szCs w:val="24"/>
        </w:rPr>
        <w:t>All forms of HLH are thought to b</w:t>
      </w:r>
      <w:r w:rsidRPr="00DB1067">
        <w:rPr>
          <w:rFonts w:ascii="Times New Roman" w:hAnsi="Times New Roman" w:cs="Times New Roman"/>
          <w:sz w:val="24"/>
          <w:szCs w:val="24"/>
        </w:rPr>
        <w:t xml:space="preserve">e due to impairment in the function of cytotoxic T lymphocytes and </w:t>
      </w:r>
      <w:r>
        <w:rPr>
          <w:rFonts w:ascii="Times New Roman" w:hAnsi="Times New Roman" w:cs="Times New Roman"/>
          <w:sz w:val="24"/>
          <w:szCs w:val="24"/>
        </w:rPr>
        <w:t>natural killer (</w:t>
      </w:r>
      <w:r w:rsidRPr="00DB1067">
        <w:rPr>
          <w:rFonts w:ascii="Times New Roman" w:hAnsi="Times New Roman" w:cs="Times New Roman"/>
          <w:sz w:val="24"/>
          <w:szCs w:val="24"/>
        </w:rPr>
        <w:t>NK</w:t>
      </w:r>
      <w:r>
        <w:rPr>
          <w:rFonts w:ascii="Times New Roman" w:hAnsi="Times New Roman" w:cs="Times New Roman"/>
          <w:sz w:val="24"/>
          <w:szCs w:val="24"/>
        </w:rPr>
        <w:t>)</w:t>
      </w:r>
      <w:r w:rsidRPr="00DB1067">
        <w:rPr>
          <w:rFonts w:ascii="Times New Roman" w:hAnsi="Times New Roman" w:cs="Times New Roman"/>
          <w:sz w:val="24"/>
          <w:szCs w:val="24"/>
        </w:rPr>
        <w:t xml:space="preserve"> cells, associated with a potentially fatal cytokine storm</w:t>
      </w:r>
      <w:r>
        <w:rPr>
          <w:rFonts w:ascii="Times New Roman" w:hAnsi="Times New Roman" w:cs="Times New Roman"/>
          <w:sz w:val="24"/>
          <w:szCs w:val="24"/>
        </w:rPr>
        <w:t xml:space="preserve"> and hyperferritinemia </w:t>
      </w:r>
      <w:r>
        <w:rPr>
          <w:rFonts w:ascii="Times New Roman" w:hAnsi="Times New Roman" w:cs="Times New Roman"/>
          <w:sz w:val="24"/>
          <w:szCs w:val="24"/>
        </w:rPr>
        <w:fldChar w:fldCharType="begin" w:fldLock="1"/>
      </w:r>
      <w:r w:rsidR="00DF6B0D">
        <w:rPr>
          <w:rFonts w:ascii="Times New Roman" w:hAnsi="Times New Roman" w:cs="Times New Roman"/>
          <w:sz w:val="24"/>
          <w:szCs w:val="24"/>
        </w:rPr>
        <w:instrText>ADDIN CSL_CITATION {"citationItems":[{"id":"ITEM-1","itemData":{"DOI":"10.1182/blood.2018894618","ISSN":"15280020","PMID":"30992265","abstract":"Hemophagocytic lymphohistiocytosis (HLH) is a severe hyperinflammatory syndrome induced by aberrantly activated macrophages and cytotoxic T cells. The primary (genetic) form, caused by mutations affecting lymphocyte cytotoxicity and immune regulation, is most common in children, whereas the secondary (acquired) form is most frequent in adults. Secondary HLH is commonly triggered by infections or malignancies but may also be induced by autoinflammatory/autoimmune disorders, in which case it is called macrophage activation syndrome (MAS; or MAS-HLH). Most information on the diagnosis and treatment of HLH comes from the pediatric literature. Although helpful in some adult cases, this raises several challenges. For example, the HLH-2004 diagnostic criteria developed for children are commonly applied but are not validated for adults. Another challenge in HLH diagnosis is that patients may present with a phenotype indistinguishable from sepsis or multiple organ dysfunction syndrome. Treatment algorithms targeting hyperinflammation are frequently based on pediatric protocols, such as HLH-94 and HLH-2004, which may result in overtreatment and unnecessary toxicity in adults. Therefore, dose reductions, individualized tailoring of treatment duration, and an age-dependent modified diagnostic approach are to be considered. Here, we present expert opinions derived from an interdisciplinary working group on adult HLH, sponsored by the Histiocyte Society, to facilitate knowledge transfer between physicians caring for pediatric and adult patients with HLH, with the aim to improve the outcome for adult patients affected by HLH.","author":[{"dropping-particle":"La","family":"Rosée","given":"Paul","non-dropping-particle":"","parse-names":false,"suffix":""},{"dropping-particle":"","family":"Horne","given":"Anna Carin","non-dropping-particle":"","parse-names":false,"suffix":""},{"dropping-particle":"","family":"Hines","given":"Melissa","non-dropping-particle":"","parse-names":false,"suffix":""},{"dropping-particle":"","family":"Greenwood","given":"Tatiana Von Bahr","non-dropping-particle":"","parse-names":false,"suffix":""},{"dropping-particle":"","family":"Machowicz","given":"Rafal","non-dropping-particle":"","parse-names":false,"suffix":""},{"dropping-particle":"","family":"Berliner","given":"Nancy","non-dropping-particle":"","parse-names":false,"suffix":""},{"dropping-particle":"","family":"Birndt","given":"Sebastian","non-dropping-particle":"","parse-names":false,"suffix":""},{"dropping-particle":"","family":"Gil-Herrera","given":"Juana","non-dropping-particle":"","parse-names":false,"suffix":""},{"dropping-particle":"","family":"Girschikofsky","given":"Michael","non-dropping-particle":"","parse-names":false,"suffix":""},{"dropping-particle":"","family":"Jordan","given":"Michael B.","non-dropping-particle":"","parse-names":false,"suffix":""},{"dropping-particle":"","family":"Kumar","given":"Ashish","non-dropping-particle":"","parse-names":false,"suffix":""},{"dropping-particle":"","family":"Laar","given":"Jan A.M.","non-dropping-particle":"Van","parse-names":false,"suffix":""},{"dropping-particle":"","family":"Lachmann","given":"Gunnar","non-dropping-particle":"","parse-names":false,"suffix":""},{"dropping-particle":"","family":"Nichols","given":"Kim E.","non-dropping-particle":"","parse-names":false,"suffix":""},{"dropping-particle":"V.","family":"Ramanan","given":"Athimalaipet","non-dropping-particle":"","parse-names":false,"suffix":""},{"dropping-particle":"","family":"Wang","given":"Yini","non-dropping-particle":"","parse-names":false,"suffix":""},{"dropping-particle":"","family":"Wang","given":"Zhao","non-dropping-particle":"","parse-names":false,"suffix":""},{"dropping-particle":"","family":"Janka","given":"Gritta","non-dropping-particle":"","parse-names":false,"suffix":""},{"dropping-particle":"","family":"Henter","given":"Jan Inge","non-dropping-particle":"","parse-names":false,"suffix":""}],"container-title":"Blood","id":"ITEM-1","issue":"23","issued":{"date-parts":[["2019","6","6"]]},"page":"2465-2477","publisher":"American Society of Hematology","title":"Recommendations for the management of hemophagocytic lymphohistiocytosis in adults","type":"article-journal","volume":"133"},"uris":["http://www.mendeley.com/documents/?uuid=330f8288-d095-3cff-a336-c294496490f9"]},{"id":"ITEM-2","itemData":{"DOI":"10.1309/AJCP4ZDKJ4ICOUAT","ISSN":"00029173","PMID":"23690113","abstract":"Hemophagocytic lymphohistiocytosis (HLH) is a frequently fatal and likely underdiagnosed disease involving a final common pathway of hypercytokinemia, which can result in end-organ damage and death. Although an early diagnosis is crucial to decrease mortality, the definitive diagnosis is often challenging because of the lack of specificity of currently accepted diagnostic criteria and the absence of confirmatory gold standards. Because of the wide range of laboratory assays involved in the diagnosis of HLH, practicing pathologists from a broad spectrum of clinical specialties need to be aware of the disease so that they may appropriately flag results and convey them to their clinical counterparts. Our article summarizes these new advances in the diagnosis of HLH and includes a review of clinical findings, updated understanding of the pathogenesis, and promising new testing methods. © American Society for Clinical Pathology.","author":[{"dropping-particle":"","family":"Rosado","given":"Flavia G.N.","non-dropping-particle":"","parse-names":false,"suffix":""},{"dropping-particle":"","family":"Kim","given":"Annette S.","non-dropping-particle":"","parse-names":false,"suffix":""}],"container-title":"American Journal of Clinical Pathology","id":"ITEM-2","issue":"6","issued":{"date-parts":[["2013"]]},"page":"713-727","title":"Hemophagocytic lymphohistiocytosis","type":"article-journal","volume":"139"},"uris":["http://www.mendeley.com/documents/?uuid=57a27a0f-3eab-45e4-a20b-1b9a78843fe8"]}],"mendeley":{"formattedCitation":"[1,27]","plainTextFormattedCitation":"[1,27]","previouslyFormattedCitation":"&lt;sup&gt;1,27&lt;/sup&gt;"},"properties":{"noteIndex":0},"schema":"https://github.com/citation-style-language/schema/raw/master/csl-citation.json"}</w:instrText>
      </w:r>
      <w:r>
        <w:rPr>
          <w:rFonts w:ascii="Times New Roman" w:hAnsi="Times New Roman" w:cs="Times New Roman"/>
          <w:sz w:val="24"/>
          <w:szCs w:val="24"/>
        </w:rPr>
        <w:fldChar w:fldCharType="separate"/>
      </w:r>
      <w:r w:rsidR="00DF6B0D" w:rsidRPr="00DF6B0D">
        <w:rPr>
          <w:rFonts w:ascii="Times New Roman" w:hAnsi="Times New Roman" w:cs="Times New Roman"/>
          <w:noProof/>
          <w:sz w:val="24"/>
          <w:szCs w:val="24"/>
        </w:rPr>
        <w:t>[1,27]</w:t>
      </w:r>
      <w:r>
        <w:rPr>
          <w:rFonts w:ascii="Times New Roman" w:hAnsi="Times New Roman" w:cs="Times New Roman"/>
          <w:sz w:val="24"/>
          <w:szCs w:val="24"/>
        </w:rPr>
        <w:fldChar w:fldCharType="end"/>
      </w:r>
      <w:r w:rsidRPr="00DB1067">
        <w:rPr>
          <w:rFonts w:ascii="Times New Roman" w:hAnsi="Times New Roman" w:cs="Times New Roman"/>
          <w:sz w:val="24"/>
          <w:szCs w:val="24"/>
        </w:rPr>
        <w:t>.</w:t>
      </w:r>
      <w:r>
        <w:rPr>
          <w:rFonts w:ascii="Times New Roman" w:hAnsi="Times New Roman" w:cs="Times New Roman"/>
          <w:sz w:val="24"/>
          <w:szCs w:val="24"/>
        </w:rPr>
        <w:t xml:space="preserve"> However,</w:t>
      </w:r>
      <w:r w:rsidRPr="00DB1067">
        <w:rPr>
          <w:rFonts w:ascii="Times New Roman" w:hAnsi="Times New Roman" w:cs="Times New Roman"/>
          <w:sz w:val="24"/>
          <w:szCs w:val="24"/>
        </w:rPr>
        <w:t xml:space="preserve"> the exact mechanism is less </w:t>
      </w:r>
      <w:r>
        <w:rPr>
          <w:rFonts w:ascii="Times New Roman" w:hAnsi="Times New Roman" w:cs="Times New Roman"/>
          <w:sz w:val="24"/>
          <w:szCs w:val="24"/>
        </w:rPr>
        <w:t>precise</w:t>
      </w:r>
      <w:r w:rsidRPr="00DB1067">
        <w:rPr>
          <w:rFonts w:ascii="Times New Roman" w:hAnsi="Times New Roman" w:cs="Times New Roman"/>
          <w:sz w:val="24"/>
          <w:szCs w:val="24"/>
        </w:rPr>
        <w:t xml:space="preserve"> for nongenetic forms of HLH</w:t>
      </w:r>
      <w:r>
        <w:rPr>
          <w:rFonts w:ascii="Times New Roman" w:hAnsi="Times New Roman" w:cs="Times New Roman"/>
          <w:sz w:val="24"/>
          <w:szCs w:val="24"/>
        </w:rPr>
        <w:t xml:space="preserve"> </w:t>
      </w:r>
      <w:r>
        <w:rPr>
          <w:rFonts w:ascii="Times New Roman" w:hAnsi="Times New Roman" w:cs="Times New Roman"/>
          <w:sz w:val="24"/>
          <w:szCs w:val="24"/>
        </w:rPr>
        <w:fldChar w:fldCharType="begin" w:fldLock="1"/>
      </w:r>
      <w:r w:rsidR="00DF6B0D">
        <w:rPr>
          <w:rFonts w:ascii="Times New Roman" w:hAnsi="Times New Roman" w:cs="Times New Roman"/>
          <w:sz w:val="24"/>
          <w:szCs w:val="24"/>
        </w:rPr>
        <w:instrText>ADDIN CSL_CITATION {"citationItems":[{"id":"ITEM-1","itemData":{"DOI":"10.1055/s-0029-1237386","ISSN":"03008630","PMID":"19707989","abstract":"Hemophagocytic lymphohistiocytosis (HLH) is a life-threatening syndrome in which an exaggerated but ineffective immune response leads to severe hyperinflammation. Key players in HLH are activated lymphocytes and histiocytes which infiltrate all organs and secrete large amounts of cytokines. Cardinal symptoms are prolonged fever, hepatosplenomegaly, cytopenias, and hemophagocytosis. Biochemical markers include elevated ferritin, triglycerides, and low fibrinogen. HLH occurs on the basis of various inherited and acquired immune defects. Impaired function of natural killer cells and cytotoxic T cells is shared by all forms of HLH. Nearly all genetic defects identified in inherited cases of HLH are either mutations in the perforin gene or in genes important for the exocytosis of cytotoxic granules. Cytotoxic granules contain perforin and granzymes which induce apoptosis upon entering the target cell. Additionally perforin is important for the down-regulation of the immune response. Acquired forms of HLH are found in association with infectious agents, in patients with autoimmune diseases, in malignant diseases, and in patients receiving immune suppression or after organ transplantation. HLH is still difficult to diagnose and may be overlooked since initially it may masquerade as a normal infection. HLH should be considered when symptoms are more pronounced than usual and in case of progression. Suppression of the severe hyperinflammation can be achieved with immunosuppressive and immunomodulatory agents and cytostatic drugs. Patients with genetic HLH have to undergo stem cell transplantation for cure. © Georg Thieme Verlag KG Stuttgart New York.","author":[{"dropping-particle":"","family":"Janka","given":"G.","non-dropping-particle":"","parse-names":false,"suffix":""}],"container-title":"Klinische Padiatrie","id":"ITEM-1","issue":"5","issued":{"date-parts":[["2009"]]},"page":"278-285","publisher":"Georg Thieme Verlag","title":"Hemophagocytic lymphohistiocytosis: When the immune system runs amok","type":"article","volume":"221"},"uris":["http://www.mendeley.com/documents/?uuid=84e151e6-6623-3b9d-ae9f-41ddb29de2b1"]}],"mendeley":{"formattedCitation":"[8]","plainTextFormattedCitation":"[8]","previouslyFormattedCitation":"&lt;sup&gt;8&lt;/sup&gt;"},"properties":{"noteIndex":0},"schema":"https://github.com/citation-style-language/schema/raw/master/csl-citation.json"}</w:instrText>
      </w:r>
      <w:r>
        <w:rPr>
          <w:rFonts w:ascii="Times New Roman" w:hAnsi="Times New Roman" w:cs="Times New Roman"/>
          <w:sz w:val="24"/>
          <w:szCs w:val="24"/>
        </w:rPr>
        <w:fldChar w:fldCharType="separate"/>
      </w:r>
      <w:r w:rsidR="00DF6B0D" w:rsidRPr="00DF6B0D">
        <w:rPr>
          <w:rFonts w:ascii="Times New Roman" w:hAnsi="Times New Roman" w:cs="Times New Roman"/>
          <w:noProof/>
          <w:sz w:val="24"/>
          <w:szCs w:val="24"/>
        </w:rPr>
        <w:t>[8]</w:t>
      </w:r>
      <w:r>
        <w:rPr>
          <w:rFonts w:ascii="Times New Roman" w:hAnsi="Times New Roman" w:cs="Times New Roman"/>
          <w:sz w:val="24"/>
          <w:szCs w:val="24"/>
        </w:rPr>
        <w:fldChar w:fldCharType="end"/>
      </w:r>
      <w:r w:rsidRPr="00DB1067">
        <w:rPr>
          <w:rFonts w:ascii="Times New Roman" w:hAnsi="Times New Roman" w:cs="Times New Roman"/>
          <w:sz w:val="24"/>
          <w:szCs w:val="24"/>
        </w:rPr>
        <w:t>.</w:t>
      </w:r>
      <w:r>
        <w:rPr>
          <w:rFonts w:ascii="Times New Roman" w:hAnsi="Times New Roman" w:cs="Times New Roman"/>
          <w:sz w:val="24"/>
          <w:szCs w:val="24"/>
        </w:rPr>
        <w:t xml:space="preserve"> </w:t>
      </w:r>
      <w:r w:rsidRPr="00DB1067">
        <w:rPr>
          <w:rFonts w:ascii="Times New Roman" w:hAnsi="Times New Roman" w:cs="Times New Roman"/>
          <w:sz w:val="24"/>
          <w:szCs w:val="24"/>
        </w:rPr>
        <w:t>The inability to clear the antigenic stimulus and thus turn off the inflammatory response ultimately leads to the hypercytokinemia characteristic of HLH</w:t>
      </w:r>
      <w:r>
        <w:rPr>
          <w:rFonts w:ascii="Times New Roman" w:hAnsi="Times New Roman" w:cs="Times New Roman"/>
          <w:sz w:val="24"/>
          <w:szCs w:val="24"/>
        </w:rPr>
        <w:t xml:space="preserve"> </w:t>
      </w:r>
      <w:r>
        <w:rPr>
          <w:rFonts w:ascii="Times New Roman" w:hAnsi="Times New Roman" w:cs="Times New Roman"/>
          <w:sz w:val="24"/>
          <w:szCs w:val="24"/>
        </w:rPr>
        <w:fldChar w:fldCharType="begin" w:fldLock="1"/>
      </w:r>
      <w:r w:rsidR="00DF6B0D">
        <w:rPr>
          <w:rFonts w:ascii="Times New Roman" w:hAnsi="Times New Roman" w:cs="Times New Roman"/>
          <w:sz w:val="24"/>
          <w:szCs w:val="24"/>
        </w:rPr>
        <w:instrText>ADDIN CSL_CITATION {"citationItems":[{"id":"ITEM-1","itemData":{"DOI":"10.1002/art.20198","ISSN":"00043591","PMID":"15022306","abstract":"The analysis of pathophysiologic similarities between HLH and MAS leads to the hypothesis that impaired cytotoxic functions and the lack of an immunoregulatory role of NK cells are relevant to the development of both syndromes. It appears likely that an intrinsic cytolytic defect is responsible for the failure to down-regulate cellular immune responses triggered by either infection or some other environmental factors. Furthermore, profound NK dysfunction may be a feature that distinguishes systemic JRA from other clinical forms of JRA as well as other rheumatic conditions. If this hypothesis were proven, it would explain the increased incidence of MAS in patients with systemic-onset JRA and provide a basis for further mechanistic studies of MAS and HLH. Both conditions are rare; therefore, cooperative efforts from pediatric rheumatologists in the US and around the world will be necessary to better understand the nature of MAS and its relationship to other HLH syndromes.","author":[{"dropping-particle":"","family":"Grom","given":"Alexei A.","non-dropping-particle":"","parse-names":false,"suffix":""}],"container-title":"Arthritis and Rheumatism","id":"ITEM-1","issue":"3","issued":{"date-parts":[["2004","3"]]},"page":"689-698","publisher":"Arthritis Rheum","title":"Natural Killer Cell Dysfunction: A Common Pathway in Systemic-Onset Juvenile Rheumatoid Arthritis, Macrophage Activation Syndrome, and Hemophagocytic Lymphohistiocytosis?","type":"article","volume":"50"},"uris":["http://www.mendeley.com/documents/?uuid=9c86b478-3839-38d4-a3b7-0e7160178b3b"]}],"mendeley":{"formattedCitation":"[28]","plainTextFormattedCitation":"[28]","previouslyFormattedCitation":"&lt;sup&gt;28&lt;/sup&gt;"},"properties":{"noteIndex":0},"schema":"https://github.com/citation-style-language/schema/raw/master/csl-citation.json"}</w:instrText>
      </w:r>
      <w:r>
        <w:rPr>
          <w:rFonts w:ascii="Times New Roman" w:hAnsi="Times New Roman" w:cs="Times New Roman"/>
          <w:sz w:val="24"/>
          <w:szCs w:val="24"/>
        </w:rPr>
        <w:fldChar w:fldCharType="separate"/>
      </w:r>
      <w:r w:rsidR="00DF6B0D" w:rsidRPr="00DF6B0D">
        <w:rPr>
          <w:rFonts w:ascii="Times New Roman" w:hAnsi="Times New Roman" w:cs="Times New Roman"/>
          <w:noProof/>
          <w:sz w:val="24"/>
          <w:szCs w:val="24"/>
        </w:rPr>
        <w:t>[28]</w:t>
      </w:r>
      <w:r>
        <w:rPr>
          <w:rFonts w:ascii="Times New Roman" w:hAnsi="Times New Roman" w:cs="Times New Roman"/>
          <w:sz w:val="24"/>
          <w:szCs w:val="24"/>
        </w:rPr>
        <w:fldChar w:fldCharType="end"/>
      </w:r>
      <w:r>
        <w:rPr>
          <w:rFonts w:ascii="Times New Roman" w:hAnsi="Times New Roman" w:cs="Times New Roman"/>
          <w:sz w:val="24"/>
          <w:szCs w:val="24"/>
        </w:rPr>
        <w:t xml:space="preserve">. </w:t>
      </w:r>
      <w:r w:rsidRPr="00DB1067">
        <w:rPr>
          <w:rFonts w:ascii="Times New Roman" w:hAnsi="Times New Roman" w:cs="Times New Roman"/>
          <w:sz w:val="24"/>
          <w:szCs w:val="24"/>
        </w:rPr>
        <w:t xml:space="preserve">If antigen removal is inefficient, as in individuals with HLH-causing mutations in the cytotoxic pathway, the inflammatory stimulus will not be terminated, resulting in a final common pathway </w:t>
      </w:r>
      <w:r>
        <w:rPr>
          <w:rFonts w:ascii="Times New Roman" w:hAnsi="Times New Roman" w:cs="Times New Roman"/>
          <w:sz w:val="24"/>
          <w:szCs w:val="24"/>
        </w:rPr>
        <w:t>of</w:t>
      </w:r>
      <w:r w:rsidRPr="00DB1067">
        <w:rPr>
          <w:rFonts w:ascii="Times New Roman" w:hAnsi="Times New Roman" w:cs="Times New Roman"/>
          <w:sz w:val="24"/>
          <w:szCs w:val="24"/>
        </w:rPr>
        <w:t xml:space="preserve"> HLH</w:t>
      </w:r>
      <w:r>
        <w:rPr>
          <w:rFonts w:ascii="Times New Roman" w:hAnsi="Times New Roman" w:cs="Times New Roman"/>
          <w:sz w:val="24"/>
          <w:szCs w:val="24"/>
        </w:rPr>
        <w:t xml:space="preserve"> with </w:t>
      </w:r>
      <w:r w:rsidRPr="00DB1067">
        <w:rPr>
          <w:rFonts w:ascii="Times New Roman" w:hAnsi="Times New Roman" w:cs="Times New Roman"/>
          <w:sz w:val="24"/>
          <w:szCs w:val="24"/>
        </w:rPr>
        <w:t>uncontrolled hypercytokinemia</w:t>
      </w:r>
      <w:r>
        <w:rPr>
          <w:rFonts w:ascii="Times New Roman" w:hAnsi="Times New Roman" w:cs="Times New Roman"/>
          <w:sz w:val="24"/>
          <w:szCs w:val="24"/>
        </w:rPr>
        <w:t xml:space="preserve">, </w:t>
      </w:r>
      <w:r w:rsidRPr="00DB1067">
        <w:rPr>
          <w:rFonts w:ascii="Times New Roman" w:hAnsi="Times New Roman" w:cs="Times New Roman"/>
          <w:sz w:val="24"/>
          <w:szCs w:val="24"/>
        </w:rPr>
        <w:t>sustained macrophage activation and tissue infiltration</w:t>
      </w:r>
      <w:r>
        <w:rPr>
          <w:rFonts w:ascii="Times New Roman" w:hAnsi="Times New Roman" w:cs="Times New Roman"/>
          <w:sz w:val="24"/>
          <w:szCs w:val="24"/>
        </w:rPr>
        <w:t xml:space="preserve"> </w:t>
      </w:r>
      <w:r>
        <w:rPr>
          <w:rFonts w:ascii="Times New Roman" w:hAnsi="Times New Roman" w:cs="Times New Roman"/>
          <w:sz w:val="24"/>
          <w:szCs w:val="24"/>
        </w:rPr>
        <w:fldChar w:fldCharType="begin" w:fldLock="1"/>
      </w:r>
      <w:r w:rsidR="00DF6B0D">
        <w:rPr>
          <w:rFonts w:ascii="Times New Roman" w:hAnsi="Times New Roman" w:cs="Times New Roman"/>
          <w:sz w:val="24"/>
          <w:szCs w:val="24"/>
        </w:rPr>
        <w:instrText>ADDIN CSL_CITATION {"citationItems":[{"id":"ITEM-1","itemData":{"DOI":"10.1046/j.1365-2141.2001.02936.x","ISSN":"00071048","PMID":"11564062","author":[{"dropping-particle":"","family":"Aricò","given":"M.","non-dropping-particle":"","parse-names":false,"suffix":""},{"dropping-particle":"","family":"Danesino","given":"C.","non-dropping-particle":"","parse-names":false,"suffix":""},{"dropping-particle":"","family":"Pende","given":"D.","non-dropping-particle":"","parse-names":false,"suffix":""},{"dropping-particle":"","family":"Moretta","given":"L.","non-dropping-particle":"","parse-names":false,"suffix":""}],"container-title":"British Journal of Haematology","id":"ITEM-1","issue":"4","issued":{"date-parts":[["2001"]]},"page":"761-769","publisher":"Br J Haematol","title":"Pathogenesis of haemophagocytic lymphohistiocytosis","type":"article","volume":"114"},"uris":["http://www.mendeley.com/documents/?uuid=e712af65-83b8-3154-8384-7e7d094278c6"]},{"id":"ITEM-2","itemData":{"DOI":"10.1002/art.20198","ISSN":"00043591","PMID":"15022306","abstract":"The analysis of pathophysiologic similarities between HLH and MAS leads to the hypothesis that impaired cytotoxic functions and the lack of an immunoregulatory role of NK cells are relevant to the development of both syndromes. It appears likely that an intrinsic cytolytic defect is responsible for the failure to down-regulate cellular immune responses triggered by either infection or some other environmental factors. Furthermore, profound NK dysfunction may be a feature that distinguishes systemic JRA from other clinical forms of JRA as well as other rheumatic conditions. If this hypothesis were proven, it would explain the increased incidence of MAS in patients with systemic-onset JRA and provide a basis for further mechanistic studies of MAS and HLH. Both conditions are rare; therefore, cooperative efforts from pediatric rheumatologists in the US and around the world will be necessary to better understand the nature of MAS and its relationship to other HLH syndromes.","author":[{"dropping-particle":"","family":"Grom","given":"Alexei A.","non-dropping-particle":"","parse-names":false,"suffix":""}],"container-title":"Arthritis and Rheumatism","id":"ITEM-2","issue":"3","issued":{"date-parts":[["2004","3"]]},"page":"689-698","publisher":"Arthritis Rheum","title":"Natural Killer Cell Dysfunction: A Common Pathway in Systemic-Onset Juvenile Rheumatoid Arthritis, Macrophage Activation Syndrome, and Hemophagocytic Lymphohistiocytosis?","type":"article","volume":"50"},"uris":["http://www.mendeley.com/documents/?uuid=9c86b478-3839-38d4-a3b7-0e7160178b3b"]},{"id":"ITEM-3","itemData":{"DOI":"10.1182/blood-2003-10-3413","ISSN":"00064971","PMID":"15069016","abstract":"Hemophagocytic lymphohistiocytosis (HLH) is a rare disorder with familial and acquired forms. The familial form is associated with mutations in the perforin gene and both forms are associated with severe defects in lymphocyte cytotoxic function. We examined perforin-deficient mice as a model of HLH in order to gain insight into this poorly understood disorder. While these mice do not spontaneously develop HLH-like symptoms, we found that they manifest all of the features of HLH after infection with lymphocytic choriomeningitic virus (LCMV). Following LCMV infection, perforin-deficient mice develop fever, splenomegaly, pancytopenia, hypertriglyceridemia, hypofibrinogenemia, and elevation of multiple serum cytokine levels, and hemophagocytosis is evident in many tissues. Investigation into how this phenotype develops has revealed that CD8+ T cells, but not natural killer (NK) cells, are necessary for the development of this disorder. Cytokine neutralization studies have revealed that interferon gamma (IFNγ) is uniquely essential as well. Finally, the excessive amount of IFNγ seen in affected mice appears to be driven by increased antigen presentation to CD8+ T cells. These studies provide insight into the pathophysiology of HLH, and provide new targets for specific therapeutic intervention in this fatal disorder. © 2004 by The American Society of Hematology.","author":[{"dropping-particle":"","family":"Jordan","given":"Michael B.","non-dropping-particle":"","parse-names":false,"suffix":""},{"dropping-particle":"","family":"Hildeman","given":"David","non-dropping-particle":"","parse-names":false,"suffix":""},{"dropping-particle":"","family":"Kappler","given":"John","non-dropping-particle":"","parse-names":false,"suffix":""},{"dropping-particle":"","family":"Marrack","given":"Philippa","non-dropping-particle":"","parse-names":false,"suffix":""}],"container-title":"Blood","id":"ITEM-3","issue":"3","issued":{"date-parts":[["2004","8","1"]]},"page":"735-743","publisher":"Blood","title":"An animal model of hemophagocytic lymphohistiocytosis (HLH): CD8 + T cells and interferon gamma are essential for the disorder","type":"article-journal","volume":"104"},"uris":["http://www.mendeley.com/documents/?uuid=4ae164fc-8b1b-356e-b780-a1976cc2ff65"]}],"mendeley":{"formattedCitation":"[28–30]","plainTextFormattedCitation":"[28–30]","previouslyFormattedCitation":"&lt;sup&gt;28–30&lt;/sup&gt;"},"properties":{"noteIndex":0},"schema":"https://github.com/citation-style-language/schema/raw/master/csl-citation.json"}</w:instrText>
      </w:r>
      <w:r>
        <w:rPr>
          <w:rFonts w:ascii="Times New Roman" w:hAnsi="Times New Roman" w:cs="Times New Roman"/>
          <w:sz w:val="24"/>
          <w:szCs w:val="24"/>
        </w:rPr>
        <w:fldChar w:fldCharType="separate"/>
      </w:r>
      <w:r w:rsidR="00DF6B0D" w:rsidRPr="00DF6B0D">
        <w:rPr>
          <w:rFonts w:ascii="Times New Roman" w:hAnsi="Times New Roman" w:cs="Times New Roman"/>
          <w:noProof/>
          <w:sz w:val="24"/>
          <w:szCs w:val="24"/>
        </w:rPr>
        <w:t>[28–30]</w:t>
      </w:r>
      <w:r>
        <w:rPr>
          <w:rFonts w:ascii="Times New Roman" w:hAnsi="Times New Roman" w:cs="Times New Roman"/>
          <w:sz w:val="24"/>
          <w:szCs w:val="24"/>
        </w:rPr>
        <w:fldChar w:fldCharType="end"/>
      </w:r>
      <w:r>
        <w:rPr>
          <w:rFonts w:ascii="Times New Roman" w:hAnsi="Times New Roman" w:cs="Times New Roman"/>
          <w:sz w:val="24"/>
          <w:szCs w:val="24"/>
        </w:rPr>
        <w:t>.</w:t>
      </w:r>
    </w:p>
    <w:p w14:paraId="142DDDA1" w14:textId="53CE4708" w:rsidR="00412AB4" w:rsidRDefault="00DB1067" w:rsidP="00412AB4">
      <w:pPr>
        <w:autoSpaceDE w:val="0"/>
        <w:autoSpaceDN w:val="0"/>
        <w:adjustRightInd w:val="0"/>
        <w:spacing w:after="240" w:line="276" w:lineRule="auto"/>
        <w:rPr>
          <w:rFonts w:ascii="Times New Roman" w:hAnsi="Times New Roman" w:cs="Times New Roman"/>
          <w:sz w:val="24"/>
          <w:szCs w:val="24"/>
        </w:rPr>
      </w:pPr>
      <w:r>
        <w:rPr>
          <w:rFonts w:ascii="Times New Roman" w:hAnsi="Times New Roman" w:cs="Times New Roman"/>
          <w:sz w:val="24"/>
          <w:szCs w:val="24"/>
        </w:rPr>
        <w:t>T</w:t>
      </w:r>
      <w:r w:rsidRPr="00DB1067">
        <w:rPr>
          <w:rFonts w:ascii="Times New Roman" w:hAnsi="Times New Roman" w:cs="Times New Roman"/>
          <w:sz w:val="24"/>
          <w:szCs w:val="24"/>
        </w:rPr>
        <w:t>he clinical features of HLH appear to be due to CD8+</w:t>
      </w:r>
      <w:r>
        <w:rPr>
          <w:rFonts w:ascii="Times New Roman" w:hAnsi="Times New Roman" w:cs="Times New Roman"/>
          <w:sz w:val="24"/>
          <w:szCs w:val="24"/>
        </w:rPr>
        <w:t xml:space="preserve"> </w:t>
      </w:r>
      <w:r w:rsidRPr="00DB1067">
        <w:rPr>
          <w:rFonts w:ascii="Times New Roman" w:hAnsi="Times New Roman" w:cs="Times New Roman"/>
          <w:sz w:val="24"/>
          <w:szCs w:val="24"/>
        </w:rPr>
        <w:t>T-cell expansion, activation and infiltration of visceral organs associated with macrophage activation and the release of multiple</w:t>
      </w:r>
      <w:r>
        <w:rPr>
          <w:rFonts w:ascii="Times New Roman" w:hAnsi="Times New Roman" w:cs="Times New Roman"/>
          <w:sz w:val="24"/>
          <w:szCs w:val="24"/>
        </w:rPr>
        <w:t xml:space="preserve"> </w:t>
      </w:r>
      <w:r w:rsidRPr="00DB1067">
        <w:rPr>
          <w:rFonts w:ascii="Times New Roman" w:hAnsi="Times New Roman" w:cs="Times New Roman"/>
          <w:sz w:val="24"/>
          <w:szCs w:val="24"/>
        </w:rPr>
        <w:t>cytokines and chemokines</w:t>
      </w:r>
      <w:r>
        <w:rPr>
          <w:rFonts w:ascii="Times New Roman" w:hAnsi="Times New Roman" w:cs="Times New Roman"/>
          <w:sz w:val="24"/>
          <w:szCs w:val="24"/>
        </w:rPr>
        <w:t xml:space="preserve"> </w:t>
      </w:r>
      <w:r>
        <w:rPr>
          <w:rFonts w:ascii="Times New Roman" w:hAnsi="Times New Roman" w:cs="Times New Roman"/>
          <w:sz w:val="24"/>
          <w:szCs w:val="24"/>
        </w:rPr>
        <w:fldChar w:fldCharType="begin" w:fldLock="1"/>
      </w:r>
      <w:r w:rsidR="00DF6B0D">
        <w:rPr>
          <w:rFonts w:ascii="Times New Roman" w:hAnsi="Times New Roman" w:cs="Times New Roman"/>
          <w:sz w:val="24"/>
          <w:szCs w:val="24"/>
        </w:rPr>
        <w:instrText>ADDIN CSL_CITATION {"citationItems":[{"id":"ITEM-1","itemData":{"DOI":"10.1586/eci.09.58","ISSN":"1744666X","PMID":"20383897","abstract":"Hemophagocytic lymphohistiocytosis (HLH) is a potentially fatal hyperinflammatory syndrome with prolonged high fever, hepatosplenomegaly and characteristic laboratory findings. HLH may be inherited (primary) or may be secondary to any severe infection, malignancy or rheumatologic condition. The last several years have witnessed an explosion in our understanding of HLH. Of the inherited causes for which the underlying genetic cause is known, most involve abnormalities of proteins important in the exocytosis cytolytic pathway, whereby perforin and granzymes are delivered to a target cell to induce apoptosis. The exact mechanisms underlying this process remain unclear. However, when a known genetic defect is not present, the diagnosis of HLH is still made on a constellation of clinical features and good clinical judgment. Rapid diagnosis is crucial, as early therapy with immunosuppressive agents and/or proapoptotic chemotherapy can be life-saving. This article examines recent advances in our understanding of the pathophysiology, clinical features, diagnosis, etiology and treatment of HLH, as well as the challenges that lie ahead. © 2010 Expert Reviews Ltd.","author":[{"dropping-particle":"","family":"Gupta","given":"Sumit","non-dropping-particle":"","parse-names":false,"suffix":""},{"dropping-particle":"","family":"Weitzman","given":"Sheila","non-dropping-particle":"","parse-names":false,"suffix":""}],"container-title":"Expert Review of Clinical Immunology","id":"ITEM-1","issue":"1","issued":{"date-parts":[["2010"]]},"page":"137-154","title":"Primary and secondary hemophagocytic lymphohistiocytosis: Clinical features, pathogenesis and therapy","type":"article-journal","volume":"6"},"uris":["http://www.mendeley.com/documents/?uuid=9cd6e259-e9b2-468f-a0fc-a9a2de36e049"]}],"mendeley":{"formattedCitation":"[2]","plainTextFormattedCitation":"[2]","previouslyFormattedCitation":"&lt;sup&gt;2&lt;/sup&gt;"},"properties":{"noteIndex":0},"schema":"https://github.com/citation-style-language/schema/raw/master/csl-citation.json"}</w:instrText>
      </w:r>
      <w:r>
        <w:rPr>
          <w:rFonts w:ascii="Times New Roman" w:hAnsi="Times New Roman" w:cs="Times New Roman"/>
          <w:sz w:val="24"/>
          <w:szCs w:val="24"/>
        </w:rPr>
        <w:fldChar w:fldCharType="separate"/>
      </w:r>
      <w:r w:rsidR="00DF6B0D" w:rsidRPr="00DF6B0D">
        <w:rPr>
          <w:rFonts w:ascii="Times New Roman" w:hAnsi="Times New Roman" w:cs="Times New Roman"/>
          <w:noProof/>
          <w:sz w:val="24"/>
          <w:szCs w:val="24"/>
        </w:rPr>
        <w:t>[2]</w:t>
      </w:r>
      <w:r>
        <w:rPr>
          <w:rFonts w:ascii="Times New Roman" w:hAnsi="Times New Roman" w:cs="Times New Roman"/>
          <w:sz w:val="24"/>
          <w:szCs w:val="24"/>
        </w:rPr>
        <w:fldChar w:fldCharType="end"/>
      </w:r>
      <w:r w:rsidRPr="00DB1067">
        <w:rPr>
          <w:rFonts w:ascii="Times New Roman" w:hAnsi="Times New Roman" w:cs="Times New Roman"/>
          <w:sz w:val="24"/>
          <w:szCs w:val="24"/>
        </w:rPr>
        <w:t>.</w:t>
      </w:r>
      <w:r>
        <w:rPr>
          <w:rFonts w:ascii="Times New Roman" w:hAnsi="Times New Roman" w:cs="Times New Roman"/>
          <w:sz w:val="24"/>
          <w:szCs w:val="24"/>
        </w:rPr>
        <w:t xml:space="preserve"> The i</w:t>
      </w:r>
      <w:r w:rsidRPr="00DB1067">
        <w:rPr>
          <w:rFonts w:ascii="Times New Roman" w:hAnsi="Times New Roman" w:cs="Times New Roman"/>
          <w:sz w:val="24"/>
          <w:szCs w:val="24"/>
        </w:rPr>
        <w:t>nitial symptoms of HLH are nonspecific and may overlap with other inflammatory or hematopoietic diseases</w:t>
      </w:r>
      <w:r w:rsidR="00A425DA">
        <w:rPr>
          <w:rFonts w:ascii="Times New Roman" w:hAnsi="Times New Roman" w:cs="Times New Roman"/>
          <w:sz w:val="24"/>
          <w:szCs w:val="24"/>
        </w:rPr>
        <w:t>,</w:t>
      </w:r>
      <w:r>
        <w:rPr>
          <w:rFonts w:ascii="Times New Roman" w:hAnsi="Times New Roman" w:cs="Times New Roman"/>
          <w:sz w:val="24"/>
          <w:szCs w:val="24"/>
        </w:rPr>
        <w:t xml:space="preserve"> and </w:t>
      </w:r>
      <w:r w:rsidR="001022E5">
        <w:rPr>
          <w:rFonts w:ascii="Times New Roman" w:hAnsi="Times New Roman" w:cs="Times New Roman"/>
          <w:sz w:val="24"/>
          <w:szCs w:val="24"/>
        </w:rPr>
        <w:t xml:space="preserve">the </w:t>
      </w:r>
      <w:r w:rsidR="00770E87" w:rsidRPr="00E00B7F">
        <w:rPr>
          <w:rFonts w:ascii="Times New Roman" w:hAnsi="Times New Roman" w:cs="Times New Roman"/>
          <w:sz w:val="24"/>
          <w:szCs w:val="24"/>
        </w:rPr>
        <w:t>diagnos</w:t>
      </w:r>
      <w:r w:rsidR="001022E5">
        <w:rPr>
          <w:rFonts w:ascii="Times New Roman" w:hAnsi="Times New Roman" w:cs="Times New Roman"/>
          <w:sz w:val="24"/>
          <w:szCs w:val="24"/>
        </w:rPr>
        <w:t>is of HLH is</w:t>
      </w:r>
      <w:r w:rsidR="00770E87" w:rsidRPr="00E00B7F">
        <w:rPr>
          <w:rFonts w:ascii="Times New Roman" w:hAnsi="Times New Roman" w:cs="Times New Roman"/>
          <w:sz w:val="24"/>
          <w:szCs w:val="24"/>
        </w:rPr>
        <w:t xml:space="preserve"> based on</w:t>
      </w:r>
      <w:r w:rsidR="001022E5">
        <w:rPr>
          <w:rFonts w:ascii="Times New Roman" w:hAnsi="Times New Roman" w:cs="Times New Roman"/>
          <w:sz w:val="24"/>
          <w:szCs w:val="24"/>
        </w:rPr>
        <w:t xml:space="preserve"> the</w:t>
      </w:r>
      <w:r w:rsidR="00770E87" w:rsidRPr="00E00B7F">
        <w:rPr>
          <w:rFonts w:ascii="Times New Roman" w:hAnsi="Times New Roman" w:cs="Times New Roman"/>
          <w:sz w:val="24"/>
          <w:szCs w:val="24"/>
        </w:rPr>
        <w:t xml:space="preserve"> </w:t>
      </w:r>
      <w:r>
        <w:rPr>
          <w:rFonts w:ascii="Times New Roman" w:hAnsi="Times New Roman" w:cs="Times New Roman"/>
          <w:sz w:val="24"/>
          <w:szCs w:val="24"/>
        </w:rPr>
        <w:lastRenderedPageBreak/>
        <w:t xml:space="preserve">diagnostic criteria as revised for HLH-2004 </w:t>
      </w:r>
      <w:r>
        <w:rPr>
          <w:rFonts w:ascii="Times New Roman" w:hAnsi="Times New Roman" w:cs="Times New Roman"/>
          <w:sz w:val="24"/>
          <w:szCs w:val="24"/>
        </w:rPr>
        <w:fldChar w:fldCharType="begin" w:fldLock="1"/>
      </w:r>
      <w:r w:rsidR="00DF6B0D">
        <w:rPr>
          <w:rFonts w:ascii="Times New Roman" w:hAnsi="Times New Roman" w:cs="Times New Roman"/>
          <w:sz w:val="24"/>
          <w:szCs w:val="24"/>
        </w:rPr>
        <w:instrText>ADDIN CSL_CITATION {"citationItems":[{"id":"ITEM-1","itemData":{"DOI":"10.1002/pbc.27929","ISSN":"15455017","PMID":"31339233","abstract":"Hemophagocytic lymphohistiocytosis (HLH) is a syndrome of pathologic immune activation, often associated with genetic defects of lymphocyte cytotoxicity. Though a distinctive constellation of features has been described for HLH, diagnosis remains challenging as patients have diverse presentations associated with a variety of triggers. We propose two concepts to clarify how HLH is diagnosed and treated: within the broader syndrome of HLH, “HLH disease” should be distinguished from “HLH disease mimics” and HLH subtypes should be categorized by specific etiologic associations, not the ambiguous dichotomy of “primary” and “secondary.” We provide expert-based advice regarding the diagnosis and initiation of treatment for patients with HLH, rooted in improved understanding of its pathophysiology.","author":[{"dropping-particle":"","family":"Jordan","given":"Michael B.","non-dropping-particle":"","parse-names":false,"suffix":""},{"dropping-particle":"","family":"Allen","given":"Carl E.","non-dropping-particle":"","parse-names":false,"suffix":""},{"dropping-particle":"","family":"Greenberg","given":"Jay","non-dropping-particle":"","parse-names":false,"suffix":""},{"dropping-particle":"","family":"Henry","given":"Michael","non-dropping-particle":"","parse-names":false,"suffix":""},{"dropping-particle":"","family":"Hermiston","given":"Michelle L.","non-dropping-particle":"","parse-names":false,"suffix":""},{"dropping-particle":"","family":"Kumar","given":"Ashish","non-dropping-particle":"","parse-names":false,"suffix":""},{"dropping-particle":"","family":"Hines","given":"Melissa","non-dropping-particle":"","parse-names":false,"suffix":""},{"dropping-particle":"","family":"Eckstein","given":"Olive","non-dropping-particle":"","parse-names":false,"suffix":""},{"dropping-particle":"","family":"Ladisch","given":"Stephan","non-dropping-particle":"","parse-names":false,"suffix":""},{"dropping-particle":"","family":"Nichols","given":"Kim E.","non-dropping-particle":"","parse-names":false,"suffix":""},{"dropping-particle":"","family":"Rodriguez-Galindo","given":"Carlos","non-dropping-particle":"","parse-names":false,"suffix":""},{"dropping-particle":"","family":"Wistinghausen","given":"Birte","non-dropping-particle":"","parse-names":false,"suffix":""},{"dropping-particle":"","family":"McClain","given":"Kenneth L.","non-dropping-particle":"","parse-names":false,"suffix":""}],"container-title":"Pediatric Blood and Cancer","id":"ITEM-1","issue":"11","issued":{"date-parts":[["2019","11","1"]]},"publisher":"John Wiley and Sons Inc.","title":"Challenges in the diagnosis of hemophagocytic lymphohistiocytosis: Recommendations from the North American Consortium for Histiocytosis (NACHO)","type":"article","volume":"66"},"uris":["http://www.mendeley.com/documents/?uuid=da198c73-65fd-3f05-9a41-f46c9fe40426"]},{"id":"ITEM-2","itemData":{"DOI":"10.1002/pbc.21039","ISSN":"15455009","PMID":"16937360","abstract":"In HLH-94, the first prospective international treatment study for hemophagocytic lymphohistiocytosis (HLH), diagnosis was based on five criteria (fever, splenomegaly, bicytopenia, hypertriglyceridemia and/or hypofibrinogenemia, and hemophagocytosis). In HLH-2004 three additional criteria are introduced; low/absent NK-cell-activity, hyperferritinemia, and high-soluble interleukin-2-receptor levels. Altogether five of these eight criteria must be fulfilled, unless family history or molecular diagnosis is consistent with HLH. HLH-2004 chemo-immunotherapy includes etoposide, dexamethasone, cyclosporine A upfront and, in selected patients, intrathecal therapy with methotrexate and corticosteroids. Subsequent hematopoietic stem cell transplantation (HSCT) is recommended for patients with familial disease or molecular diagnosis, and patients with severe and persistent, or reactivated, disease. In order to hopefully further improve diagnosis, therapy and biological understanding, participation in HLH studies is encouraged. © 2006 Wiley-Liss, Inc.","author":[{"dropping-particle":"","family":"Henter","given":"Jan Inge","non-dropping-particle":"","parse-names":false,"suffix":""},{"dropping-particle":"","family":"Horne","given":"Anna Carin","non-dropping-particle":"","parse-names":false,"suffix":""},{"dropping-particle":"","family":"Aricó","given":"Maurizio","non-dropping-particle":"","parse-names":false,"suffix":""},{"dropping-particle":"","family":"Egeler","given":"R. Maarten","non-dropping-particle":"","parse-names":false,"suffix":""},{"dropping-particle":"","family":"Filipovich","given":"Alexandra H.","non-dropping-particle":"","parse-names":false,"suffix":""},{"dropping-particle":"","family":"Imashuku","given":"Shinsaku","non-dropping-particle":"","parse-names":false,"suffix":""},{"dropping-particle":"","family":"Ladisch","given":"Stephan","non-dropping-particle":"","parse-names":false,"suffix":""},{"dropping-particle":"","family":"McClain","given":"Ken","non-dropping-particle":"","parse-names":false,"suffix":""},{"dropping-particle":"","family":"Webb","given":"David","non-dropping-particle":"","parse-names":false,"suffix":""},{"dropping-particle":"","family":"Winiarski","given":"Jacek","non-dropping-particle":"","parse-names":false,"suffix":""},{"dropping-particle":"","family":"Janka","given":"Gritta","non-dropping-particle":"","parse-names":false,"suffix":""}],"container-title":"Pediatric Blood and Cancer","id":"ITEM-2","issue":"2","issued":{"date-parts":[["2007","2"]]},"page":"124-131","publisher":"Pediatr Blood Cancer","title":"HLH-2004: Diagnostic and therapeutic guidelines for hemophagocytic lymphohistiocytosis","type":"article","volume":"48"},"uris":["http://www.mendeley.com/documents/?uuid=36e2cb75-1f4a-3d29-9939-4ec81c79925f"]}],"mendeley":{"formattedCitation":"[7,31]","plainTextFormattedCitation":"[7,31]","previouslyFormattedCitation":"&lt;sup&gt;7,31&lt;/sup&gt;"},"properties":{"noteIndex":0},"schema":"https://github.com/citation-style-language/schema/raw/master/csl-citation.json"}</w:instrText>
      </w:r>
      <w:r>
        <w:rPr>
          <w:rFonts w:ascii="Times New Roman" w:hAnsi="Times New Roman" w:cs="Times New Roman"/>
          <w:sz w:val="24"/>
          <w:szCs w:val="24"/>
        </w:rPr>
        <w:fldChar w:fldCharType="separate"/>
      </w:r>
      <w:r w:rsidR="00DF6B0D" w:rsidRPr="00DF6B0D">
        <w:rPr>
          <w:rFonts w:ascii="Times New Roman" w:hAnsi="Times New Roman" w:cs="Times New Roman"/>
          <w:noProof/>
          <w:sz w:val="24"/>
          <w:szCs w:val="24"/>
        </w:rPr>
        <w:t>[7,31]</w:t>
      </w:r>
      <w:r>
        <w:rPr>
          <w:rFonts w:ascii="Times New Roman" w:hAnsi="Times New Roman" w:cs="Times New Roman"/>
          <w:sz w:val="24"/>
          <w:szCs w:val="24"/>
        </w:rPr>
        <w:fldChar w:fldCharType="end"/>
      </w:r>
      <w:r w:rsidR="00770E87" w:rsidRPr="00E00B7F">
        <w:rPr>
          <w:rFonts w:ascii="Times New Roman" w:hAnsi="Times New Roman" w:cs="Times New Roman"/>
          <w:sz w:val="24"/>
          <w:szCs w:val="24"/>
        </w:rPr>
        <w:t xml:space="preserve">. </w:t>
      </w:r>
      <w:r w:rsidR="001022E5">
        <w:rPr>
          <w:rFonts w:ascii="Times New Roman" w:hAnsi="Times New Roman" w:cs="Times New Roman"/>
          <w:sz w:val="24"/>
          <w:szCs w:val="24"/>
        </w:rPr>
        <w:t>According to HLH-2004, t</w:t>
      </w:r>
      <w:r>
        <w:rPr>
          <w:rFonts w:ascii="Times New Roman" w:hAnsi="Times New Roman" w:cs="Times New Roman"/>
          <w:sz w:val="24"/>
          <w:szCs w:val="24"/>
        </w:rPr>
        <w:t xml:space="preserve">here are two main criteria; Criterion 1 and Criterion 2. </w:t>
      </w:r>
      <w:r w:rsidRPr="00DB1067">
        <w:rPr>
          <w:rFonts w:ascii="Times New Roman" w:hAnsi="Times New Roman" w:cs="Times New Roman"/>
          <w:sz w:val="24"/>
          <w:szCs w:val="24"/>
        </w:rPr>
        <w:t xml:space="preserve">The diagnosis of HLH can be established if Criterion 1 or 2 is fulfilled. </w:t>
      </w:r>
      <w:r>
        <w:rPr>
          <w:rFonts w:ascii="Times New Roman" w:hAnsi="Times New Roman" w:cs="Times New Roman"/>
          <w:sz w:val="24"/>
          <w:szCs w:val="24"/>
        </w:rPr>
        <w:t xml:space="preserve">Criterion </w:t>
      </w:r>
      <w:r w:rsidRPr="00DB1067">
        <w:rPr>
          <w:rFonts w:ascii="Times New Roman" w:hAnsi="Times New Roman" w:cs="Times New Roman"/>
          <w:sz w:val="24"/>
          <w:szCs w:val="24"/>
        </w:rPr>
        <w:t>1</w:t>
      </w:r>
      <w:r>
        <w:rPr>
          <w:rFonts w:ascii="Times New Roman" w:hAnsi="Times New Roman" w:cs="Times New Roman"/>
          <w:sz w:val="24"/>
          <w:szCs w:val="24"/>
        </w:rPr>
        <w:t xml:space="preserve"> </w:t>
      </w:r>
      <w:r w:rsidR="00A425DA">
        <w:rPr>
          <w:rFonts w:ascii="Times New Roman" w:hAnsi="Times New Roman" w:cs="Times New Roman"/>
          <w:sz w:val="24"/>
          <w:szCs w:val="24"/>
        </w:rPr>
        <w:t>i</w:t>
      </w:r>
      <w:r>
        <w:rPr>
          <w:rFonts w:ascii="Times New Roman" w:hAnsi="Times New Roman" w:cs="Times New Roman"/>
          <w:sz w:val="24"/>
          <w:szCs w:val="24"/>
        </w:rPr>
        <w:t>ncludes</w:t>
      </w:r>
      <w:r w:rsidRPr="00DB1067">
        <w:rPr>
          <w:rFonts w:ascii="Times New Roman" w:hAnsi="Times New Roman" w:cs="Times New Roman"/>
          <w:sz w:val="24"/>
          <w:szCs w:val="24"/>
        </w:rPr>
        <w:t xml:space="preserve"> </w:t>
      </w:r>
      <w:r>
        <w:rPr>
          <w:rFonts w:ascii="Times New Roman" w:hAnsi="Times New Roman" w:cs="Times New Roman"/>
          <w:sz w:val="24"/>
          <w:szCs w:val="24"/>
        </w:rPr>
        <w:t>a</w:t>
      </w:r>
      <w:r w:rsidRPr="00DB1067">
        <w:rPr>
          <w:rFonts w:ascii="Times New Roman" w:hAnsi="Times New Roman" w:cs="Times New Roman"/>
          <w:sz w:val="24"/>
          <w:szCs w:val="24"/>
        </w:rPr>
        <w:t xml:space="preserve"> molecular diagnosis consistent with HLH.</w:t>
      </w:r>
      <w:r>
        <w:rPr>
          <w:rFonts w:ascii="Times New Roman" w:hAnsi="Times New Roman" w:cs="Times New Roman"/>
          <w:sz w:val="24"/>
          <w:szCs w:val="24"/>
        </w:rPr>
        <w:t xml:space="preserve"> The Criterion 2 includes</w:t>
      </w:r>
      <w:r w:rsidRPr="00DB1067">
        <w:rPr>
          <w:rFonts w:ascii="Times New Roman" w:hAnsi="Times New Roman" w:cs="Times New Roman"/>
          <w:sz w:val="24"/>
          <w:szCs w:val="24"/>
        </w:rPr>
        <w:t xml:space="preserve"> </w:t>
      </w:r>
      <w:r w:rsidR="001022E5">
        <w:rPr>
          <w:rFonts w:ascii="Times New Roman" w:hAnsi="Times New Roman" w:cs="Times New Roman"/>
          <w:sz w:val="24"/>
          <w:szCs w:val="24"/>
        </w:rPr>
        <w:t xml:space="preserve">fulfilling </w:t>
      </w:r>
      <w:r w:rsidR="00A425DA">
        <w:rPr>
          <w:rFonts w:ascii="Times New Roman" w:hAnsi="Times New Roman" w:cs="Times New Roman"/>
          <w:sz w:val="24"/>
          <w:szCs w:val="24"/>
        </w:rPr>
        <w:t>five</w:t>
      </w:r>
      <w:r w:rsidRPr="00DB1067">
        <w:rPr>
          <w:rFonts w:ascii="Times New Roman" w:hAnsi="Times New Roman" w:cs="Times New Roman"/>
          <w:sz w:val="24"/>
          <w:szCs w:val="24"/>
        </w:rPr>
        <w:t xml:space="preserve"> </w:t>
      </w:r>
      <w:r w:rsidR="001022E5">
        <w:rPr>
          <w:rFonts w:ascii="Times New Roman" w:hAnsi="Times New Roman" w:cs="Times New Roman"/>
          <w:sz w:val="24"/>
          <w:szCs w:val="24"/>
        </w:rPr>
        <w:t xml:space="preserve">out </w:t>
      </w:r>
      <w:r w:rsidRPr="00DB1067">
        <w:rPr>
          <w:rFonts w:ascii="Times New Roman" w:hAnsi="Times New Roman" w:cs="Times New Roman"/>
          <w:sz w:val="24"/>
          <w:szCs w:val="24"/>
        </w:rPr>
        <w:t xml:space="preserve">of the </w:t>
      </w:r>
      <w:r w:rsidR="00A425DA">
        <w:rPr>
          <w:rFonts w:ascii="Times New Roman" w:hAnsi="Times New Roman" w:cs="Times New Roman"/>
          <w:sz w:val="24"/>
          <w:szCs w:val="24"/>
        </w:rPr>
        <w:t>eight</w:t>
      </w:r>
      <w:r w:rsidRPr="00DB1067">
        <w:rPr>
          <w:rFonts w:ascii="Times New Roman" w:hAnsi="Times New Roman" w:cs="Times New Roman"/>
          <w:sz w:val="24"/>
          <w:szCs w:val="24"/>
        </w:rPr>
        <w:t xml:space="preserve"> criteria</w:t>
      </w:r>
      <w:r w:rsidR="00A425DA">
        <w:rPr>
          <w:rFonts w:ascii="Times New Roman" w:hAnsi="Times New Roman" w:cs="Times New Roman"/>
          <w:sz w:val="24"/>
          <w:szCs w:val="24"/>
        </w:rPr>
        <w:t>, namely</w:t>
      </w:r>
      <w:r w:rsidR="001022E5">
        <w:rPr>
          <w:rFonts w:ascii="Times New Roman" w:hAnsi="Times New Roman" w:cs="Times New Roman"/>
          <w:sz w:val="24"/>
          <w:szCs w:val="24"/>
        </w:rPr>
        <w:t xml:space="preserve"> f</w:t>
      </w:r>
      <w:r w:rsidRPr="00DB1067">
        <w:rPr>
          <w:rFonts w:ascii="Times New Roman" w:hAnsi="Times New Roman" w:cs="Times New Roman"/>
          <w:sz w:val="24"/>
          <w:szCs w:val="24"/>
        </w:rPr>
        <w:t>ever</w:t>
      </w:r>
      <w:r w:rsidR="001022E5">
        <w:rPr>
          <w:rFonts w:ascii="Times New Roman" w:hAnsi="Times New Roman" w:cs="Times New Roman"/>
          <w:sz w:val="24"/>
          <w:szCs w:val="24"/>
        </w:rPr>
        <w:t>, s</w:t>
      </w:r>
      <w:r w:rsidRPr="00DB1067">
        <w:rPr>
          <w:rFonts w:ascii="Times New Roman" w:hAnsi="Times New Roman" w:cs="Times New Roman"/>
          <w:sz w:val="24"/>
          <w:szCs w:val="24"/>
        </w:rPr>
        <w:t>plenomegaly</w:t>
      </w:r>
      <w:r w:rsidR="001022E5">
        <w:rPr>
          <w:rFonts w:ascii="Times New Roman" w:hAnsi="Times New Roman" w:cs="Times New Roman"/>
          <w:sz w:val="24"/>
          <w:szCs w:val="24"/>
        </w:rPr>
        <w:t>,</w:t>
      </w:r>
      <w:r w:rsidRPr="00DB1067">
        <w:rPr>
          <w:rFonts w:ascii="Times New Roman" w:hAnsi="Times New Roman" w:cs="Times New Roman"/>
          <w:sz w:val="24"/>
          <w:szCs w:val="24"/>
        </w:rPr>
        <w:t xml:space="preserve"> </w:t>
      </w:r>
      <w:r w:rsidR="001022E5">
        <w:rPr>
          <w:rFonts w:ascii="Times New Roman" w:hAnsi="Times New Roman" w:cs="Times New Roman"/>
          <w:sz w:val="24"/>
          <w:szCs w:val="24"/>
        </w:rPr>
        <w:t>c</w:t>
      </w:r>
      <w:r w:rsidRPr="00DB1067">
        <w:rPr>
          <w:rFonts w:ascii="Times New Roman" w:hAnsi="Times New Roman" w:cs="Times New Roman"/>
          <w:sz w:val="24"/>
          <w:szCs w:val="24"/>
        </w:rPr>
        <w:t>ytopenias (affecting 2 of 3 lineages in the peripheral blood</w:t>
      </w:r>
      <w:r w:rsidR="001022E5">
        <w:rPr>
          <w:rFonts w:ascii="Times New Roman" w:hAnsi="Times New Roman" w:cs="Times New Roman"/>
          <w:sz w:val="24"/>
          <w:szCs w:val="24"/>
        </w:rPr>
        <w:t>, h</w:t>
      </w:r>
      <w:r w:rsidR="00A425DA">
        <w:rPr>
          <w:rFonts w:ascii="Times New Roman" w:hAnsi="Times New Roman" w:cs="Times New Roman"/>
          <w:sz w:val="24"/>
          <w:szCs w:val="24"/>
        </w:rPr>
        <w:t>a</w:t>
      </w:r>
      <w:r w:rsidRPr="00DB1067">
        <w:rPr>
          <w:rFonts w:ascii="Times New Roman" w:hAnsi="Times New Roman" w:cs="Times New Roman"/>
          <w:sz w:val="24"/>
          <w:szCs w:val="24"/>
        </w:rPr>
        <w:t xml:space="preserve">emoglobin </w:t>
      </w:r>
      <w:r w:rsidR="00A425DA">
        <w:rPr>
          <w:rFonts w:ascii="Times New Roman" w:hAnsi="Times New Roman" w:cs="Times New Roman"/>
          <w:sz w:val="24"/>
          <w:szCs w:val="24"/>
        </w:rPr>
        <w:t>&lt;</w:t>
      </w:r>
      <w:r w:rsidR="001022E5">
        <w:rPr>
          <w:rFonts w:ascii="Times New Roman" w:hAnsi="Times New Roman" w:cs="Times New Roman"/>
          <w:sz w:val="24"/>
          <w:szCs w:val="24"/>
        </w:rPr>
        <w:t xml:space="preserve"> </w:t>
      </w:r>
      <w:r w:rsidRPr="00DB1067">
        <w:rPr>
          <w:rFonts w:ascii="Times New Roman" w:hAnsi="Times New Roman" w:cs="Times New Roman"/>
          <w:sz w:val="24"/>
          <w:szCs w:val="24"/>
        </w:rPr>
        <w:t>9 g/</w:t>
      </w:r>
      <w:r w:rsidR="001022E5">
        <w:rPr>
          <w:rFonts w:ascii="Times New Roman" w:hAnsi="Times New Roman" w:cs="Times New Roman"/>
          <w:sz w:val="24"/>
          <w:szCs w:val="24"/>
        </w:rPr>
        <w:t>d</w:t>
      </w:r>
      <w:r w:rsidRPr="00DB1067">
        <w:rPr>
          <w:rFonts w:ascii="Times New Roman" w:hAnsi="Times New Roman" w:cs="Times New Roman"/>
          <w:sz w:val="24"/>
          <w:szCs w:val="24"/>
        </w:rPr>
        <w:t>L</w:t>
      </w:r>
      <w:r w:rsidR="001022E5">
        <w:rPr>
          <w:rFonts w:ascii="Times New Roman" w:hAnsi="Times New Roman" w:cs="Times New Roman"/>
          <w:sz w:val="24"/>
          <w:szCs w:val="24"/>
        </w:rPr>
        <w:t>, p</w:t>
      </w:r>
      <w:r w:rsidRPr="00DB1067">
        <w:rPr>
          <w:rFonts w:ascii="Times New Roman" w:hAnsi="Times New Roman" w:cs="Times New Roman"/>
          <w:sz w:val="24"/>
          <w:szCs w:val="24"/>
        </w:rPr>
        <w:t xml:space="preserve">latelets </w:t>
      </w:r>
      <w:r w:rsidR="00A425DA">
        <w:rPr>
          <w:rFonts w:ascii="Times New Roman" w:hAnsi="Times New Roman" w:cs="Times New Roman"/>
          <w:sz w:val="24"/>
          <w:szCs w:val="24"/>
        </w:rPr>
        <w:t xml:space="preserve">&lt; </w:t>
      </w:r>
      <w:r w:rsidRPr="00DB1067">
        <w:rPr>
          <w:rFonts w:ascii="Times New Roman" w:hAnsi="Times New Roman" w:cs="Times New Roman"/>
          <w:sz w:val="24"/>
          <w:szCs w:val="24"/>
        </w:rPr>
        <w:t xml:space="preserve">100 </w:t>
      </w:r>
      <w:r w:rsidR="001022E5">
        <w:rPr>
          <w:rFonts w:ascii="Times New Roman" w:hAnsi="Times New Roman" w:cs="Times New Roman"/>
          <w:sz w:val="24"/>
          <w:szCs w:val="24"/>
        </w:rPr>
        <w:t>×</w:t>
      </w:r>
      <w:r w:rsidRPr="00DB1067">
        <w:rPr>
          <w:rFonts w:ascii="Times New Roman" w:hAnsi="Times New Roman" w:cs="Times New Roman"/>
          <w:sz w:val="24"/>
          <w:szCs w:val="24"/>
        </w:rPr>
        <w:t xml:space="preserve"> 10</w:t>
      </w:r>
      <w:r w:rsidRPr="001022E5">
        <w:rPr>
          <w:rFonts w:ascii="Times New Roman" w:hAnsi="Times New Roman" w:cs="Times New Roman"/>
          <w:sz w:val="24"/>
          <w:szCs w:val="24"/>
          <w:vertAlign w:val="superscript"/>
        </w:rPr>
        <w:t>9</w:t>
      </w:r>
      <w:r w:rsidR="001022E5">
        <w:rPr>
          <w:rFonts w:ascii="Times New Roman" w:hAnsi="Times New Roman" w:cs="Times New Roman"/>
          <w:sz w:val="24"/>
          <w:szCs w:val="24"/>
        </w:rPr>
        <w:t xml:space="preserve"> </w:t>
      </w:r>
      <w:r w:rsidRPr="00DB1067">
        <w:rPr>
          <w:rFonts w:ascii="Times New Roman" w:hAnsi="Times New Roman" w:cs="Times New Roman"/>
          <w:sz w:val="24"/>
          <w:szCs w:val="24"/>
        </w:rPr>
        <w:t>/</w:t>
      </w:r>
      <w:r w:rsidR="001022E5">
        <w:rPr>
          <w:rFonts w:ascii="Times New Roman" w:hAnsi="Times New Roman" w:cs="Times New Roman"/>
          <w:sz w:val="24"/>
          <w:szCs w:val="24"/>
        </w:rPr>
        <w:t xml:space="preserve"> </w:t>
      </w:r>
      <w:r w:rsidRPr="00DB1067">
        <w:rPr>
          <w:rFonts w:ascii="Times New Roman" w:hAnsi="Times New Roman" w:cs="Times New Roman"/>
          <w:sz w:val="24"/>
          <w:szCs w:val="24"/>
        </w:rPr>
        <w:t>L</w:t>
      </w:r>
      <w:r w:rsidR="001022E5">
        <w:rPr>
          <w:rFonts w:ascii="Times New Roman" w:hAnsi="Times New Roman" w:cs="Times New Roman"/>
          <w:sz w:val="24"/>
          <w:szCs w:val="24"/>
        </w:rPr>
        <w:t>,</w:t>
      </w:r>
      <w:r w:rsidR="00A425DA">
        <w:rPr>
          <w:rFonts w:ascii="Times New Roman" w:hAnsi="Times New Roman" w:cs="Times New Roman"/>
          <w:sz w:val="24"/>
          <w:szCs w:val="24"/>
        </w:rPr>
        <w:t xml:space="preserve"> and</w:t>
      </w:r>
      <w:r w:rsidRPr="00DB1067">
        <w:rPr>
          <w:rFonts w:ascii="Times New Roman" w:hAnsi="Times New Roman" w:cs="Times New Roman"/>
          <w:sz w:val="24"/>
          <w:szCs w:val="24"/>
        </w:rPr>
        <w:t xml:space="preserve"> </w:t>
      </w:r>
      <w:r w:rsidR="001022E5">
        <w:rPr>
          <w:rFonts w:ascii="Times New Roman" w:hAnsi="Times New Roman" w:cs="Times New Roman"/>
          <w:sz w:val="24"/>
          <w:szCs w:val="24"/>
        </w:rPr>
        <w:t>n</w:t>
      </w:r>
      <w:r w:rsidRPr="00DB1067">
        <w:rPr>
          <w:rFonts w:ascii="Times New Roman" w:hAnsi="Times New Roman" w:cs="Times New Roman"/>
          <w:sz w:val="24"/>
          <w:szCs w:val="24"/>
        </w:rPr>
        <w:t>eutrophils</w:t>
      </w:r>
      <w:r w:rsidR="00A425DA">
        <w:rPr>
          <w:rFonts w:ascii="Times New Roman" w:hAnsi="Times New Roman" w:cs="Times New Roman"/>
          <w:sz w:val="24"/>
          <w:szCs w:val="24"/>
        </w:rPr>
        <w:t xml:space="preserve"> &lt;</w:t>
      </w:r>
      <w:r w:rsidRPr="00DB1067">
        <w:rPr>
          <w:rFonts w:ascii="Times New Roman" w:hAnsi="Times New Roman" w:cs="Times New Roman"/>
          <w:sz w:val="24"/>
          <w:szCs w:val="24"/>
        </w:rPr>
        <w:t xml:space="preserve"> 1.0 </w:t>
      </w:r>
      <w:r w:rsidR="00A425DA">
        <w:rPr>
          <w:rFonts w:ascii="Times New Roman" w:hAnsi="Times New Roman" w:cs="Times New Roman"/>
          <w:sz w:val="24"/>
          <w:szCs w:val="24"/>
        </w:rPr>
        <w:t>×</w:t>
      </w:r>
      <w:r w:rsidRPr="00DB1067">
        <w:rPr>
          <w:rFonts w:ascii="Times New Roman" w:hAnsi="Times New Roman" w:cs="Times New Roman"/>
          <w:sz w:val="24"/>
          <w:szCs w:val="24"/>
        </w:rPr>
        <w:t xml:space="preserve"> 10</w:t>
      </w:r>
      <w:r w:rsidRPr="00A425DA">
        <w:rPr>
          <w:rFonts w:ascii="Times New Roman" w:hAnsi="Times New Roman" w:cs="Times New Roman"/>
          <w:sz w:val="24"/>
          <w:szCs w:val="24"/>
          <w:vertAlign w:val="superscript"/>
        </w:rPr>
        <w:t>9</w:t>
      </w:r>
      <w:r w:rsidRPr="00DB1067">
        <w:rPr>
          <w:rFonts w:ascii="Times New Roman" w:hAnsi="Times New Roman" w:cs="Times New Roman"/>
          <w:sz w:val="24"/>
          <w:szCs w:val="24"/>
        </w:rPr>
        <w:t xml:space="preserve"> /</w:t>
      </w:r>
      <w:r w:rsidR="00A425DA">
        <w:rPr>
          <w:rFonts w:ascii="Times New Roman" w:hAnsi="Times New Roman" w:cs="Times New Roman"/>
          <w:sz w:val="24"/>
          <w:szCs w:val="24"/>
        </w:rPr>
        <w:t xml:space="preserve"> </w:t>
      </w:r>
      <w:r w:rsidRPr="00DB1067">
        <w:rPr>
          <w:rFonts w:ascii="Times New Roman" w:hAnsi="Times New Roman" w:cs="Times New Roman"/>
          <w:sz w:val="24"/>
          <w:szCs w:val="24"/>
        </w:rPr>
        <w:t>L</w:t>
      </w:r>
      <w:r w:rsidR="00A425DA">
        <w:rPr>
          <w:rFonts w:ascii="Times New Roman" w:hAnsi="Times New Roman" w:cs="Times New Roman"/>
          <w:sz w:val="24"/>
          <w:szCs w:val="24"/>
        </w:rPr>
        <w:t>), hyp</w:t>
      </w:r>
      <w:r w:rsidRPr="00DB1067">
        <w:rPr>
          <w:rFonts w:ascii="Times New Roman" w:hAnsi="Times New Roman" w:cs="Times New Roman"/>
          <w:sz w:val="24"/>
          <w:szCs w:val="24"/>
        </w:rPr>
        <w:t xml:space="preserve">ertriglyceridemia or hypofibrinogenemia </w:t>
      </w:r>
      <w:r w:rsidR="00A425DA">
        <w:rPr>
          <w:rFonts w:ascii="Times New Roman" w:hAnsi="Times New Roman" w:cs="Times New Roman"/>
          <w:sz w:val="24"/>
          <w:szCs w:val="24"/>
        </w:rPr>
        <w:t>(f</w:t>
      </w:r>
      <w:r w:rsidRPr="00DB1067">
        <w:rPr>
          <w:rFonts w:ascii="Times New Roman" w:hAnsi="Times New Roman" w:cs="Times New Roman"/>
          <w:sz w:val="24"/>
          <w:szCs w:val="24"/>
        </w:rPr>
        <w:t>asting triglycerides</w:t>
      </w:r>
      <w:r w:rsidR="00A425DA">
        <w:rPr>
          <w:rFonts w:ascii="Times New Roman" w:hAnsi="Times New Roman" w:cs="Times New Roman"/>
          <w:sz w:val="24"/>
          <w:szCs w:val="24"/>
        </w:rPr>
        <w:t xml:space="preserve"> ≥ </w:t>
      </w:r>
      <w:r w:rsidRPr="00DB1067">
        <w:rPr>
          <w:rFonts w:ascii="Times New Roman" w:hAnsi="Times New Roman" w:cs="Times New Roman"/>
          <w:sz w:val="24"/>
          <w:szCs w:val="24"/>
        </w:rPr>
        <w:t>3.0 mmol/L (i</w:t>
      </w:r>
      <w:r w:rsidR="00A425DA">
        <w:rPr>
          <w:rFonts w:ascii="Times New Roman" w:hAnsi="Times New Roman" w:cs="Times New Roman"/>
          <w:sz w:val="24"/>
          <w:szCs w:val="24"/>
        </w:rPr>
        <w:t>.e.</w:t>
      </w:r>
      <w:r w:rsidRPr="00DB1067">
        <w:rPr>
          <w:rFonts w:ascii="Times New Roman" w:hAnsi="Times New Roman" w:cs="Times New Roman"/>
          <w:sz w:val="24"/>
          <w:szCs w:val="24"/>
        </w:rPr>
        <w:t xml:space="preserve">, </w:t>
      </w:r>
      <w:r w:rsidR="00A425DA">
        <w:rPr>
          <w:rFonts w:ascii="Times New Roman" w:hAnsi="Times New Roman" w:cs="Times New Roman"/>
          <w:sz w:val="24"/>
          <w:szCs w:val="24"/>
        </w:rPr>
        <w:t xml:space="preserve">≥ </w:t>
      </w:r>
      <w:r w:rsidRPr="00DB1067">
        <w:rPr>
          <w:rFonts w:ascii="Times New Roman" w:hAnsi="Times New Roman" w:cs="Times New Roman"/>
          <w:sz w:val="24"/>
          <w:szCs w:val="24"/>
        </w:rPr>
        <w:t>265 mg/dL)</w:t>
      </w:r>
      <w:r w:rsidR="00A425DA">
        <w:rPr>
          <w:rFonts w:ascii="Times New Roman" w:hAnsi="Times New Roman" w:cs="Times New Roman"/>
          <w:sz w:val="24"/>
          <w:szCs w:val="24"/>
        </w:rPr>
        <w:t>,</w:t>
      </w:r>
      <w:r w:rsidRPr="00DB1067">
        <w:rPr>
          <w:rFonts w:ascii="Times New Roman" w:hAnsi="Times New Roman" w:cs="Times New Roman"/>
          <w:sz w:val="24"/>
          <w:szCs w:val="24"/>
        </w:rPr>
        <w:t xml:space="preserve"> </w:t>
      </w:r>
      <w:r w:rsidR="00A425DA">
        <w:rPr>
          <w:rFonts w:ascii="Times New Roman" w:hAnsi="Times New Roman" w:cs="Times New Roman"/>
          <w:sz w:val="24"/>
          <w:szCs w:val="24"/>
        </w:rPr>
        <w:t>f</w:t>
      </w:r>
      <w:r w:rsidRPr="00DB1067">
        <w:rPr>
          <w:rFonts w:ascii="Times New Roman" w:hAnsi="Times New Roman" w:cs="Times New Roman"/>
          <w:sz w:val="24"/>
          <w:szCs w:val="24"/>
        </w:rPr>
        <w:t xml:space="preserve">ibrinogen </w:t>
      </w:r>
      <w:r w:rsidR="00A425DA">
        <w:rPr>
          <w:rFonts w:ascii="Times New Roman" w:hAnsi="Times New Roman" w:cs="Times New Roman"/>
          <w:sz w:val="24"/>
          <w:szCs w:val="24"/>
        </w:rPr>
        <w:t xml:space="preserve">≤ </w:t>
      </w:r>
      <w:r w:rsidRPr="00DB1067">
        <w:rPr>
          <w:rFonts w:ascii="Times New Roman" w:hAnsi="Times New Roman" w:cs="Times New Roman"/>
          <w:sz w:val="24"/>
          <w:szCs w:val="24"/>
        </w:rPr>
        <w:t>1.5 g/L</w:t>
      </w:r>
      <w:r w:rsidR="00A425DA">
        <w:rPr>
          <w:rFonts w:ascii="Times New Roman" w:hAnsi="Times New Roman" w:cs="Times New Roman"/>
          <w:sz w:val="24"/>
          <w:szCs w:val="24"/>
        </w:rPr>
        <w:t>). H</w:t>
      </w:r>
      <w:r w:rsidRPr="00DB1067">
        <w:rPr>
          <w:rFonts w:ascii="Times New Roman" w:hAnsi="Times New Roman" w:cs="Times New Roman"/>
          <w:sz w:val="24"/>
          <w:szCs w:val="24"/>
        </w:rPr>
        <w:t>emophagocytosis in bone marrow or spleen or lymph nodes</w:t>
      </w:r>
      <w:r w:rsidR="00A425DA">
        <w:rPr>
          <w:rFonts w:ascii="Times New Roman" w:hAnsi="Times New Roman" w:cs="Times New Roman"/>
          <w:sz w:val="24"/>
          <w:szCs w:val="24"/>
        </w:rPr>
        <w:t>, n</w:t>
      </w:r>
      <w:r w:rsidRPr="00DB1067">
        <w:rPr>
          <w:rFonts w:ascii="Times New Roman" w:hAnsi="Times New Roman" w:cs="Times New Roman"/>
          <w:sz w:val="24"/>
          <w:szCs w:val="24"/>
        </w:rPr>
        <w:t>o evidence of malignancy</w:t>
      </w:r>
      <w:r w:rsidR="00A425DA">
        <w:rPr>
          <w:rFonts w:ascii="Times New Roman" w:hAnsi="Times New Roman" w:cs="Times New Roman"/>
          <w:sz w:val="24"/>
          <w:szCs w:val="24"/>
        </w:rPr>
        <w:t>, l</w:t>
      </w:r>
      <w:r w:rsidRPr="00DB1067">
        <w:rPr>
          <w:rFonts w:ascii="Times New Roman" w:hAnsi="Times New Roman" w:cs="Times New Roman"/>
          <w:sz w:val="24"/>
          <w:szCs w:val="24"/>
        </w:rPr>
        <w:t>ow or no NK cell activity (according to local laboratory reference)</w:t>
      </w:r>
      <w:r w:rsidR="00A425DA">
        <w:rPr>
          <w:rFonts w:ascii="Times New Roman" w:hAnsi="Times New Roman" w:cs="Times New Roman"/>
          <w:sz w:val="24"/>
          <w:szCs w:val="24"/>
        </w:rPr>
        <w:t>, f</w:t>
      </w:r>
      <w:r w:rsidRPr="00DB1067">
        <w:rPr>
          <w:rFonts w:ascii="Times New Roman" w:hAnsi="Times New Roman" w:cs="Times New Roman"/>
          <w:sz w:val="24"/>
          <w:szCs w:val="24"/>
        </w:rPr>
        <w:t xml:space="preserve">erritin </w:t>
      </w:r>
      <w:r w:rsidR="00A425DA">
        <w:rPr>
          <w:rFonts w:ascii="Times New Roman" w:hAnsi="Times New Roman" w:cs="Times New Roman"/>
          <w:sz w:val="24"/>
          <w:szCs w:val="24"/>
        </w:rPr>
        <w:t xml:space="preserve">≥ </w:t>
      </w:r>
      <w:r w:rsidRPr="00DB1067">
        <w:rPr>
          <w:rFonts w:ascii="Times New Roman" w:hAnsi="Times New Roman" w:cs="Times New Roman"/>
          <w:sz w:val="24"/>
          <w:szCs w:val="24"/>
        </w:rPr>
        <w:t>500 mg/L</w:t>
      </w:r>
      <w:r w:rsidR="00A425DA">
        <w:rPr>
          <w:rFonts w:ascii="Times New Roman" w:hAnsi="Times New Roman" w:cs="Times New Roman"/>
          <w:sz w:val="24"/>
          <w:szCs w:val="24"/>
        </w:rPr>
        <w:t xml:space="preserve"> and</w:t>
      </w:r>
      <w:r w:rsidRPr="00DB1067">
        <w:rPr>
          <w:rFonts w:ascii="Times New Roman" w:hAnsi="Times New Roman" w:cs="Times New Roman"/>
          <w:sz w:val="24"/>
          <w:szCs w:val="24"/>
        </w:rPr>
        <w:t xml:space="preserve"> sCD25 (i</w:t>
      </w:r>
      <w:r w:rsidR="00A425DA">
        <w:rPr>
          <w:rFonts w:ascii="Times New Roman" w:hAnsi="Times New Roman" w:cs="Times New Roman"/>
          <w:sz w:val="24"/>
          <w:szCs w:val="24"/>
        </w:rPr>
        <w:t>.e.</w:t>
      </w:r>
      <w:r w:rsidRPr="00DB1067">
        <w:rPr>
          <w:rFonts w:ascii="Times New Roman" w:hAnsi="Times New Roman" w:cs="Times New Roman"/>
          <w:sz w:val="24"/>
          <w:szCs w:val="24"/>
        </w:rPr>
        <w:t>, soluble IL-2 receptor)</w:t>
      </w:r>
      <w:r w:rsidR="00A425DA">
        <w:rPr>
          <w:rFonts w:ascii="Times New Roman" w:hAnsi="Times New Roman" w:cs="Times New Roman"/>
          <w:sz w:val="24"/>
          <w:szCs w:val="24"/>
        </w:rPr>
        <w:t xml:space="preserve"> ≥</w:t>
      </w:r>
      <w:r w:rsidRPr="00DB1067">
        <w:rPr>
          <w:rFonts w:ascii="Times New Roman" w:hAnsi="Times New Roman" w:cs="Times New Roman"/>
          <w:sz w:val="24"/>
          <w:szCs w:val="24"/>
        </w:rPr>
        <w:t xml:space="preserve"> 2400 U/mL</w:t>
      </w:r>
      <w:r w:rsidR="00A425DA">
        <w:rPr>
          <w:rFonts w:ascii="Times New Roman" w:hAnsi="Times New Roman" w:cs="Times New Roman"/>
          <w:sz w:val="24"/>
          <w:szCs w:val="24"/>
        </w:rPr>
        <w:t xml:space="preserve"> are also included in Criterion 2 </w:t>
      </w:r>
      <w:r w:rsidR="00A425DA">
        <w:rPr>
          <w:rFonts w:ascii="Times New Roman" w:hAnsi="Times New Roman" w:cs="Times New Roman"/>
          <w:sz w:val="24"/>
          <w:szCs w:val="24"/>
        </w:rPr>
        <w:fldChar w:fldCharType="begin" w:fldLock="1"/>
      </w:r>
      <w:r w:rsidR="00DF6B0D">
        <w:rPr>
          <w:rFonts w:ascii="Times New Roman" w:hAnsi="Times New Roman" w:cs="Times New Roman"/>
          <w:sz w:val="24"/>
          <w:szCs w:val="24"/>
        </w:rPr>
        <w:instrText>ADDIN CSL_CITATION {"citationItems":[{"id":"ITEM-1","itemData":{"DOI":"10.1002/pbc.21039","ISSN":"15455009","PMID":"16937360","abstract":"In HLH-94, the first prospective international treatment study for hemophagocytic lymphohistiocytosis (HLH), diagnosis was based on five criteria (fever, splenomegaly, bicytopenia, hypertriglyceridemia and/or hypofibrinogenemia, and hemophagocytosis). In HLH-2004 three additional criteria are introduced; low/absent NK-cell-activity, hyperferritinemia, and high-soluble interleukin-2-receptor levels. Altogether five of these eight criteria must be fulfilled, unless family history or molecular diagnosis is consistent with HLH. HLH-2004 chemo-immunotherapy includes etoposide, dexamethasone, cyclosporine A upfront and, in selected patients, intrathecal therapy with methotrexate and corticosteroids. Subsequent hematopoietic stem cell transplantation (HSCT) is recommended for patients with familial disease or molecular diagnosis, and patients with severe and persistent, or reactivated, disease. In order to hopefully further improve diagnosis, therapy and biological understanding, participation in HLH studies is encouraged. © 2006 Wiley-Liss, Inc.","author":[{"dropping-particle":"","family":"Henter","given":"Jan Inge","non-dropping-particle":"","parse-names":false,"suffix":""},{"dropping-particle":"","family":"Horne","given":"Anna Carin","non-dropping-particle":"","parse-names":false,"suffix":""},{"dropping-particle":"","family":"Aricó","given":"Maurizio","non-dropping-particle":"","parse-names":false,"suffix":""},{"dropping-particle":"","family":"Egeler","given":"R. Maarten","non-dropping-particle":"","parse-names":false,"suffix":""},{"dropping-particle":"","family":"Filipovich","given":"Alexandra H.","non-dropping-particle":"","parse-names":false,"suffix":""},{"dropping-particle":"","family":"Imashuku","given":"Shinsaku","non-dropping-particle":"","parse-names":false,"suffix":""},{"dropping-particle":"","family":"Ladisch","given":"Stephan","non-dropping-particle":"","parse-names":false,"suffix":""},{"dropping-particle":"","family":"McClain","given":"Ken","non-dropping-particle":"","parse-names":false,"suffix":""},{"dropping-particle":"","family":"Webb","given":"David","non-dropping-particle":"","parse-names":false,"suffix":""},{"dropping-particle":"","family":"Winiarski","given":"Jacek","non-dropping-particle":"","parse-names":false,"suffix":""},{"dropping-particle":"","family":"Janka","given":"Gritta","non-dropping-particle":"","parse-names":false,"suffix":""}],"container-title":"Pediatric Blood and Cancer","id":"ITEM-1","issue":"2","issued":{"date-parts":[["2007","2"]]},"page":"124-131","publisher":"Pediatr Blood Cancer","title":"HLH-2004: Diagnostic and therapeutic guidelines for hemophagocytic lymphohistiocytosis","type":"article","volume":"48"},"uris":["http://www.mendeley.com/documents/?uuid=36e2cb75-1f4a-3d29-9939-4ec81c79925f"]}],"mendeley":{"formattedCitation":"[7]","plainTextFormattedCitation":"[7]","previouslyFormattedCitation":"&lt;sup&gt;7&lt;/sup&gt;"},"properties":{"noteIndex":0},"schema":"https://github.com/citation-style-language/schema/raw/master/csl-citation.json"}</w:instrText>
      </w:r>
      <w:r w:rsidR="00A425DA">
        <w:rPr>
          <w:rFonts w:ascii="Times New Roman" w:hAnsi="Times New Roman" w:cs="Times New Roman"/>
          <w:sz w:val="24"/>
          <w:szCs w:val="24"/>
        </w:rPr>
        <w:fldChar w:fldCharType="separate"/>
      </w:r>
      <w:r w:rsidR="00DF6B0D" w:rsidRPr="00DF6B0D">
        <w:rPr>
          <w:rFonts w:ascii="Times New Roman" w:hAnsi="Times New Roman" w:cs="Times New Roman"/>
          <w:noProof/>
          <w:sz w:val="24"/>
          <w:szCs w:val="24"/>
        </w:rPr>
        <w:t>[7]</w:t>
      </w:r>
      <w:r w:rsidR="00A425DA">
        <w:rPr>
          <w:rFonts w:ascii="Times New Roman" w:hAnsi="Times New Roman" w:cs="Times New Roman"/>
          <w:sz w:val="24"/>
          <w:szCs w:val="24"/>
        </w:rPr>
        <w:fldChar w:fldCharType="end"/>
      </w:r>
      <w:r w:rsidR="00A425DA">
        <w:rPr>
          <w:rFonts w:ascii="Times New Roman" w:hAnsi="Times New Roman" w:cs="Times New Roman"/>
          <w:sz w:val="24"/>
          <w:szCs w:val="24"/>
        </w:rPr>
        <w:t>.</w:t>
      </w:r>
      <w:r w:rsidR="00412AB4">
        <w:rPr>
          <w:rFonts w:ascii="Times New Roman" w:hAnsi="Times New Roman" w:cs="Times New Roman"/>
          <w:sz w:val="24"/>
          <w:szCs w:val="24"/>
        </w:rPr>
        <w:t xml:space="preserve"> Our patient</w:t>
      </w:r>
      <w:r w:rsidR="00412AB4" w:rsidRPr="00E00B7F">
        <w:rPr>
          <w:rFonts w:ascii="Times New Roman" w:hAnsi="Times New Roman" w:cs="Times New Roman"/>
          <w:sz w:val="24"/>
          <w:szCs w:val="24"/>
        </w:rPr>
        <w:t xml:space="preserve"> </w:t>
      </w:r>
      <w:r w:rsidR="00412AB4">
        <w:rPr>
          <w:rFonts w:ascii="Times New Roman" w:hAnsi="Times New Roman" w:cs="Times New Roman"/>
          <w:sz w:val="24"/>
          <w:szCs w:val="24"/>
        </w:rPr>
        <w:t>developed</w:t>
      </w:r>
      <w:r w:rsidR="00412AB4" w:rsidRPr="00E00B7F">
        <w:rPr>
          <w:rFonts w:ascii="Times New Roman" w:hAnsi="Times New Roman" w:cs="Times New Roman"/>
          <w:sz w:val="24"/>
          <w:szCs w:val="24"/>
        </w:rPr>
        <w:t xml:space="preserve"> continuous high</w:t>
      </w:r>
      <w:r w:rsidR="00412AB4">
        <w:rPr>
          <w:rFonts w:ascii="Times New Roman" w:hAnsi="Times New Roman" w:cs="Times New Roman"/>
          <w:sz w:val="24"/>
          <w:szCs w:val="24"/>
        </w:rPr>
        <w:t>-</w:t>
      </w:r>
      <w:r w:rsidR="00412AB4" w:rsidRPr="00E00B7F">
        <w:rPr>
          <w:rFonts w:ascii="Times New Roman" w:hAnsi="Times New Roman" w:cs="Times New Roman"/>
          <w:sz w:val="24"/>
          <w:szCs w:val="24"/>
        </w:rPr>
        <w:t>grade fever</w:t>
      </w:r>
      <w:r w:rsidR="00412AB4">
        <w:rPr>
          <w:rFonts w:ascii="Times New Roman" w:hAnsi="Times New Roman" w:cs="Times New Roman"/>
          <w:sz w:val="24"/>
          <w:szCs w:val="24"/>
        </w:rPr>
        <w:t xml:space="preserve"> and </w:t>
      </w:r>
      <w:r w:rsidR="00412AB4" w:rsidRPr="00E00B7F">
        <w:rPr>
          <w:rFonts w:ascii="Times New Roman" w:hAnsi="Times New Roman" w:cs="Times New Roman"/>
          <w:sz w:val="24"/>
          <w:szCs w:val="24"/>
        </w:rPr>
        <w:t>thrombocytopenia</w:t>
      </w:r>
      <w:r w:rsidR="00412AB4">
        <w:rPr>
          <w:rFonts w:ascii="Times New Roman" w:hAnsi="Times New Roman" w:cs="Times New Roman"/>
          <w:sz w:val="24"/>
          <w:szCs w:val="24"/>
        </w:rPr>
        <w:t>,</w:t>
      </w:r>
      <w:r w:rsidR="00412AB4" w:rsidRPr="00E00B7F">
        <w:rPr>
          <w:rFonts w:ascii="Times New Roman" w:hAnsi="Times New Roman" w:cs="Times New Roman"/>
          <w:sz w:val="24"/>
          <w:szCs w:val="24"/>
        </w:rPr>
        <w:t xml:space="preserve"> </w:t>
      </w:r>
      <w:r w:rsidR="00412AB4">
        <w:rPr>
          <w:rFonts w:ascii="Times New Roman" w:hAnsi="Times New Roman" w:cs="Times New Roman"/>
          <w:sz w:val="24"/>
          <w:szCs w:val="24"/>
        </w:rPr>
        <w:t xml:space="preserve">anaemia and </w:t>
      </w:r>
      <w:r w:rsidR="00412AB4" w:rsidRPr="00E00B7F">
        <w:rPr>
          <w:rFonts w:ascii="Times New Roman" w:hAnsi="Times New Roman" w:cs="Times New Roman"/>
          <w:sz w:val="24"/>
          <w:szCs w:val="24"/>
        </w:rPr>
        <w:t>mild to moderate hepatosplenomegaly</w:t>
      </w:r>
      <w:r w:rsidR="00412AB4">
        <w:rPr>
          <w:rFonts w:ascii="Times New Roman" w:hAnsi="Times New Roman" w:cs="Times New Roman"/>
          <w:sz w:val="24"/>
          <w:szCs w:val="24"/>
        </w:rPr>
        <w:t xml:space="preserve"> where the b</w:t>
      </w:r>
      <w:r w:rsidR="00412AB4" w:rsidRPr="00E00B7F">
        <w:rPr>
          <w:rFonts w:ascii="Times New Roman" w:hAnsi="Times New Roman" w:cs="Times New Roman"/>
          <w:sz w:val="24"/>
          <w:szCs w:val="24"/>
        </w:rPr>
        <w:t>lood picture revealed thrombocytopenia with giant platelet</w:t>
      </w:r>
      <w:r w:rsidR="00412AB4">
        <w:rPr>
          <w:rFonts w:ascii="Times New Roman" w:hAnsi="Times New Roman" w:cs="Times New Roman"/>
          <w:sz w:val="24"/>
          <w:szCs w:val="24"/>
        </w:rPr>
        <w:t>s</w:t>
      </w:r>
      <w:r w:rsidR="00412AB4" w:rsidRPr="00E00B7F">
        <w:rPr>
          <w:rFonts w:ascii="Times New Roman" w:hAnsi="Times New Roman" w:cs="Times New Roman"/>
          <w:sz w:val="24"/>
          <w:szCs w:val="24"/>
        </w:rPr>
        <w:t xml:space="preserve"> and features suggestive of </w:t>
      </w:r>
      <w:r w:rsidR="00412AB4">
        <w:rPr>
          <w:rFonts w:ascii="Times New Roman" w:hAnsi="Times New Roman" w:cs="Times New Roman"/>
          <w:sz w:val="24"/>
          <w:szCs w:val="24"/>
        </w:rPr>
        <w:t>HLH</w:t>
      </w:r>
      <w:r w:rsidR="00412AB4" w:rsidRPr="00E00B7F">
        <w:rPr>
          <w:rFonts w:ascii="Times New Roman" w:hAnsi="Times New Roman" w:cs="Times New Roman"/>
          <w:sz w:val="24"/>
          <w:szCs w:val="24"/>
        </w:rPr>
        <w:t xml:space="preserve">. </w:t>
      </w:r>
      <w:r w:rsidR="00412AB4">
        <w:rPr>
          <w:rFonts w:ascii="Times New Roman" w:hAnsi="Times New Roman" w:cs="Times New Roman"/>
          <w:sz w:val="24"/>
          <w:szCs w:val="24"/>
        </w:rPr>
        <w:t>His serum ferritin and triglyceride levels were high, fulfilling the criteria for the diagnosis of HLH. However, the b</w:t>
      </w:r>
      <w:r w:rsidR="00412AB4" w:rsidRPr="00E00B7F">
        <w:rPr>
          <w:rFonts w:ascii="Times New Roman" w:hAnsi="Times New Roman" w:cs="Times New Roman"/>
          <w:sz w:val="24"/>
          <w:szCs w:val="24"/>
        </w:rPr>
        <w:t>one marrow</w:t>
      </w:r>
      <w:r w:rsidR="00412AB4">
        <w:rPr>
          <w:rFonts w:ascii="Times New Roman" w:hAnsi="Times New Roman" w:cs="Times New Roman"/>
          <w:sz w:val="24"/>
          <w:szCs w:val="24"/>
        </w:rPr>
        <w:t xml:space="preserve"> biopsy was also done, although it was unnecessary since the diagnosis could already be made with available information</w:t>
      </w:r>
      <w:r w:rsidR="00412AB4" w:rsidRPr="00E00B7F">
        <w:rPr>
          <w:rFonts w:ascii="Times New Roman" w:hAnsi="Times New Roman" w:cs="Times New Roman"/>
          <w:sz w:val="24"/>
          <w:szCs w:val="24"/>
        </w:rPr>
        <w:t>.</w:t>
      </w:r>
      <w:r w:rsidR="00412AB4">
        <w:rPr>
          <w:rFonts w:ascii="Times New Roman" w:hAnsi="Times New Roman" w:cs="Times New Roman"/>
          <w:sz w:val="24"/>
          <w:szCs w:val="24"/>
        </w:rPr>
        <w:t xml:space="preserve"> However, since in dengue infection, pancytopenia can happen as a complication of the disease itself bone marrow examination can be justified to confirm the diagnosis and to start appropriate therapy </w:t>
      </w:r>
      <w:r w:rsidR="00412AB4">
        <w:rPr>
          <w:rFonts w:ascii="Times New Roman" w:hAnsi="Times New Roman" w:cs="Times New Roman"/>
          <w:sz w:val="24"/>
          <w:szCs w:val="24"/>
        </w:rPr>
        <w:fldChar w:fldCharType="begin" w:fldLock="1"/>
      </w:r>
      <w:r w:rsidR="00DF6B0D">
        <w:rPr>
          <w:rFonts w:ascii="Times New Roman" w:hAnsi="Times New Roman" w:cs="Times New Roman"/>
          <w:sz w:val="24"/>
          <w:szCs w:val="24"/>
        </w:rPr>
        <w:instrText>ADDIN CSL_CITATION {"citationItems":[{"id":"ITEM-1","itemData":{"DOI":"10.1179/2295333714Y.0000000019","ISSN":"00015512","PMID":"24820925","abstract":"We describe a 21-year-old female patient returning from a journey to Cambodia, who developed dengue fever complicated with hemophagocytic lymphohistiocytosis. Hectic fever, rash, leukopenia, thrombocytopenia, hepatocellular dysfunction, a markedly elevated ferritin level, and a bone marrow demonstrating abundant hemophagocytosis were present. The patient recovered within 14 days. To our knowledge, this is only the second reported case of dengue virus-associated hemophagocytosis in Europe. As dengue is a rising pathogen in tropical import diseases, clinicians must be aware of its rare but serious complications. © Acta Clinica Belgica 2014.","author":[{"dropping-particle":"","family":"Koninck","given":"A. S.","non-dropping-particle":"De","parse-names":false,"suffix":""},{"dropping-particle":"","family":"Dierick","given":"J.","non-dropping-particle":"","parse-names":false,"suffix":""},{"dropping-particle":"","family":"Steyaert","given":"S.","non-dropping-particle":"","parse-names":false,"suffix":""},{"dropping-particle":"","family":"Taelman","given":"P.","non-dropping-particle":"","parse-names":false,"suffix":""}],"container-title":"Acta Clinica Belgica","id":"ITEM-1","issue":"3","issued":{"date-parts":[["2014"]]},"page":"210-213","publisher":"Acta Clinica Belgica","title":"Hemophagocytic lymphohistiocytosis and dengue infection: Rare case report","type":"article-journal","volume":"69"},"uris":["http://www.mendeley.com/documents/?uuid=5892f7f4-5493-3ad3-88c8-4e0945c72bc3"]}],"mendeley":{"formattedCitation":"[3]","plainTextFormattedCitation":"[3]","previouslyFormattedCitation":"&lt;sup&gt;3&lt;/sup&gt;"},"properties":{"noteIndex":0},"schema":"https://github.com/citation-style-language/schema/raw/master/csl-citation.json"}</w:instrText>
      </w:r>
      <w:r w:rsidR="00412AB4">
        <w:rPr>
          <w:rFonts w:ascii="Times New Roman" w:hAnsi="Times New Roman" w:cs="Times New Roman"/>
          <w:sz w:val="24"/>
          <w:szCs w:val="24"/>
        </w:rPr>
        <w:fldChar w:fldCharType="separate"/>
      </w:r>
      <w:r w:rsidR="00DF6B0D" w:rsidRPr="00DF6B0D">
        <w:rPr>
          <w:rFonts w:ascii="Times New Roman" w:hAnsi="Times New Roman" w:cs="Times New Roman"/>
          <w:noProof/>
          <w:sz w:val="24"/>
          <w:szCs w:val="24"/>
        </w:rPr>
        <w:t>[3]</w:t>
      </w:r>
      <w:r w:rsidR="00412AB4">
        <w:rPr>
          <w:rFonts w:ascii="Times New Roman" w:hAnsi="Times New Roman" w:cs="Times New Roman"/>
          <w:sz w:val="24"/>
          <w:szCs w:val="24"/>
        </w:rPr>
        <w:fldChar w:fldCharType="end"/>
      </w:r>
      <w:r w:rsidR="00412AB4">
        <w:rPr>
          <w:rFonts w:ascii="Times New Roman" w:hAnsi="Times New Roman" w:cs="Times New Roman"/>
          <w:sz w:val="24"/>
          <w:szCs w:val="24"/>
        </w:rPr>
        <w:t>. Bone marrow examination in our patient revealed significant haemophagocytic activity which confirmed the diagnosis.</w:t>
      </w:r>
    </w:p>
    <w:p w14:paraId="45F2FCAE" w14:textId="1BEB9EB1" w:rsidR="00412AB4" w:rsidRDefault="00412AB4" w:rsidP="00412AB4">
      <w:pPr>
        <w:autoSpaceDE w:val="0"/>
        <w:autoSpaceDN w:val="0"/>
        <w:adjustRightInd w:val="0"/>
        <w:spacing w:after="240" w:line="276" w:lineRule="auto"/>
        <w:rPr>
          <w:rFonts w:ascii="Times New Roman" w:hAnsi="Times New Roman" w:cs="Times New Roman"/>
          <w:sz w:val="24"/>
          <w:szCs w:val="24"/>
        </w:rPr>
      </w:pPr>
      <w:r>
        <w:rPr>
          <w:rFonts w:ascii="Times New Roman" w:hAnsi="Times New Roman" w:cs="Times New Roman"/>
          <w:sz w:val="24"/>
          <w:szCs w:val="24"/>
        </w:rPr>
        <w:t>The management principles of HLH include s</w:t>
      </w:r>
      <w:r w:rsidRPr="00412AB4">
        <w:rPr>
          <w:rFonts w:ascii="Times New Roman" w:hAnsi="Times New Roman" w:cs="Times New Roman"/>
          <w:sz w:val="24"/>
          <w:szCs w:val="24"/>
        </w:rPr>
        <w:t>uppression of hyper</w:t>
      </w:r>
      <w:r>
        <w:rPr>
          <w:rFonts w:ascii="Times New Roman" w:hAnsi="Times New Roman" w:cs="Times New Roman"/>
          <w:sz w:val="24"/>
          <w:szCs w:val="24"/>
        </w:rPr>
        <w:t xml:space="preserve"> </w:t>
      </w:r>
      <w:r w:rsidRPr="00412AB4">
        <w:rPr>
          <w:rFonts w:ascii="Times New Roman" w:hAnsi="Times New Roman" w:cs="Times New Roman"/>
          <w:sz w:val="24"/>
          <w:szCs w:val="24"/>
        </w:rPr>
        <w:t>inflammation</w:t>
      </w:r>
      <w:r>
        <w:rPr>
          <w:rFonts w:ascii="Times New Roman" w:hAnsi="Times New Roman" w:cs="Times New Roman"/>
          <w:sz w:val="24"/>
          <w:szCs w:val="24"/>
        </w:rPr>
        <w:t>, e</w:t>
      </w:r>
      <w:r w:rsidRPr="00412AB4">
        <w:rPr>
          <w:rFonts w:ascii="Times New Roman" w:hAnsi="Times New Roman" w:cs="Times New Roman"/>
          <w:sz w:val="24"/>
          <w:szCs w:val="24"/>
        </w:rPr>
        <w:t>limination of activated immune cells</w:t>
      </w:r>
      <w:r>
        <w:rPr>
          <w:rFonts w:ascii="Times New Roman" w:hAnsi="Times New Roman" w:cs="Times New Roman"/>
          <w:sz w:val="24"/>
          <w:szCs w:val="24"/>
        </w:rPr>
        <w:t>, e</w:t>
      </w:r>
      <w:r w:rsidRPr="00412AB4">
        <w:rPr>
          <w:rFonts w:ascii="Times New Roman" w:hAnsi="Times New Roman" w:cs="Times New Roman"/>
          <w:sz w:val="24"/>
          <w:szCs w:val="24"/>
        </w:rPr>
        <w:t>limination of trigger</w:t>
      </w:r>
      <w:r>
        <w:rPr>
          <w:rFonts w:ascii="Times New Roman" w:hAnsi="Times New Roman" w:cs="Times New Roman"/>
          <w:sz w:val="24"/>
          <w:szCs w:val="24"/>
        </w:rPr>
        <w:t>, s</w:t>
      </w:r>
      <w:r w:rsidRPr="00412AB4">
        <w:rPr>
          <w:rFonts w:ascii="Times New Roman" w:hAnsi="Times New Roman" w:cs="Times New Roman"/>
          <w:sz w:val="24"/>
          <w:szCs w:val="24"/>
        </w:rPr>
        <w:t>upportive therapy (neutropenia, coagulopathy)</w:t>
      </w:r>
      <w:r>
        <w:rPr>
          <w:rFonts w:ascii="Times New Roman" w:hAnsi="Times New Roman" w:cs="Times New Roman"/>
          <w:sz w:val="24"/>
          <w:szCs w:val="24"/>
        </w:rPr>
        <w:t xml:space="preserve"> and r</w:t>
      </w:r>
      <w:r w:rsidRPr="00412AB4">
        <w:rPr>
          <w:rFonts w:ascii="Times New Roman" w:hAnsi="Times New Roman" w:cs="Times New Roman"/>
          <w:sz w:val="24"/>
          <w:szCs w:val="24"/>
        </w:rPr>
        <w:t>eplacement of defective immune system</w:t>
      </w:r>
      <w:r>
        <w:rPr>
          <w:rFonts w:ascii="Times New Roman" w:hAnsi="Times New Roman" w:cs="Times New Roman"/>
          <w:sz w:val="24"/>
          <w:szCs w:val="24"/>
        </w:rPr>
        <w:t xml:space="preserve"> </w:t>
      </w:r>
      <w:r>
        <w:rPr>
          <w:rFonts w:ascii="Times New Roman" w:hAnsi="Times New Roman" w:cs="Times New Roman"/>
          <w:sz w:val="24"/>
          <w:szCs w:val="24"/>
        </w:rPr>
        <w:fldChar w:fldCharType="begin" w:fldLock="1"/>
      </w:r>
      <w:r w:rsidR="00DF6B0D">
        <w:rPr>
          <w:rFonts w:ascii="Times New Roman" w:hAnsi="Times New Roman" w:cs="Times New Roman"/>
          <w:sz w:val="24"/>
          <w:szCs w:val="24"/>
        </w:rPr>
        <w:instrText>ADDIN CSL_CITATION {"citationItems":[{"id":"ITEM-1","itemData":{"DOI":"10.1182/asheducation-2013.1.605","ISSN":"15204383","PMID":"24319239","abstract":"Hemophagocytic lymphohistiocytosis (HLH) is not an independent disease but rather a life-threatening clinical syndrome that occurs in many underlying conditions and in all age groups. HLH is the consequence of a severe, uncontrolled hyperinflammatory reaction that in most cases is triggered by an infectious agent. Persistent stimulation of lymphocytes and histiocytes results in hypercytokinemia, leading to the characteristic symptoms of HLH. Genetic defects in familial HLH and in immunodeficiency syndromes associated with albinism affect the transport, processing, and function of cytotoxic granules in natural killer cells and cytotoxic T lymphocytes. This leads to defective killing of target cells and a failure to contract the immune response. The defects are increasingly found also in adolescents and adults. Acquired HLH occurs in autoinflammatory and autoimmune diseases (macrophage activation syndrome) and in patients with iatrogenic immunosuppression or with malignancies, but also in otherwise healthy persons with infections. Treatment of HLH aims at suppressing hypercytokinemia and eliminating the activated and infected cells. In genetic HLH, hematopoietic stem cell transplantation (HSCT) is needed for the correction of the immune defect. Treatment modalities include immunosuppressive, immunomodulatory, and cytostatic drugs; T-cell antibodies; and anticytokine agents. Using immunochemotherapy, familial HLH, which had been invariably fatal, has become a curable disease with more than 50% survivors. Reduced intensity conditioning for HSCT, which is associated with less transplantation-related mortality, will further improve cure rates.","author":[{"dropping-particle":"","family":"Janka","given":"Gritta E.","non-dropping-particle":"","parse-names":false,"suffix":""},{"dropping-particle":"","family":"Lehmberg","given":"Kai","non-dropping-particle":"","parse-names":false,"suffix":""}],"container-title":"Hematology / the Education Program of the American Society of Hematology. American Society of Hematology. Education Program","id":"ITEM-1","issued":{"date-parts":[["2013"]]},"page":"605-611","publisher":"Hematology Am Soc Hematol Educ Program","title":"Hemophagocytic lymphohistiocytosis: pathogenesis and treatment.","type":"article","volume":"2013"},"uris":["http://www.mendeley.com/documents/?uuid=cbad6bff-0e88-38e9-9529-48ed01384e5a"]},{"id":"ITEM-2","itemData":{"DOI":"10.1309/AJCP4ZDKJ4ICOUAT","ISSN":"00029173","PMID":"23690113","abstract":"Hemophagocytic lymphohistiocytosis (HLH) is a frequently fatal and likely underdiagnosed disease involving a final common pathway of hypercytokinemia, which can result in end-organ damage and death. Although an early diagnosis is crucial to decrease mortality, the definitive diagnosis is often challenging because of the lack of specificity of currently accepted diagnostic criteria and the absence of confirmatory gold standards. Because of the wide range of laboratory assays involved in the diagnosis of HLH, practicing pathologists from a broad spectrum of clinical specialties need to be aware of the disease so that they may appropriately flag results and convey them to their clinical counterparts. Our article summarizes these new advances in the diagnosis of HLH and includes a review of clinical findings, updated understanding of the pathogenesis, and promising new testing methods. © American Society for Clinical Pathology.","author":[{"dropping-particle":"","family":"Rosado","given":"Flavia G.N.","non-dropping-particle":"","parse-names":false,"suffix":""},{"dropping-particle":"","family":"Kim","given":"Annette S.","non-dropping-particle":"","parse-names":false,"suffix":""}],"container-title":"American Journal of Clinical Pathology","id":"ITEM-2","issue":"6","issued":{"date-parts":[["2013"]]},"page":"713-727","title":"Hemophagocytic lymphohistiocytosis","type":"article-journal","volume":"139"},"uris":["http://www.mendeley.com/documents/?uuid=57a27a0f-3eab-45e4-a20b-1b9a78843fe8"]},{"id":"ITEM-3","itemData":{"DOI":"10.1155/2015/696842","ISSN":"16879635","abstract":"Hemophagocytic lymphohistiocytosis (HLH) is a rare disorder. Dysfunction of cytotoxic T and natural killer (NK) cells causes uncontrolled activity of lymphocytes and histiocytes which leads to HLH. Infections, malignancies, and autoimmune disorders are associated with development of HLH. Dengue and Plasmodium vivax are rare causes of HLH. We report the first ever case of a young man who developed fatal HLH that complicated Dengue Hemorrhagic Fever (DHF) and Plasmodium vivax infection.","author":[{"dropping-particle":"","family":"Khurram","given":"Muhammad","non-dropping-particle":"","parse-names":false,"suffix":""},{"dropping-particle":"","family":"Faheem","given":"Muhammad","non-dropping-particle":"","parse-names":false,"suffix":""},{"dropping-particle":"","family":"Umar","given":"Muhammad","non-dropping-particle":"","parse-names":false,"suffix":""},{"dropping-particle":"","family":"Yasin","given":"Asif","non-dropping-particle":"","parse-names":false,"suffix":""},{"dropping-particle":"","family":"Qayyum","given":"Wajeeha","non-dropping-particle":"","parse-names":false,"suffix":""},{"dropping-particle":"","family":"Ashraf","given":"Amna","non-dropping-particle":"","parse-names":false,"suffix":""},{"dropping-particle":"","family":"Khan","given":"Javeria Zahid","non-dropping-particle":"","parse-names":false,"suffix":""},{"dropping-particle":"","family":"Yasir","given":"Ali Hasnain","non-dropping-particle":"","parse-names":false,"suffix":""},{"dropping-particle":"","family":"Ansari","given":"Yusra","non-dropping-particle":"","parse-names":false,"suffix":""},{"dropping-particle":"","family":"Asad","given":"Muhammad","non-dropping-particle":"","parse-names":false,"suffix":""},{"dropping-particle":"","family":"Khan","given":"Iram","non-dropping-particle":"","parse-names":false,"suffix":""},{"dropping-particle":"","family":"Abbas","given":"Shuja","non-dropping-particle":"","parse-names":false,"suffix":""},{"dropping-particle":"","family":"Rasheed","given":"Irum","non-dropping-particle":"","parse-names":false,"suffix":""},{"dropping-particle":"","family":"Rasool","given":"Natasha","non-dropping-particle":"","parse-names":false,"suffix":""},{"dropping-particle":"","family":"Khar","given":"Hamama Tul Bushra","non-dropping-particle":"","parse-names":false,"suffix":""}],"container-title":"Case Reports in Medicine","id":"ITEM-3","issued":{"date-parts":[["2015"]]},"publisher":"Hindawi Limited","title":"Hemophagocytic Lymphohistiocytosis Complicating Dengue and Plasmodium vivax Coinfection","type":"article-journal","volume":"2015"},"uris":["http://www.mendeley.com/documents/?uuid=fc14a8c5-7dec-3ebb-8f9d-e62a55a5bca2"]},{"id":"ITEM-4","itemData":{"DOI":"10.1182/blood.2018894618","ISSN":"15280020","PMID":"30992265","abstract":"Hemophagocytic lymphohistiocytosis (HLH) is a severe hyperinflammatory syndrome induced by aberrantly activated macrophages and cytotoxic T cells. The primary (genetic) form, caused by mutations affecting lymphocyte cytotoxicity and immune regulation, is most common in children, whereas the secondary (acquired) form is most frequent in adults. Secondary HLH is commonly triggered by infections or malignancies but may also be induced by autoinflammatory/autoimmune disorders, in which case it is called macrophage activation syndrome (MAS; or MAS-HLH). Most information on the diagnosis and treatment of HLH comes from the pediatric literature. Although helpful in some adult cases, this raises several challenges. For example, the HLH-2004 diagnostic criteria developed for children are commonly applied but are not validated for adults. Another challenge in HLH diagnosis is that patients may present with a phenotype indistinguishable from sepsis or multiple organ dysfunction syndrome. Treatment algorithms targeting hyperinflammation are frequently based on pediatric protocols, such as HLH-94 and HLH-2004, which may result in overtreatment and unnecessary toxicity in adults. Therefore, dose reductions, individualized tailoring of treatment duration, and an age-dependent modified diagnostic approach are to be considered. Here, we present expert opinions derived from an interdisciplinary working group on adult HLH, sponsored by the Histiocyte Society, to facilitate knowledge transfer between physicians caring for pediatric and adult patients with HLH, with the aim to improve the outcome for adult patients affected by HLH.","author":[{"dropping-particle":"La","family":"Rosée","given":"Paul","non-dropping-particle":"","parse-names":false,"suffix":""},{"dropping-particle":"","family":"Horne","given":"Anna Carin","non-dropping-particle":"","parse-names":false,"suffix":""},{"dropping-particle":"","family":"Hines","given":"Melissa","non-dropping-particle":"","parse-names":false,"suffix":""},{"dropping-particle":"","family":"Greenwood","given":"Tatiana Von Bahr","non-dropping-particle":"","parse-names":false,"suffix":""},{"dropping-particle":"","family":"Machowicz","given":"Rafal","non-dropping-particle":"","parse-names":false,"suffix":""},{"dropping-particle":"","family":"Berliner","given":"Nancy","non-dropping-particle":"","parse-names":false,"suffix":""},{"dropping-particle":"","family":"Birndt","given":"Sebastian","non-dropping-particle":"","parse-names":false,"suffix":""},{"dropping-particle":"","family":"Gil-Herrera","given":"Juana","non-dropping-particle":"","parse-names":false,"suffix":""},{"dropping-particle":"","family":"Girschikofsky","given":"Michael","non-dropping-particle":"","parse-names":false,"suffix":""},{"dropping-particle":"","family":"Jordan","given":"Michael B.","non-dropping-particle":"","parse-names":false,"suffix":""},{"dropping-particle":"","family":"Kumar","given":"Ashish","non-dropping-particle":"","parse-names":false,"suffix":""},{"dropping-particle":"","family":"Laar","given":"Jan A.M.","non-dropping-particle":"Van","parse-names":false,"suffix":""},{"dropping-particle":"","family":"Lachmann","given":"Gunnar","non-dropping-particle":"","parse-names":false,"suffix":""},{"dropping-particle":"","family":"Nichols","given":"Kim E.","non-dropping-particle":"","parse-names":false,"suffix":""},{"dropping-particle":"V.","family":"Ramanan","given":"Athimalaipet","non-dropping-particle":"","parse-names":false,"suffix":""},{"dropping-particle":"","family":"Wang","given":"Yini","non-dropping-particle":"","parse-names":false,"suffix":""},{"dropping-particle":"","family":"Wang","given":"Zhao","non-dropping-particle":"","parse-names":false,"suffix":""},{"dropping-particle":"","family":"Janka","given":"Gritta","non-dropping-particle":"","parse-names":false,"suffix":""},{"dropping-particle":"","family":"Henter","given":"Jan Inge","non-dropping-particle":"","parse-names":false,"suffix":""}],"container-title":"Blood","id":"ITEM-4","issue":"23","issued":{"date-parts":[["2019","6","6"]]},"page":"2465-2477","publisher":"American Society of Hematology","title":"Recommendations for the management of hemophagocytic lymphohistiocytosis in adults","type":"article-journal","volume":"133"},"uris":["http://www.mendeley.com/documents/?uuid=330f8288-d095-3cff-a336-c294496490f9"]}],"mendeley":{"formattedCitation":"[1,5,25,27]","plainTextFormattedCitation":"[1,5,25,27]","previouslyFormattedCitation":"&lt;sup&gt;1,5,25,27&lt;/sup&gt;"},"properties":{"noteIndex":0},"schema":"https://github.com/citation-style-language/schema/raw/master/csl-citation.json"}</w:instrText>
      </w:r>
      <w:r>
        <w:rPr>
          <w:rFonts w:ascii="Times New Roman" w:hAnsi="Times New Roman" w:cs="Times New Roman"/>
          <w:sz w:val="24"/>
          <w:szCs w:val="24"/>
        </w:rPr>
        <w:fldChar w:fldCharType="separate"/>
      </w:r>
      <w:r w:rsidR="00DF6B0D" w:rsidRPr="00DF6B0D">
        <w:rPr>
          <w:rFonts w:ascii="Times New Roman" w:hAnsi="Times New Roman" w:cs="Times New Roman"/>
          <w:noProof/>
          <w:sz w:val="24"/>
          <w:szCs w:val="24"/>
        </w:rPr>
        <w:t>[1,5,25,27]</w:t>
      </w:r>
      <w:r>
        <w:rPr>
          <w:rFonts w:ascii="Times New Roman" w:hAnsi="Times New Roman" w:cs="Times New Roman"/>
          <w:sz w:val="24"/>
          <w:szCs w:val="24"/>
        </w:rPr>
        <w:fldChar w:fldCharType="end"/>
      </w:r>
      <w:r>
        <w:rPr>
          <w:rFonts w:ascii="Times New Roman" w:hAnsi="Times New Roman" w:cs="Times New Roman"/>
          <w:sz w:val="24"/>
          <w:szCs w:val="24"/>
        </w:rPr>
        <w:t xml:space="preserve">. Immediate suppression of severe hyper inflammation should be done to prevent life-threatening outcomes of HLH </w:t>
      </w:r>
      <w:r>
        <w:rPr>
          <w:rFonts w:ascii="Times New Roman" w:hAnsi="Times New Roman" w:cs="Times New Roman"/>
          <w:sz w:val="24"/>
          <w:szCs w:val="24"/>
        </w:rPr>
        <w:fldChar w:fldCharType="begin" w:fldLock="1"/>
      </w:r>
      <w:r w:rsidR="00DF6B0D">
        <w:rPr>
          <w:rFonts w:ascii="Times New Roman" w:hAnsi="Times New Roman" w:cs="Times New Roman"/>
          <w:sz w:val="24"/>
          <w:szCs w:val="24"/>
        </w:rPr>
        <w:instrText>ADDIN CSL_CITATION {"citationItems":[{"id":"ITEM-1","itemData":{"DOI":"10.1055/s-0029-1237386","ISSN":"03008630","PMID":"19707989","abstract":"Hemophagocytic lymphohistiocytosis (HLH) is a life-threatening syndrome in which an exaggerated but ineffective immune response leads to severe hyperinflammation. Key players in HLH are activated lymphocytes and histiocytes which infiltrate all organs and secrete large amounts of cytokines. Cardinal symptoms are prolonged fever, hepatosplenomegaly, cytopenias, and hemophagocytosis. Biochemical markers include elevated ferritin, triglycerides, and low fibrinogen. HLH occurs on the basis of various inherited and acquired immune defects. Impaired function of natural killer cells and cytotoxic T cells is shared by all forms of HLH. Nearly all genetic defects identified in inherited cases of HLH are either mutations in the perforin gene or in genes important for the exocytosis of cytotoxic granules. Cytotoxic granules contain perforin and granzymes which induce apoptosis upon entering the target cell. Additionally perforin is important for the down-regulation of the immune response. Acquired forms of HLH are found in association with infectious agents, in patients with autoimmune diseases, in malignant diseases, and in patients receiving immune suppression or after organ transplantation. HLH is still difficult to diagnose and may be overlooked since initially it may masquerade as a normal infection. HLH should be considered when symptoms are more pronounced than usual and in case of progression. Suppression of the severe hyperinflammation can be achieved with immunosuppressive and immunomodulatory agents and cytostatic drugs. Patients with genetic HLH have to undergo stem cell transplantation for cure. © Georg Thieme Verlag KG Stuttgart New York.","author":[{"dropping-particle":"","family":"Janka","given":"G.","non-dropping-particle":"","parse-names":false,"suffix":""}],"container-title":"Klinische Padiatrie","id":"ITEM-1","issue":"5","issued":{"date-parts":[["2009"]]},"page":"278-285","publisher":"Georg Thieme Verlag","title":"Hemophagocytic lymphohistiocytosis: When the immune system runs amok","type":"article","volume":"221"},"uris":["http://www.mendeley.com/documents/?uuid=84e151e6-6623-3b9d-ae9f-41ddb29de2b1"]},{"id":"ITEM-2","itemData":{"DOI":"10.1309/AJCP4ZDKJ4ICOUAT","ISSN":"00029173","PMID":"23690113","abstract":"Hemophagocytic lymphohistiocytosis (HLH) is a frequently fatal and likely underdiagnosed disease involving a final common pathway of hypercytokinemia, which can result in end-organ damage and death. Although an early diagnosis is crucial to decrease mortality, the definitive diagnosis is often challenging because of the lack of specificity of currently accepted diagnostic criteria and the absence of confirmatory gold standards. Because of the wide range of laboratory assays involved in the diagnosis of HLH, practicing pathologists from a broad spectrum of clinical specialties need to be aware of the disease so that they may appropriately flag results and convey them to their clinical counterparts. Our article summarizes these new advances in the diagnosis of HLH and includes a review of clinical findings, updated understanding of the pathogenesis, and promising new testing methods. © American Society for Clinical Pathology.","author":[{"dropping-particle":"","family":"Rosado","given":"Flavia G.N.","non-dropping-particle":"","parse-names":false,"suffix":""},{"dropping-particle":"","family":"Kim","given":"Annette S.","non-dropping-particle":"","parse-names":false,"suffix":""}],"container-title":"American Journal of Clinical Pathology","id":"ITEM-2","issue":"6","issued":{"date-parts":[["2013"]]},"page":"713-727","title":"Hemophagocytic lymphohistiocytosis","type":"article-journal","volume":"139"},"uris":["http://www.mendeley.com/documents/?uuid=57a27a0f-3eab-45e4-a20b-1b9a78843fe8"]},{"id":"ITEM-3","itemData":{"DOI":"10.1179/2295333714Y.0000000019","ISSN":"00015512","PMID":"24820925","abstract":"We describe a 21-year-old female patient returning from a journey to Cambodia, who developed dengue fever complicated with hemophagocytic lymphohistiocytosis. Hectic fever, rash, leukopenia, thrombocytopenia, hepatocellular dysfunction, a markedly elevated ferritin level, and a bone marrow demonstrating abundant hemophagocytosis were present. The patient recovered within 14 days. To our knowledge, this is only the second reported case of dengue virus-associated hemophagocytosis in Europe. As dengue is a rising pathogen in tropical import diseases, clinicians must be aware of its rare but serious complications. © Acta Clinica Belgica 2014.","author":[{"dropping-particle":"","family":"Koninck","given":"A. S.","non-dropping-particle":"De","parse-names":false,"suffix":""},{"dropping-particle":"","family":"Dierick","given":"J.","non-dropping-particle":"","parse-names":false,"suffix":""},{"dropping-particle":"","family":"Steyaert","given":"S.","non-dropping-particle":"","parse-names":false,"suffix":""},{"dropping-particle":"","family":"Taelman","given":"P.","non-dropping-particle":"","parse-names":false,"suffix":""}],"container-title":"Acta Clinica Belgica","id":"ITEM-3","issue":"3","issued":{"date-parts":[["2014"]]},"page":"210-213","publisher":"Acta Clinica Belgica","title":"Hemophagocytic lymphohistiocytosis and dengue infection: Rare case report","type":"article-journal","volume":"69"},"uris":["http://www.mendeley.com/documents/?uuid=5892f7f4-5493-3ad3-88c8-4e0945c72bc3"]},{"id":"ITEM-4","itemData":{"DOI":"10.1586/eci.09.58","ISSN":"1744666X","PMID":"20383897","abstract":"Hemophagocytic lymphohistiocytosis (HLH) is a potentially fatal hyperinflammatory syndrome with prolonged high fever, hepatosplenomegaly and characteristic laboratory findings. HLH may be inherited (primary) or may be secondary to any severe infection, malignancy or rheumatologic condition. The last several years have witnessed an explosion in our understanding of HLH. Of the inherited causes for which the underlying genetic cause is known, most involve abnormalities of proteins important in the exocytosis cytolytic pathway, whereby perforin and granzymes are delivered to a target cell to induce apoptosis. The exact mechanisms underlying this process remain unclear. However, when a known genetic defect is not present, the diagnosis of HLH is still made on a constellation of clinical features and good clinical judgment. Rapid diagnosis is crucial, as early therapy with immunosuppressive agents and/or proapoptotic chemotherapy can be life-saving. This article examines recent advances in our understanding of the pathophysiology, clinical features, diagnosis, etiology and treatment of HLH, as well as the challenges that lie ahead. © 2010 Expert Reviews Ltd.","author":[{"dropping-particle":"","family":"Gupta","given":"Sumit","non-dropping-particle":"","parse-names":false,"suffix":""},{"dropping-particle":"","family":"Weitzman","given":"Sheila","non-dropping-particle":"","parse-names":false,"suffix":""}],"container-title":"Expert Review of Clinical Immunology","id":"ITEM-4","issue":"1","issued":{"date-parts":[["2010"]]},"page":"137-154","title":"Primary and secondary hemophagocytic lymphohistiocytosis: Clinical features, pathogenesis and therapy","type":"article-journal","volume":"6"},"uris":["http://www.mendeley.com/documents/?uuid=9cd6e259-e9b2-468f-a0fc-a9a2de36e049"]}],"mendeley":{"formattedCitation":"[1–3,8]","plainTextFormattedCitation":"[1–3,8]","previouslyFormattedCitation":"&lt;sup&gt;1–3,8&lt;/sup&gt;"},"properties":{"noteIndex":0},"schema":"https://github.com/citation-style-language/schema/raw/master/csl-citation.json"}</w:instrText>
      </w:r>
      <w:r>
        <w:rPr>
          <w:rFonts w:ascii="Times New Roman" w:hAnsi="Times New Roman" w:cs="Times New Roman"/>
          <w:sz w:val="24"/>
          <w:szCs w:val="24"/>
        </w:rPr>
        <w:fldChar w:fldCharType="separate"/>
      </w:r>
      <w:r w:rsidR="00DF6B0D" w:rsidRPr="00DF6B0D">
        <w:rPr>
          <w:rFonts w:ascii="Times New Roman" w:hAnsi="Times New Roman" w:cs="Times New Roman"/>
          <w:noProof/>
          <w:sz w:val="24"/>
          <w:szCs w:val="24"/>
        </w:rPr>
        <w:t>[1–3,8]</w:t>
      </w:r>
      <w:r>
        <w:rPr>
          <w:rFonts w:ascii="Times New Roman" w:hAnsi="Times New Roman" w:cs="Times New Roman"/>
          <w:sz w:val="24"/>
          <w:szCs w:val="24"/>
        </w:rPr>
        <w:fldChar w:fldCharType="end"/>
      </w:r>
      <w:r>
        <w:rPr>
          <w:rFonts w:ascii="Times New Roman" w:hAnsi="Times New Roman" w:cs="Times New Roman"/>
          <w:sz w:val="24"/>
          <w:szCs w:val="24"/>
        </w:rPr>
        <w:t>. The treatment protocol includes</w:t>
      </w:r>
      <w:r w:rsidRPr="00412AB4">
        <w:rPr>
          <w:rFonts w:ascii="Times New Roman" w:hAnsi="Times New Roman" w:cs="Times New Roman"/>
          <w:sz w:val="24"/>
          <w:szCs w:val="24"/>
        </w:rPr>
        <w:t xml:space="preserve"> induction, salvage, and continuation therapies</w:t>
      </w:r>
      <w:r>
        <w:rPr>
          <w:rFonts w:ascii="Times New Roman" w:hAnsi="Times New Roman" w:cs="Times New Roman"/>
          <w:sz w:val="24"/>
          <w:szCs w:val="24"/>
        </w:rPr>
        <w:t xml:space="preserve"> </w:t>
      </w:r>
      <w:r>
        <w:rPr>
          <w:rFonts w:ascii="Times New Roman" w:hAnsi="Times New Roman" w:cs="Times New Roman"/>
          <w:sz w:val="24"/>
          <w:szCs w:val="24"/>
        </w:rPr>
        <w:fldChar w:fldCharType="begin" w:fldLock="1"/>
      </w:r>
      <w:r w:rsidR="00DF6B0D">
        <w:rPr>
          <w:rFonts w:ascii="Times New Roman" w:hAnsi="Times New Roman" w:cs="Times New Roman"/>
          <w:sz w:val="24"/>
          <w:szCs w:val="24"/>
        </w:rPr>
        <w:instrText>ADDIN CSL_CITATION {"citationItems":[{"id":"ITEM-1","itemData":{"DOI":"10.1155/2015/696842","ISSN":"16879635","abstract":"Hemophagocytic lymphohistiocytosis (HLH) is a rare disorder. Dysfunction of cytotoxic T and natural killer (NK) cells causes uncontrolled activity of lymphocytes and histiocytes which leads to HLH. Infections, malignancies, and autoimmune disorders are associated with development of HLH. Dengue and Plasmodium vivax are rare causes of HLH. We report the first ever case of a young man who developed fatal HLH that complicated Dengue Hemorrhagic Fever (DHF) and Plasmodium vivax infection.","author":[{"dropping-particle":"","family":"Khurram","given":"Muhammad","non-dropping-particle":"","parse-names":false,"suffix":""},{"dropping-particle":"","family":"Faheem","given":"Muhammad","non-dropping-particle":"","parse-names":false,"suffix":""},{"dropping-particle":"","family":"Umar","given":"Muhammad","non-dropping-particle":"","parse-names":false,"suffix":""},{"dropping-particle":"","family":"Yasin","given":"Asif","non-dropping-particle":"","parse-names":false,"suffix":""},{"dropping-particle":"","family":"Qayyum","given":"Wajeeha","non-dropping-particle":"","parse-names":false,"suffix":""},{"dropping-particle":"","family":"Ashraf","given":"Amna","non-dropping-particle":"","parse-names":false,"suffix":""},{"dropping-particle":"","family":"Khan","given":"Javeria Zahid","non-dropping-particle":"","parse-names":false,"suffix":""},{"dropping-particle":"","family":"Yasir","given":"Ali Hasnain","non-dropping-particle":"","parse-names":false,"suffix":""},{"dropping-particle":"","family":"Ansari","given":"Yusra","non-dropping-particle":"","parse-names":false,"suffix":""},{"dropping-particle":"","family":"Asad","given":"Muhammad","non-dropping-particle":"","parse-names":false,"suffix":""},{"dropping-particle":"","family":"Khan","given":"Iram","non-dropping-particle":"","parse-names":false,"suffix":""},{"dropping-particle":"","family":"Abbas","given":"Shuja","non-dropping-particle":"","parse-names":false,"suffix":""},{"dropping-particle":"","family":"Rasheed","given":"Irum","non-dropping-particle":"","parse-names":false,"suffix":""},{"dropping-particle":"","family":"Rasool","given":"Natasha","non-dropping-particle":"","parse-names":false,"suffix":""},{"dropping-particle":"","family":"Khar","given":"Hamama Tul Bushra","non-dropping-particle":"","parse-names":false,"suffix":""}],"container-title":"Case Reports in Medicine","id":"ITEM-1","issued":{"date-parts":[["2015"]]},"publisher":"Hindawi Limited","title":"Hemophagocytic Lymphohistiocytosis Complicating Dengue and Plasmodium vivax Coinfection","type":"article-journal","volume":"2015"},"uris":["http://www.mendeley.com/documents/?uuid=fc14a8c5-7dec-3ebb-8f9d-e62a55a5bca2"]},{"id":"ITEM-2","itemData":{"DOI":"10.1586/eci.09.58","ISSN":"1744666X","PMID":"20383897","abstract":"Hemophagocytic lymphohistiocytosis (HLH) is a potentially fatal hyperinflammatory syndrome with prolonged high fever, hepatosplenomegaly and characteristic laboratory findings. HLH may be inherited (primary) or may be secondary to any severe infection, malignancy or rheumatologic condition. The last several years have witnessed an explosion in our understanding of HLH. Of the inherited causes for which the underlying genetic cause is known, most involve abnormalities of proteins important in the exocytosis cytolytic pathway, whereby perforin and granzymes are delivered to a target cell to induce apoptosis. The exact mechanisms underlying this process remain unclear. However, when a known genetic defect is not present, the diagnosis of HLH is still made on a constellation of clinical features and good clinical judgment. Rapid diagnosis is crucial, as early therapy with immunosuppressive agents and/or proapoptotic chemotherapy can be life-saving. This article examines recent advances in our understanding of the pathophysiology, clinical features, diagnosis, etiology and treatment of HLH, as well as the challenges that lie ahead. © 2010 Expert Reviews Ltd.","author":[{"dropping-particle":"","family":"Gupta","given":"Sumit","non-dropping-particle":"","parse-names":false,"suffix":""},{"dropping-particle":"","family":"Weitzman","given":"Sheila","non-dropping-particle":"","parse-names":false,"suffix":""}],"container-title":"Expert Review of Clinical Immunology","id":"ITEM-2","issue":"1","issued":{"date-parts":[["2010"]]},"page":"137-154","title":"Primary and secondary hemophagocytic lymphohistiocytosis: Clinical features, pathogenesis and therapy","type":"article-journal","volume":"6"},"uris":["http://www.mendeley.com/documents/?uuid=9cd6e259-e9b2-468f-a0fc-a9a2de36e049"]}],"mendeley":{"formattedCitation":"[2,25]","plainTextFormattedCitation":"[2,25]","previouslyFormattedCitation":"&lt;sup&gt;2,25&lt;/sup&gt;"},"properties":{"noteIndex":0},"schema":"https://github.com/citation-style-language/schema/raw/master/csl-citation.json"}</w:instrText>
      </w:r>
      <w:r>
        <w:rPr>
          <w:rFonts w:ascii="Times New Roman" w:hAnsi="Times New Roman" w:cs="Times New Roman"/>
          <w:sz w:val="24"/>
          <w:szCs w:val="24"/>
        </w:rPr>
        <w:fldChar w:fldCharType="separate"/>
      </w:r>
      <w:r w:rsidR="00DF6B0D" w:rsidRPr="00DF6B0D">
        <w:rPr>
          <w:rFonts w:ascii="Times New Roman" w:hAnsi="Times New Roman" w:cs="Times New Roman"/>
          <w:noProof/>
          <w:sz w:val="24"/>
          <w:szCs w:val="24"/>
        </w:rPr>
        <w:t>[2,25]</w:t>
      </w:r>
      <w:r>
        <w:rPr>
          <w:rFonts w:ascii="Times New Roman" w:hAnsi="Times New Roman" w:cs="Times New Roman"/>
          <w:sz w:val="24"/>
          <w:szCs w:val="24"/>
        </w:rPr>
        <w:fldChar w:fldCharType="end"/>
      </w:r>
      <w:r w:rsidRPr="00412AB4">
        <w:rPr>
          <w:rFonts w:ascii="Times New Roman" w:hAnsi="Times New Roman" w:cs="Times New Roman"/>
          <w:sz w:val="24"/>
          <w:szCs w:val="24"/>
        </w:rPr>
        <w:t>.</w:t>
      </w:r>
      <w:r>
        <w:rPr>
          <w:rFonts w:ascii="Times New Roman" w:hAnsi="Times New Roman" w:cs="Times New Roman"/>
          <w:sz w:val="24"/>
          <w:szCs w:val="24"/>
        </w:rPr>
        <w:t xml:space="preserve"> S</w:t>
      </w:r>
      <w:r w:rsidRPr="00412AB4">
        <w:rPr>
          <w:rFonts w:ascii="Times New Roman" w:hAnsi="Times New Roman" w:cs="Times New Roman"/>
          <w:sz w:val="24"/>
          <w:szCs w:val="24"/>
        </w:rPr>
        <w:t>uppression of hyper</w:t>
      </w:r>
      <w:r>
        <w:rPr>
          <w:rFonts w:ascii="Times New Roman" w:hAnsi="Times New Roman" w:cs="Times New Roman"/>
          <w:sz w:val="24"/>
          <w:szCs w:val="24"/>
        </w:rPr>
        <w:t xml:space="preserve"> </w:t>
      </w:r>
      <w:r w:rsidRPr="00412AB4">
        <w:rPr>
          <w:rFonts w:ascii="Times New Roman" w:hAnsi="Times New Roman" w:cs="Times New Roman"/>
          <w:sz w:val="24"/>
          <w:szCs w:val="24"/>
        </w:rPr>
        <w:t>inflammation</w:t>
      </w:r>
      <w:r>
        <w:rPr>
          <w:rFonts w:ascii="Times New Roman" w:hAnsi="Times New Roman" w:cs="Times New Roman"/>
          <w:sz w:val="24"/>
          <w:szCs w:val="24"/>
        </w:rPr>
        <w:t xml:space="preserve"> and the elimination of activated immune cells can be achieved with corticosteroids, intravenous immunoglobulins, cyclosporin A, anti-cytokine agents like etoposide, and monoclonal antibodies</w:t>
      </w:r>
      <w:r w:rsidRPr="00412AB4">
        <w:rPr>
          <w:rFonts w:ascii="Times New Roman" w:hAnsi="Times New Roman" w:cs="Times New Roman"/>
          <w:sz w:val="24"/>
          <w:szCs w:val="24"/>
        </w:rPr>
        <w:t xml:space="preserve"> alemtuzumab, </w:t>
      </w:r>
      <w:r>
        <w:rPr>
          <w:rFonts w:ascii="Times New Roman" w:hAnsi="Times New Roman" w:cs="Times New Roman"/>
          <w:sz w:val="24"/>
          <w:szCs w:val="24"/>
        </w:rPr>
        <w:t xml:space="preserve">and </w:t>
      </w:r>
      <w:r w:rsidRPr="00412AB4">
        <w:rPr>
          <w:rFonts w:ascii="Times New Roman" w:hAnsi="Times New Roman" w:cs="Times New Roman"/>
          <w:sz w:val="24"/>
          <w:szCs w:val="24"/>
        </w:rPr>
        <w:t>rituximab</w:t>
      </w:r>
      <w:r>
        <w:rPr>
          <w:rFonts w:ascii="Times New Roman" w:hAnsi="Times New Roman" w:cs="Times New Roman"/>
          <w:sz w:val="24"/>
          <w:szCs w:val="24"/>
        </w:rPr>
        <w:t xml:space="preserve"> </w:t>
      </w:r>
      <w:r>
        <w:rPr>
          <w:rFonts w:ascii="Times New Roman" w:hAnsi="Times New Roman" w:cs="Times New Roman"/>
          <w:sz w:val="24"/>
          <w:szCs w:val="24"/>
        </w:rPr>
        <w:fldChar w:fldCharType="begin" w:fldLock="1"/>
      </w:r>
      <w:r w:rsidR="00DF6B0D">
        <w:rPr>
          <w:rFonts w:ascii="Times New Roman" w:hAnsi="Times New Roman" w:cs="Times New Roman"/>
          <w:sz w:val="24"/>
          <w:szCs w:val="24"/>
        </w:rPr>
        <w:instrText>ADDIN CSL_CITATION {"citationItems":[{"id":"ITEM-1","itemData":{"DOI":"10.1182/asheducation-2013.1.605","ISSN":"15204383","PMID":"24319239","abstract":"Hemophagocytic lymphohistiocytosis (HLH) is not an independent disease but rather a life-threatening clinical syndrome that occurs in many underlying conditions and in all age groups. HLH is the consequence of a severe, uncontrolled hyperinflammatory reaction that in most cases is triggered by an infectious agent. Persistent stimulation of lymphocytes and histiocytes results in hypercytokinemia, leading to the characteristic symptoms of HLH. Genetic defects in familial HLH and in immunodeficiency syndromes associated with albinism affect the transport, processing, and function of cytotoxic granules in natural killer cells and cytotoxic T lymphocytes. This leads to defective killing of target cells and a failure to contract the immune response. The defects are increasingly found also in adolescents and adults. Acquired HLH occurs in autoinflammatory and autoimmune diseases (macrophage activation syndrome) and in patients with iatrogenic immunosuppression or with malignancies, but also in otherwise healthy persons with infections. Treatment of HLH aims at suppressing hypercytokinemia and eliminating the activated and infected cells. In genetic HLH, hematopoietic stem cell transplantation (HSCT) is needed for the correction of the immune defect. Treatment modalities include immunosuppressive, immunomodulatory, and cytostatic drugs; T-cell antibodies; and anticytokine agents. Using immunochemotherapy, familial HLH, which had been invariably fatal, has become a curable disease with more than 50% survivors. Reduced intensity conditioning for HSCT, which is associated with less transplantation-related mortality, will further improve cure rates.","author":[{"dropping-particle":"","family":"Janka","given":"Gritta E.","non-dropping-particle":"","parse-names":false,"suffix":""},{"dropping-particle":"","family":"Lehmberg","given":"Kai","non-dropping-particle":"","parse-names":false,"suffix":""}],"container-title":"Hematology / the Education Program of the American Society of Hematology. American Society of Hematology. Education Program","id":"ITEM-1","issued":{"date-parts":[["2013"]]},"page":"605-611","publisher":"Hematology Am Soc Hematol Educ Program","title":"Hemophagocytic lymphohistiocytosis: pathogenesis and treatment.","type":"article","volume":"2013"},"uris":["http://www.mendeley.com/documents/?uuid=cbad6bff-0e88-38e9-9529-48ed01384e5a"]},{"id":"ITEM-2","itemData":{"DOI":"10.1182/blood.2018894618","ISSN":"15280020","PMID":"30992265","abstract":"Hemophagocytic lymphohistiocytosis (HLH) is a severe hyperinflammatory syndrome induced by aberrantly activated macrophages and cytotoxic T cells. The primary (genetic) form, caused by mutations affecting lymphocyte cytotoxicity and immune regulation, is most common in children, whereas the secondary (acquired) form is most frequent in adults. Secondary HLH is commonly triggered by infections or malignancies but may also be induced by autoinflammatory/autoimmune disorders, in which case it is called macrophage activation syndrome (MAS; or MAS-HLH). Most information on the diagnosis and treatment of HLH comes from the pediatric literature. Although helpful in some adult cases, this raises several challenges. For example, the HLH-2004 diagnostic criteria developed for children are commonly applied but are not validated for adults. Another challenge in HLH diagnosis is that patients may present with a phenotype indistinguishable from sepsis or multiple organ dysfunction syndrome. Treatment algorithms targeting hyperinflammation are frequently based on pediatric protocols, such as HLH-94 and HLH-2004, which may result in overtreatment and unnecessary toxicity in adults. Therefore, dose reductions, individualized tailoring of treatment duration, and an age-dependent modified diagnostic approach are to be considered. Here, we present expert opinions derived from an interdisciplinary working group on adult HLH, sponsored by the Histiocyte Society, to facilitate knowledge transfer between physicians caring for pediatric and adult patients with HLH, with the aim to improve the outcome for adult patients affected by HLH.","author":[{"dropping-particle":"La","family":"Rosée","given":"Paul","non-dropping-particle":"","parse-names":false,"suffix":""},{"dropping-particle":"","family":"Horne","given":"Anna Carin","non-dropping-particle":"","parse-names":false,"suffix":""},{"dropping-particle":"","family":"Hines","given":"Melissa","non-dropping-particle":"","parse-names":false,"suffix":""},{"dropping-particle":"","family":"Greenwood","given":"Tatiana Von Bahr","non-dropping-particle":"","parse-names":false,"suffix":""},{"dropping-particle":"","family":"Machowicz","given":"Rafal","non-dropping-particle":"","parse-names":false,"suffix":""},{"dropping-particle":"","family":"Berliner","given":"Nancy","non-dropping-particle":"","parse-names":false,"suffix":""},{"dropping-particle":"","family":"Birndt","given":"Sebastian","non-dropping-particle":"","parse-names":false,"suffix":""},{"dropping-particle":"","family":"Gil-Herrera","given":"Juana","non-dropping-particle":"","parse-names":false,"suffix":""},{"dropping-particle":"","family":"Girschikofsky","given":"Michael","non-dropping-particle":"","parse-names":false,"suffix":""},{"dropping-particle":"","family":"Jordan","given":"Michael B.","non-dropping-particle":"","parse-names":false,"suffix":""},{"dropping-particle":"","family":"Kumar","given":"Ashish","non-dropping-particle":"","parse-names":false,"suffix":""},{"dropping-particle":"","family":"Laar","given":"Jan A.M.","non-dropping-particle":"Van","parse-names":false,"suffix":""},{"dropping-particle":"","family":"Lachmann","given":"Gunnar","non-dropping-particle":"","parse-names":false,"suffix":""},{"dropping-particle":"","family":"Nichols","given":"Kim E.","non-dropping-particle":"","parse-names":false,"suffix":""},{"dropping-particle":"V.","family":"Ramanan","given":"Athimalaipet","non-dropping-particle":"","parse-names":false,"suffix":""},{"dropping-particle":"","family":"Wang","given":"Yini","non-dropping-particle":"","parse-names":false,"suffix":""},{"dropping-particle":"","family":"Wang","given":"Zhao","non-dropping-particle":"","parse-names":false,"suffix":""},{"dropping-particle":"","family":"Janka","given":"Gritta","non-dropping-particle":"","parse-names":false,"suffix":""},{"dropping-particle":"","family":"Henter","given":"Jan Inge","non-dropping-particle":"","parse-names":false,"suffix":""}],"container-title":"Blood","id":"ITEM-2","issue":"23","issued":{"date-parts":[["2019","6","6"]]},"page":"2465-2477","publisher":"American Society of Hematology","title":"Recommendations for the management of hemophagocytic lymphohistiocytosis in adults","type":"article-journal","volume":"133"},"uris":["http://www.mendeley.com/documents/?uuid=330f8288-d095-3cff-a336-c294496490f9"]},{"id":"ITEM-3","itemData":{"DOI":"10.1002/pbc.21039","ISSN":"15455009","PMID":"16937360","abstract":"In HLH-94, the first prospective international treatment study for hemophagocytic lymphohistiocytosis (HLH), diagnosis was based on five criteria (fever, splenomegaly, bicytopenia, hypertriglyceridemia and/or hypofibrinogenemia, and hemophagocytosis). In HLH-2004 three additional criteria are introduced; low/absent NK-cell-activity, hyperferritinemia, and high-soluble interleukin-2-receptor levels. Altogether five of these eight criteria must be fulfilled, unless family history or molecular diagnosis is consistent with HLH. HLH-2004 chemo-immunotherapy includes etoposide, dexamethasone, cyclosporine A upfront and, in selected patients, intrathecal therapy with methotrexate and corticosteroids. Subsequent hematopoietic stem cell transplantation (HSCT) is recommended for patients with familial disease or molecular diagnosis, and patients with severe and persistent, or reactivated, disease. In order to hopefully further improve diagnosis, therapy and biological understanding, participation in HLH studies is encouraged. © 2006 Wiley-Liss, Inc.","author":[{"dropping-particle":"","family":"Henter","given":"Jan Inge","non-dropping-particle":"","parse-names":false,"suffix":""},{"dropping-particle":"","family":"Horne","given":"Anna Carin","non-dropping-particle":"","parse-names":false,"suffix":""},{"dropping-particle":"","family":"Aricó","given":"Maurizio","non-dropping-particle":"","parse-names":false,"suffix":""},{"dropping-particle":"","family":"Egeler","given":"R. Maarten","non-dropping-particle":"","parse-names":false,"suffix":""},{"dropping-particle":"","family":"Filipovich","given":"Alexandra H.","non-dropping-particle":"","parse-names":false,"suffix":""},{"dropping-particle":"","family":"Imashuku","given":"Shinsaku","non-dropping-particle":"","parse-names":false,"suffix":""},{"dropping-particle":"","family":"Ladisch","given":"Stephan","non-dropping-particle":"","parse-names":false,"suffix":""},{"dropping-particle":"","family":"McClain","given":"Ken","non-dropping-particle":"","parse-names":false,"suffix":""},{"dropping-particle":"","family":"Webb","given":"David","non-dropping-particle":"","parse-names":false,"suffix":""},{"dropping-particle":"","family":"Winiarski","given":"Jacek","non-dropping-particle":"","parse-names":false,"suffix":""},{"dropping-particle":"","family":"Janka","given":"Gritta","non-dropping-particle":"","parse-names":false,"suffix":""}],"container-title":"Pediatric Blood and Cancer","id":"ITEM-3","issue":"2","issued":{"date-parts":[["2007","2"]]},"page":"124-131","publisher":"Pediatr Blood Cancer","title":"HLH-2004: Diagnostic and therapeutic guidelines for hemophagocytic lymphohistiocytosis","type":"article","volume":"48"},"uris":["http://www.mendeley.com/documents/?uuid=36e2cb75-1f4a-3d29-9939-4ec81c79925f"]}],"mendeley":{"formattedCitation":"[5,7,27]","plainTextFormattedCitation":"[5,7,27]","previouslyFormattedCitation":"&lt;sup&gt;5,7,27&lt;/sup&gt;"},"properties":{"noteIndex":0},"schema":"https://github.com/citation-style-language/schema/raw/master/csl-citation.json"}</w:instrText>
      </w:r>
      <w:r>
        <w:rPr>
          <w:rFonts w:ascii="Times New Roman" w:hAnsi="Times New Roman" w:cs="Times New Roman"/>
          <w:sz w:val="24"/>
          <w:szCs w:val="24"/>
        </w:rPr>
        <w:fldChar w:fldCharType="separate"/>
      </w:r>
      <w:r w:rsidR="00DF6B0D" w:rsidRPr="00DF6B0D">
        <w:rPr>
          <w:rFonts w:ascii="Times New Roman" w:hAnsi="Times New Roman" w:cs="Times New Roman"/>
          <w:noProof/>
          <w:sz w:val="24"/>
          <w:szCs w:val="24"/>
        </w:rPr>
        <w:t>[5,7,27]</w:t>
      </w:r>
      <w:r>
        <w:rPr>
          <w:rFonts w:ascii="Times New Roman" w:hAnsi="Times New Roman" w:cs="Times New Roman"/>
          <w:sz w:val="24"/>
          <w:szCs w:val="24"/>
        </w:rPr>
        <w:fldChar w:fldCharType="end"/>
      </w:r>
      <w:r>
        <w:rPr>
          <w:rFonts w:ascii="Times New Roman" w:hAnsi="Times New Roman" w:cs="Times New Roman"/>
          <w:sz w:val="24"/>
          <w:szCs w:val="24"/>
        </w:rPr>
        <w:t xml:space="preserve">. </w:t>
      </w:r>
      <w:r w:rsidRPr="00412AB4">
        <w:rPr>
          <w:rFonts w:ascii="Times New Roman" w:hAnsi="Times New Roman" w:cs="Times New Roman"/>
          <w:sz w:val="24"/>
          <w:szCs w:val="24"/>
        </w:rPr>
        <w:t>Corticosteroids are the first choice to suppress hypercytokinemia</w:t>
      </w:r>
      <w:r>
        <w:rPr>
          <w:rFonts w:ascii="Times New Roman" w:hAnsi="Times New Roman" w:cs="Times New Roman"/>
          <w:sz w:val="24"/>
          <w:szCs w:val="24"/>
        </w:rPr>
        <w:t>, primarily dexamethasone; s</w:t>
      </w:r>
      <w:r w:rsidRPr="00412AB4">
        <w:rPr>
          <w:rFonts w:ascii="Times New Roman" w:hAnsi="Times New Roman" w:cs="Times New Roman"/>
          <w:sz w:val="24"/>
          <w:szCs w:val="24"/>
        </w:rPr>
        <w:t>ince dexamethasone crosses the blood</w:t>
      </w:r>
      <w:r>
        <w:rPr>
          <w:rFonts w:ascii="Times New Roman" w:hAnsi="Times New Roman" w:cs="Times New Roman"/>
          <w:sz w:val="24"/>
          <w:szCs w:val="24"/>
        </w:rPr>
        <w:t>-</w:t>
      </w:r>
      <w:r w:rsidRPr="00412AB4">
        <w:rPr>
          <w:rFonts w:ascii="Times New Roman" w:hAnsi="Times New Roman" w:cs="Times New Roman"/>
          <w:sz w:val="24"/>
          <w:szCs w:val="24"/>
        </w:rPr>
        <w:t xml:space="preserve">brain barrier better than prednisolone, </w:t>
      </w:r>
      <w:r>
        <w:rPr>
          <w:rFonts w:ascii="Times New Roman" w:hAnsi="Times New Roman" w:cs="Times New Roman"/>
          <w:sz w:val="24"/>
          <w:szCs w:val="24"/>
        </w:rPr>
        <w:t xml:space="preserve">therefore </w:t>
      </w:r>
      <w:r w:rsidRPr="00412AB4">
        <w:rPr>
          <w:rFonts w:ascii="Times New Roman" w:hAnsi="Times New Roman" w:cs="Times New Roman"/>
          <w:sz w:val="24"/>
          <w:szCs w:val="24"/>
        </w:rPr>
        <w:t>it can suppress inflammation in the CNS more effectively</w:t>
      </w:r>
      <w:r>
        <w:rPr>
          <w:rFonts w:ascii="Times New Roman" w:hAnsi="Times New Roman" w:cs="Times New Roman"/>
          <w:sz w:val="24"/>
          <w:szCs w:val="24"/>
        </w:rPr>
        <w:t xml:space="preserve"> </w:t>
      </w:r>
      <w:r>
        <w:rPr>
          <w:rFonts w:ascii="Times New Roman" w:hAnsi="Times New Roman" w:cs="Times New Roman"/>
          <w:sz w:val="24"/>
          <w:szCs w:val="24"/>
        </w:rPr>
        <w:fldChar w:fldCharType="begin" w:fldLock="1"/>
      </w:r>
      <w:r w:rsidR="00DF6B0D">
        <w:rPr>
          <w:rFonts w:ascii="Times New Roman" w:hAnsi="Times New Roman" w:cs="Times New Roman"/>
          <w:sz w:val="24"/>
          <w:szCs w:val="24"/>
        </w:rPr>
        <w:instrText>ADDIN CSL_CITATION {"citationItems":[{"id":"ITEM-1","itemData":{"DOI":"10.1055/s-0029-1237386","ISSN":"03008630","PMID":"19707989","abstract":"Hemophagocytic lymphohistiocytosis (HLH) is a life-threatening syndrome in which an exaggerated but ineffective immune response leads to severe hyperinflammation. Key players in HLH are activated lymphocytes and histiocytes which infiltrate all organs and secrete large amounts of cytokines. Cardinal symptoms are prolonged fever, hepatosplenomegaly, cytopenias, and hemophagocytosis. Biochemical markers include elevated ferritin, triglycerides, and low fibrinogen. HLH occurs on the basis of various inherited and acquired immune defects. Impaired function of natural killer cells and cytotoxic T cells is shared by all forms of HLH. Nearly all genetic defects identified in inherited cases of HLH are either mutations in the perforin gene or in genes important for the exocytosis of cytotoxic granules. Cytotoxic granules contain perforin and granzymes which induce apoptosis upon entering the target cell. Additionally perforin is important for the down-regulation of the immune response. Acquired forms of HLH are found in association with infectious agents, in patients with autoimmune diseases, in malignant diseases, and in patients receiving immune suppression or after organ transplantation. HLH is still difficult to diagnose and may be overlooked since initially it may masquerade as a normal infection. HLH should be considered when symptoms are more pronounced than usual and in case of progression. Suppression of the severe hyperinflammation can be achieved with immunosuppressive and immunomodulatory agents and cytostatic drugs. Patients with genetic HLH have to undergo stem cell transplantation for cure. © Georg Thieme Verlag KG Stuttgart New York.","author":[{"dropping-particle":"","family":"Janka","given":"G.","non-dropping-particle":"","parse-names":false,"suffix":""}],"container-title":"Klinische Padiatrie","id":"ITEM-1","issue":"5","issued":{"date-parts":[["2009"]]},"page":"278-285","publisher":"Georg Thieme Verlag","title":"Hemophagocytic lymphohistiocytosis: When the immune system runs amok","type":"article","volume":"221"},"uris":["http://www.mendeley.com/documents/?uuid=84e151e6-6623-3b9d-ae9f-41ddb29de2b1"]}],"mendeley":{"formattedCitation":"[8]","plainTextFormattedCitation":"[8]","previouslyFormattedCitation":"&lt;sup&gt;8&lt;/sup&gt;"},"properties":{"noteIndex":0},"schema":"https://github.com/citation-style-language/schema/raw/master/csl-citation.json"}</w:instrText>
      </w:r>
      <w:r>
        <w:rPr>
          <w:rFonts w:ascii="Times New Roman" w:hAnsi="Times New Roman" w:cs="Times New Roman"/>
          <w:sz w:val="24"/>
          <w:szCs w:val="24"/>
        </w:rPr>
        <w:fldChar w:fldCharType="separate"/>
      </w:r>
      <w:r w:rsidR="00DF6B0D" w:rsidRPr="00DF6B0D">
        <w:rPr>
          <w:rFonts w:ascii="Times New Roman" w:hAnsi="Times New Roman" w:cs="Times New Roman"/>
          <w:noProof/>
          <w:sz w:val="24"/>
          <w:szCs w:val="24"/>
        </w:rPr>
        <w:t>[8]</w:t>
      </w:r>
      <w:r>
        <w:rPr>
          <w:rFonts w:ascii="Times New Roman" w:hAnsi="Times New Roman" w:cs="Times New Roman"/>
          <w:sz w:val="24"/>
          <w:szCs w:val="24"/>
        </w:rPr>
        <w:fldChar w:fldCharType="end"/>
      </w:r>
      <w:r>
        <w:rPr>
          <w:rFonts w:ascii="Times New Roman" w:hAnsi="Times New Roman" w:cs="Times New Roman"/>
          <w:sz w:val="24"/>
          <w:szCs w:val="24"/>
        </w:rPr>
        <w:t xml:space="preserve">. </w:t>
      </w:r>
      <w:r w:rsidRPr="00412AB4">
        <w:rPr>
          <w:rFonts w:ascii="Times New Roman" w:hAnsi="Times New Roman" w:cs="Times New Roman"/>
          <w:sz w:val="24"/>
          <w:szCs w:val="24"/>
        </w:rPr>
        <w:t>The 2004 treatment protocol formulated at the second</w:t>
      </w:r>
      <w:r>
        <w:rPr>
          <w:rFonts w:ascii="Times New Roman" w:hAnsi="Times New Roman" w:cs="Times New Roman"/>
          <w:sz w:val="24"/>
          <w:szCs w:val="24"/>
        </w:rPr>
        <w:t xml:space="preserve"> </w:t>
      </w:r>
      <w:r w:rsidRPr="00412AB4">
        <w:rPr>
          <w:rFonts w:ascii="Times New Roman" w:hAnsi="Times New Roman" w:cs="Times New Roman"/>
          <w:sz w:val="24"/>
          <w:szCs w:val="24"/>
        </w:rPr>
        <w:t>international meeting of the Histiocyte Society recommends an 8-week induction therapy with corticosteroids, etoposide, and cyclosporine A as the backbone of HLH treatment</w:t>
      </w:r>
      <w:r>
        <w:rPr>
          <w:rFonts w:ascii="Times New Roman" w:hAnsi="Times New Roman" w:cs="Times New Roman"/>
          <w:sz w:val="24"/>
          <w:szCs w:val="24"/>
        </w:rPr>
        <w:t xml:space="preserve"> </w:t>
      </w:r>
      <w:r>
        <w:rPr>
          <w:rFonts w:ascii="Times New Roman" w:hAnsi="Times New Roman" w:cs="Times New Roman"/>
          <w:sz w:val="24"/>
          <w:szCs w:val="24"/>
        </w:rPr>
        <w:fldChar w:fldCharType="begin" w:fldLock="1"/>
      </w:r>
      <w:r w:rsidR="00DF6B0D">
        <w:rPr>
          <w:rFonts w:ascii="Times New Roman" w:hAnsi="Times New Roman" w:cs="Times New Roman"/>
          <w:sz w:val="24"/>
          <w:szCs w:val="24"/>
        </w:rPr>
        <w:instrText>ADDIN CSL_CITATION {"citationItems":[{"id":"ITEM-1","itemData":{"DOI":"10.1309/AJCP4ZDKJ4ICOUAT","ISSN":"00029173","PMID":"23690113","abstract":"Hemophagocytic lymphohistiocytosis (HLH) is a frequently fatal and likely underdiagnosed disease involving a final common pathway of hypercytokinemia, which can result in end-organ damage and death. Although an early diagnosis is crucial to decrease mortality, the definitive diagnosis is often challenging because of the lack of specificity of currently accepted diagnostic criteria and the absence of confirmatory gold standards. Because of the wide range of laboratory assays involved in the diagnosis of HLH, practicing pathologists from a broad spectrum of clinical specialties need to be aware of the disease so that they may appropriately flag results and convey them to their clinical counterparts. Our article summarizes these new advances in the diagnosis of HLH and includes a review of clinical findings, updated understanding of the pathogenesis, and promising new testing methods. © American Society for Clinical Pathology.","author":[{"dropping-particle":"","family":"Rosado","given":"Flavia G.N.","non-dropping-particle":"","parse-names":false,"suffix":""},{"dropping-particle":"","family":"Kim","given":"Annette S.","non-dropping-particle":"","parse-names":false,"suffix":""}],"container-title":"American Journal of Clinical Pathology","id":"ITEM-1","issue":"6","issued":{"date-parts":[["2013"]]},"page":"713-727","title":"Hemophagocytic lymphohistiocytosis","type":"article-journal","volume":"139"},"uris":["http://www.mendeley.com/documents/?uuid=57a27a0f-3eab-45e4-a20b-1b9a78843fe8"]},{"id":"ITEM-2","itemData":{"DOI":"10.1046/j.1365-2141.2001.02936.x","ISSN":"00071048","PMID":"11564062","author":[{"dropping-particle":"","family":"Aricò","given":"M.","non-dropping-particle":"","parse-names":false,"suffix":""},{"dropping-particle":"","family":"Danesino","given":"C.","non-dropping-particle":"","parse-names":false,"suffix":""},{"dropping-particle":"","family":"Pende","given":"D.","non-dropping-particle":"","parse-names":false,"suffix":""},{"dropping-particle":"","family":"Moretta","given":"L.","non-dropping-particle":"","parse-names":false,"suffix":""}],"container-title":"British Journal of Haematology","id":"ITEM-2","issue":"4","issued":{"date-parts":[["2001"]]},"page":"761-769","publisher":"Br J Haematol","title":"Pathogenesis of haemophagocytic lymphohistiocytosis","type":"article","volume":"114"},"uris":["http://www.mendeley.com/documents/?uuid=e712af65-83b8-3154-8384-7e7d094278c6"]}],"mendeley":{"formattedCitation":"[1,29]","plainTextFormattedCitation":"[1,29]","previouslyFormattedCitation":"&lt;sup&gt;1,29&lt;/sup&gt;"},"properties":{"noteIndex":0},"schema":"https://github.com/citation-style-language/schema/raw/master/csl-citation.json"}</w:instrText>
      </w:r>
      <w:r>
        <w:rPr>
          <w:rFonts w:ascii="Times New Roman" w:hAnsi="Times New Roman" w:cs="Times New Roman"/>
          <w:sz w:val="24"/>
          <w:szCs w:val="24"/>
        </w:rPr>
        <w:fldChar w:fldCharType="separate"/>
      </w:r>
      <w:r w:rsidR="00DF6B0D" w:rsidRPr="00DF6B0D">
        <w:rPr>
          <w:rFonts w:ascii="Times New Roman" w:hAnsi="Times New Roman" w:cs="Times New Roman"/>
          <w:noProof/>
          <w:sz w:val="24"/>
          <w:szCs w:val="24"/>
        </w:rPr>
        <w:t>[1,29]</w:t>
      </w:r>
      <w:r>
        <w:rPr>
          <w:rFonts w:ascii="Times New Roman" w:hAnsi="Times New Roman" w:cs="Times New Roman"/>
          <w:sz w:val="24"/>
          <w:szCs w:val="24"/>
        </w:rPr>
        <w:fldChar w:fldCharType="end"/>
      </w:r>
      <w:r>
        <w:rPr>
          <w:rFonts w:ascii="Times New Roman" w:hAnsi="Times New Roman" w:cs="Times New Roman"/>
          <w:sz w:val="24"/>
          <w:szCs w:val="24"/>
        </w:rPr>
        <w:t xml:space="preserve">. The trigger can be eliminated by anti-infectious therapy and by replacing a defective immune system with a haemopoietic stem cell transplant </w:t>
      </w:r>
      <w:r>
        <w:rPr>
          <w:rFonts w:ascii="Times New Roman" w:hAnsi="Times New Roman" w:cs="Times New Roman"/>
          <w:sz w:val="24"/>
          <w:szCs w:val="24"/>
        </w:rPr>
        <w:fldChar w:fldCharType="begin" w:fldLock="1"/>
      </w:r>
      <w:r w:rsidR="00DF6B0D">
        <w:rPr>
          <w:rFonts w:ascii="Times New Roman" w:hAnsi="Times New Roman" w:cs="Times New Roman"/>
          <w:sz w:val="24"/>
          <w:szCs w:val="24"/>
        </w:rPr>
        <w:instrText>ADDIN CSL_CITATION {"citationItems":[{"id":"ITEM-1","itemData":{"DOI":"10.1182/asheducation-2013.1.605","ISSN":"15204383","PMID":"24319239","abstract":"Hemophagocytic lymphohistiocytosis (HLH) is not an independent disease but rather a life-threatening clinical syndrome that occurs in many underlying conditions and in all age groups. HLH is the consequence of a severe, uncontrolled hyperinflammatory reaction that in most cases is triggered by an infectious agent. Persistent stimulation of lymphocytes and histiocytes results in hypercytokinemia, leading to the characteristic symptoms of HLH. Genetic defects in familial HLH and in immunodeficiency syndromes associated with albinism affect the transport, processing, and function of cytotoxic granules in natural killer cells and cytotoxic T lymphocytes. This leads to defective killing of target cells and a failure to contract the immune response. The defects are increasingly found also in adolescents and adults. Acquired HLH occurs in autoinflammatory and autoimmune diseases (macrophage activation syndrome) and in patients with iatrogenic immunosuppression or with malignancies, but also in otherwise healthy persons with infections. Treatment of HLH aims at suppressing hypercytokinemia and eliminating the activated and infected cells. In genetic HLH, hematopoietic stem cell transplantation (HSCT) is needed for the correction of the immune defect. Treatment modalities include immunosuppressive, immunomodulatory, and cytostatic drugs; T-cell antibodies; and anticytokine agents. Using immunochemotherapy, familial HLH, which had been invariably fatal, has become a curable disease with more than 50% survivors. Reduced intensity conditioning for HSCT, which is associated with less transplantation-related mortality, will further improve cure rates.","author":[{"dropping-particle":"","family":"Janka","given":"Gritta E.","non-dropping-particle":"","parse-names":false,"suffix":""},{"dropping-particle":"","family":"Lehmberg","given":"Kai","non-dropping-particle":"","parse-names":false,"suffix":""}],"container-title":"Hematology / the Education Program of the American Society of Hematology. American Society of Hematology. Education Program","id":"ITEM-1","issued":{"date-parts":[["2013"]]},"page":"605-611","publisher":"Hematology Am Soc Hematol Educ Program","title":"Hemophagocytic lymphohistiocytosis: pathogenesis and treatment.","type":"article","volume":"2013"},"uris":["http://www.mendeley.com/documents/?uuid=cbad6bff-0e88-38e9-9529-48ed01384e5a"]},{"id":"ITEM-2","itemData":{"DOI":"10.1182/blood.2018894618","ISSN":"15280020","PMID":"30992265","abstract":"Hemophagocytic lymphohistiocytosis (HLH) is a severe hyperinflammatory syndrome induced by aberrantly activated macrophages and cytotoxic T cells. The primary (genetic) form, caused by mutations affecting lymphocyte cytotoxicity and immune regulation, is most common in children, whereas the secondary (acquired) form is most frequent in adults. Secondary HLH is commonly triggered by infections or malignancies but may also be induced by autoinflammatory/autoimmune disorders, in which case it is called macrophage activation syndrome (MAS; or MAS-HLH). Most information on the diagnosis and treatment of HLH comes from the pediatric literature. Although helpful in some adult cases, this raises several challenges. For example, the HLH-2004 diagnostic criteria developed for children are commonly applied but are not validated for adults. Another challenge in HLH diagnosis is that patients may present with a phenotype indistinguishable from sepsis or multiple organ dysfunction syndrome. Treatment algorithms targeting hyperinflammation are frequently based on pediatric protocols, such as HLH-94 and HLH-2004, which may result in overtreatment and unnecessary toxicity in adults. Therefore, dose reductions, individualized tailoring of treatment duration, and an age-dependent modified diagnostic approach are to be considered. Here, we present expert opinions derived from an interdisciplinary working group on adult HLH, sponsored by the Histiocyte Society, to facilitate knowledge transfer between physicians caring for pediatric and adult patients with HLH, with the aim to improve the outcome for adult patients affected by HLH.","author":[{"dropping-particle":"La","family":"Rosée","given":"Paul","non-dropping-particle":"","parse-names":false,"suffix":""},{"dropping-particle":"","family":"Horne","given":"Anna Carin","non-dropping-particle":"","parse-names":false,"suffix":""},{"dropping-particle":"","family":"Hines","given":"Melissa","non-dropping-particle":"","parse-names":false,"suffix":""},{"dropping-particle":"","family":"Greenwood","given":"Tatiana Von Bahr","non-dropping-particle":"","parse-names":false,"suffix":""},{"dropping-particle":"","family":"Machowicz","given":"Rafal","non-dropping-particle":"","parse-names":false,"suffix":""},{"dropping-particle":"","family":"Berliner","given":"Nancy","non-dropping-particle":"","parse-names":false,"suffix":""},{"dropping-particle":"","family":"Birndt","given":"Sebastian","non-dropping-particle":"","parse-names":false,"suffix":""},{"dropping-particle":"","family":"Gil-Herrera","given":"Juana","non-dropping-particle":"","parse-names":false,"suffix":""},{"dropping-particle":"","family":"Girschikofsky","given":"Michael","non-dropping-particle":"","parse-names":false,"suffix":""},{"dropping-particle":"","family":"Jordan","given":"Michael B.","non-dropping-particle":"","parse-names":false,"suffix":""},{"dropping-particle":"","family":"Kumar","given":"Ashish","non-dropping-particle":"","parse-names":false,"suffix":""},{"dropping-particle":"","family":"Laar","given":"Jan A.M.","non-dropping-particle":"Van","parse-names":false,"suffix":""},{"dropping-particle":"","family":"Lachmann","given":"Gunnar","non-dropping-particle":"","parse-names":false,"suffix":""},{"dropping-particle":"","family":"Nichols","given":"Kim E.","non-dropping-particle":"","parse-names":false,"suffix":""},{"dropping-particle":"V.","family":"Ramanan","given":"Athimalaipet","non-dropping-particle":"","parse-names":false,"suffix":""},{"dropping-particle":"","family":"Wang","given":"Yini","non-dropping-particle":"","parse-names":false,"suffix":""},{"dropping-particle":"","family":"Wang","given":"Zhao","non-dropping-particle":"","parse-names":false,"suffix":""},{"dropping-particle":"","family":"Janka","given":"Gritta","non-dropping-particle":"","parse-names":false,"suffix":""},{"dropping-particle":"","family":"Henter","given":"Jan Inge","non-dropping-particle":"","parse-names":false,"suffix":""}],"container-title":"Blood","id":"ITEM-2","issue":"23","issued":{"date-parts":[["2019","6","6"]]},"page":"2465-2477","publisher":"American Society of Hematology","title":"Recommendations for the management of hemophagocytic lymphohistiocytosis in adults","type":"article-journal","volume":"133"},"uris":["http://www.mendeley.com/documents/?uuid=330f8288-d095-3cff-a336-c294496490f9"]}],"mendeley":{"formattedCitation":"[5,27]","plainTextFormattedCitation":"[5,27]","previouslyFormattedCitation":"&lt;sup&gt;5,27&lt;/sup&gt;"},"properties":{"noteIndex":0},"schema":"https://github.com/citation-style-language/schema/raw/master/csl-citation.json"}</w:instrText>
      </w:r>
      <w:r>
        <w:rPr>
          <w:rFonts w:ascii="Times New Roman" w:hAnsi="Times New Roman" w:cs="Times New Roman"/>
          <w:sz w:val="24"/>
          <w:szCs w:val="24"/>
        </w:rPr>
        <w:fldChar w:fldCharType="separate"/>
      </w:r>
      <w:r w:rsidR="00DF6B0D" w:rsidRPr="00DF6B0D">
        <w:rPr>
          <w:rFonts w:ascii="Times New Roman" w:hAnsi="Times New Roman" w:cs="Times New Roman"/>
          <w:noProof/>
          <w:sz w:val="24"/>
          <w:szCs w:val="24"/>
        </w:rPr>
        <w:t>[5,27]</w:t>
      </w:r>
      <w:r>
        <w:rPr>
          <w:rFonts w:ascii="Times New Roman" w:hAnsi="Times New Roman" w:cs="Times New Roman"/>
          <w:sz w:val="24"/>
          <w:szCs w:val="24"/>
        </w:rPr>
        <w:fldChar w:fldCharType="end"/>
      </w:r>
      <w:r>
        <w:rPr>
          <w:rFonts w:ascii="Times New Roman" w:hAnsi="Times New Roman" w:cs="Times New Roman"/>
          <w:sz w:val="24"/>
          <w:szCs w:val="24"/>
        </w:rPr>
        <w:t>. Therefore, the HLH-2004 guideline recommends chemo-immunotherapy with etoposide, dexamethasone, cyclosporine A upfront, and intrathecal therapy with methotrexate in selected patients</w:t>
      </w:r>
      <w:r w:rsidRPr="00412AB4">
        <w:rPr>
          <w:rFonts w:ascii="Times New Roman" w:hAnsi="Times New Roman" w:cs="Times New Roman"/>
          <w:sz w:val="24"/>
          <w:szCs w:val="24"/>
        </w:rPr>
        <w:t xml:space="preserve"> corticosteroids. Subsequent hematopoietic stem cell transplantation (HSCT) is recommended for patients with familial disease or molecular diagnosis and severe and persistent, or reactivated, disease</w:t>
      </w:r>
      <w:r>
        <w:rPr>
          <w:rFonts w:ascii="Times New Roman" w:hAnsi="Times New Roman" w:cs="Times New Roman"/>
          <w:sz w:val="24"/>
          <w:szCs w:val="24"/>
        </w:rPr>
        <w:t xml:space="preserve"> </w:t>
      </w:r>
      <w:r>
        <w:rPr>
          <w:rFonts w:ascii="Times New Roman" w:hAnsi="Times New Roman" w:cs="Times New Roman"/>
          <w:sz w:val="24"/>
          <w:szCs w:val="24"/>
        </w:rPr>
        <w:fldChar w:fldCharType="begin" w:fldLock="1"/>
      </w:r>
      <w:r w:rsidR="00DF6B0D">
        <w:rPr>
          <w:rFonts w:ascii="Times New Roman" w:hAnsi="Times New Roman" w:cs="Times New Roman"/>
          <w:sz w:val="24"/>
          <w:szCs w:val="24"/>
        </w:rPr>
        <w:instrText>ADDIN CSL_CITATION {"citationItems":[{"id":"ITEM-1","itemData":{"DOI":"10.1002/pbc.21039","ISSN":"15455009","PMID":"16937360","abstract":"In HLH-94, the first prospective international treatment study for hemophagocytic lymphohistiocytosis (HLH), diagnosis was based on five criteria (fever, splenomegaly, bicytopenia, hypertriglyceridemia and/or hypofibrinogenemia, and hemophagocytosis). In HLH-2004 three additional criteria are introduced; low/absent NK-cell-activity, hyperferritinemia, and high-soluble interleukin-2-receptor levels. Altogether five of these eight criteria must be fulfilled, unless family history or molecular diagnosis is consistent with HLH. HLH-2004 chemo-immunotherapy includes etoposide, dexamethasone, cyclosporine A upfront and, in selected patients, intrathecal therapy with methotrexate and corticosteroids. Subsequent hematopoietic stem cell transplantation (HSCT) is recommended for patients with familial disease or molecular diagnosis, and patients with severe and persistent, or reactivated, disease. In order to hopefully further improve diagnosis, therapy and biological understanding, participation in HLH studies is encouraged. © 2006 Wiley-Liss, Inc.","author":[{"dropping-particle":"","family":"Henter","given":"Jan Inge","non-dropping-particle":"","parse-names":false,"suffix":""},{"dropping-particle":"","family":"Horne","given":"Anna Carin","non-dropping-particle":"","parse-names":false,"suffix":""},{"dropping-particle":"","family":"Aricó","given":"Maurizio","non-dropping-particle":"","parse-names":false,"suffix":""},{"dropping-particle":"","family":"Egeler","given":"R. Maarten","non-dropping-particle":"","parse-names":false,"suffix":""},{"dropping-particle":"","family":"Filipovich","given":"Alexandra H.","non-dropping-particle":"","parse-names":false,"suffix":""},{"dropping-particle":"","family":"Imashuku","given":"Shinsaku","non-dropping-particle":"","parse-names":false,"suffix":""},{"dropping-particle":"","family":"Ladisch","given":"Stephan","non-dropping-particle":"","parse-names":false,"suffix":""},{"dropping-particle":"","family":"McClain","given":"Ken","non-dropping-particle":"","parse-names":false,"suffix":""},{"dropping-particle":"","family":"Webb","given":"David","non-dropping-particle":"","parse-names":false,"suffix":""},{"dropping-particle":"","family":"Winiarski","given":"Jacek","non-dropping-particle":"","parse-names":false,"suffix":""},{"dropping-particle":"","family":"Janka","given":"Gritta","non-dropping-particle":"","parse-names":false,"suffix":""}],"container-title":"Pediatric Blood and Cancer","id":"ITEM-1","issue":"2","issued":{"date-parts":[["2007","2"]]},"page":"124-131","publisher":"Pediatr Blood Cancer","title":"HLH-2004: Diagnostic and therapeutic guidelines for hemophagocytic lymphohistiocytosis","type":"article","volume":"48"},"uris":["http://www.mendeley.com/documents/?uuid=36e2cb75-1f4a-3d29-9939-4ec81c79925f"]}],"mendeley":{"formattedCitation":"[7]","plainTextFormattedCitation":"[7]","previouslyFormattedCitation":"&lt;sup&gt;7&lt;/sup&gt;"},"properties":{"noteIndex":0},"schema":"https://github.com/citation-style-language/schema/raw/master/csl-citation.json"}</w:instrText>
      </w:r>
      <w:r>
        <w:rPr>
          <w:rFonts w:ascii="Times New Roman" w:hAnsi="Times New Roman" w:cs="Times New Roman"/>
          <w:sz w:val="24"/>
          <w:szCs w:val="24"/>
        </w:rPr>
        <w:fldChar w:fldCharType="separate"/>
      </w:r>
      <w:r w:rsidR="00DF6B0D" w:rsidRPr="00DF6B0D">
        <w:rPr>
          <w:rFonts w:ascii="Times New Roman" w:hAnsi="Times New Roman" w:cs="Times New Roman"/>
          <w:noProof/>
          <w:sz w:val="24"/>
          <w:szCs w:val="24"/>
        </w:rPr>
        <w:t>[7]</w:t>
      </w:r>
      <w:r>
        <w:rPr>
          <w:rFonts w:ascii="Times New Roman" w:hAnsi="Times New Roman" w:cs="Times New Roman"/>
          <w:sz w:val="24"/>
          <w:szCs w:val="24"/>
        </w:rPr>
        <w:fldChar w:fldCharType="end"/>
      </w:r>
      <w:r w:rsidRPr="00412AB4">
        <w:rPr>
          <w:rFonts w:ascii="Times New Roman" w:hAnsi="Times New Roman" w:cs="Times New Roman"/>
          <w:sz w:val="24"/>
          <w:szCs w:val="24"/>
        </w:rPr>
        <w:t>.</w:t>
      </w:r>
      <w:r>
        <w:rPr>
          <w:rFonts w:ascii="Times New Roman" w:hAnsi="Times New Roman" w:cs="Times New Roman"/>
          <w:sz w:val="24"/>
          <w:szCs w:val="24"/>
        </w:rPr>
        <w:t xml:space="preserve"> In</w:t>
      </w:r>
      <w:r w:rsidRPr="00412AB4">
        <w:rPr>
          <w:rFonts w:ascii="Times New Roman" w:hAnsi="Times New Roman" w:cs="Times New Roman"/>
          <w:sz w:val="24"/>
          <w:szCs w:val="24"/>
        </w:rPr>
        <w:t xml:space="preserve"> patients with milder forms of HLH</w:t>
      </w:r>
      <w:r>
        <w:rPr>
          <w:rFonts w:ascii="Times New Roman" w:hAnsi="Times New Roman" w:cs="Times New Roman"/>
          <w:sz w:val="24"/>
          <w:szCs w:val="24"/>
        </w:rPr>
        <w:t>,</w:t>
      </w:r>
      <w:r w:rsidRPr="00412AB4">
        <w:rPr>
          <w:rFonts w:ascii="Times New Roman" w:hAnsi="Times New Roman" w:cs="Times New Roman"/>
          <w:sz w:val="24"/>
          <w:szCs w:val="24"/>
        </w:rPr>
        <w:t xml:space="preserve"> corticosteroids with or without immunoglobulins may be sufficient to control hyper</w:t>
      </w:r>
      <w:r>
        <w:rPr>
          <w:rFonts w:ascii="Times New Roman" w:hAnsi="Times New Roman" w:cs="Times New Roman"/>
          <w:sz w:val="24"/>
          <w:szCs w:val="24"/>
        </w:rPr>
        <w:t xml:space="preserve"> </w:t>
      </w:r>
      <w:r w:rsidRPr="00412AB4">
        <w:rPr>
          <w:rFonts w:ascii="Times New Roman" w:hAnsi="Times New Roman" w:cs="Times New Roman"/>
          <w:sz w:val="24"/>
          <w:szCs w:val="24"/>
        </w:rPr>
        <w:t>inflammation</w:t>
      </w:r>
      <w:r>
        <w:rPr>
          <w:rFonts w:ascii="Times New Roman" w:hAnsi="Times New Roman" w:cs="Times New Roman"/>
          <w:sz w:val="24"/>
          <w:szCs w:val="24"/>
        </w:rPr>
        <w:t>;</w:t>
      </w:r>
      <w:r w:rsidRPr="00412AB4">
        <w:rPr>
          <w:rFonts w:ascii="Times New Roman" w:hAnsi="Times New Roman" w:cs="Times New Roman"/>
          <w:sz w:val="24"/>
          <w:szCs w:val="24"/>
        </w:rPr>
        <w:t xml:space="preserve"> however, initially</w:t>
      </w:r>
      <w:r>
        <w:rPr>
          <w:rFonts w:ascii="Times New Roman" w:hAnsi="Times New Roman" w:cs="Times New Roman"/>
          <w:sz w:val="24"/>
          <w:szCs w:val="24"/>
        </w:rPr>
        <w:t>,</w:t>
      </w:r>
      <w:r w:rsidRPr="00412AB4">
        <w:rPr>
          <w:rFonts w:ascii="Times New Roman" w:hAnsi="Times New Roman" w:cs="Times New Roman"/>
          <w:sz w:val="24"/>
          <w:szCs w:val="24"/>
        </w:rPr>
        <w:t xml:space="preserve"> mild cases can deteriorate rapidly within a short time</w:t>
      </w:r>
      <w:r>
        <w:rPr>
          <w:rFonts w:ascii="Times New Roman" w:hAnsi="Times New Roman" w:cs="Times New Roman"/>
          <w:sz w:val="24"/>
          <w:szCs w:val="24"/>
        </w:rPr>
        <w:t xml:space="preserve"> </w:t>
      </w:r>
      <w:r>
        <w:rPr>
          <w:rFonts w:ascii="Times New Roman" w:hAnsi="Times New Roman" w:cs="Times New Roman"/>
          <w:sz w:val="24"/>
          <w:szCs w:val="24"/>
        </w:rPr>
        <w:fldChar w:fldCharType="begin" w:fldLock="1"/>
      </w:r>
      <w:r w:rsidR="00DF6B0D">
        <w:rPr>
          <w:rFonts w:ascii="Times New Roman" w:hAnsi="Times New Roman" w:cs="Times New Roman"/>
          <w:sz w:val="24"/>
          <w:szCs w:val="24"/>
        </w:rPr>
        <w:instrText>ADDIN CSL_CITATION {"citationItems":[{"id":"ITEM-1","itemData":{"DOI":"10.1055/s-0029-1237386","ISSN":"03008630","PMID":"19707989","abstract":"Hemophagocytic lymphohistiocytosis (HLH) is a life-threatening syndrome in which an exaggerated but ineffective immune response leads to severe hyperinflammation. Key players in HLH are activated lymphocytes and histiocytes which infiltrate all organs and secrete large amounts of cytokines. Cardinal symptoms are prolonged fever, hepatosplenomegaly, cytopenias, and hemophagocytosis. Biochemical markers include elevated ferritin, triglycerides, and low fibrinogen. HLH occurs on the basis of various inherited and acquired immune defects. Impaired function of natural killer cells and cytotoxic T cells is shared by all forms of HLH. Nearly all genetic defects identified in inherited cases of HLH are either mutations in the perforin gene or in genes important for the exocytosis of cytotoxic granules. Cytotoxic granules contain perforin and granzymes which induce apoptosis upon entering the target cell. Additionally perforin is important for the down-regulation of the immune response. Acquired forms of HLH are found in association with infectious agents, in patients with autoimmune diseases, in malignant diseases, and in patients receiving immune suppression or after organ transplantation. HLH is still difficult to diagnose and may be overlooked since initially it may masquerade as a normal infection. HLH should be considered when symptoms are more pronounced than usual and in case of progression. Suppression of the severe hyperinflammation can be achieved with immunosuppressive and immunomodulatory agents and cytostatic drugs. Patients with genetic HLH have to undergo stem cell transplantation for cure. © Georg Thieme Verlag KG Stuttgart New York.","author":[{"dropping-particle":"","family":"Janka","given":"G.","non-dropping-particle":"","parse-names":false,"suffix":""}],"container-title":"Klinische Padiatrie","id":"ITEM-1","issue":"5","issued":{"date-parts":[["2009"]]},"page":"278-285","publisher":"Georg Thieme Verlag","title":"Hemophagocytic lymphohistiocytosis: When the immune system runs amok","type":"article","volume":"221"},"uris":["http://www.mendeley.com/documents/?uuid=84e151e6-6623-3b9d-ae9f-41ddb29de2b1"]}],"mendeley":{"formattedCitation":"[8]","plainTextFormattedCitation":"[8]","previouslyFormattedCitation":"&lt;sup&gt;8&lt;/sup&gt;"},"properties":{"noteIndex":0},"schema":"https://github.com/citation-style-language/schema/raw/master/csl-citation.json"}</w:instrText>
      </w:r>
      <w:r>
        <w:rPr>
          <w:rFonts w:ascii="Times New Roman" w:hAnsi="Times New Roman" w:cs="Times New Roman"/>
          <w:sz w:val="24"/>
          <w:szCs w:val="24"/>
        </w:rPr>
        <w:fldChar w:fldCharType="separate"/>
      </w:r>
      <w:r w:rsidR="00DF6B0D" w:rsidRPr="00DF6B0D">
        <w:rPr>
          <w:rFonts w:ascii="Times New Roman" w:hAnsi="Times New Roman" w:cs="Times New Roman"/>
          <w:noProof/>
          <w:sz w:val="24"/>
          <w:szCs w:val="24"/>
        </w:rPr>
        <w:t>[8]</w:t>
      </w:r>
      <w:r>
        <w:rPr>
          <w:rFonts w:ascii="Times New Roman" w:hAnsi="Times New Roman" w:cs="Times New Roman"/>
          <w:sz w:val="24"/>
          <w:szCs w:val="24"/>
        </w:rPr>
        <w:fldChar w:fldCharType="end"/>
      </w:r>
      <w:r>
        <w:rPr>
          <w:rFonts w:ascii="Times New Roman" w:hAnsi="Times New Roman" w:cs="Times New Roman"/>
          <w:sz w:val="24"/>
          <w:szCs w:val="24"/>
        </w:rPr>
        <w:t>.</w:t>
      </w:r>
    </w:p>
    <w:p w14:paraId="0B02E69D" w14:textId="79709A9C" w:rsidR="00412AB4" w:rsidRDefault="00412AB4" w:rsidP="00412AB4">
      <w:pPr>
        <w:autoSpaceDE w:val="0"/>
        <w:autoSpaceDN w:val="0"/>
        <w:adjustRightInd w:val="0"/>
        <w:spacing w:after="240" w:line="276" w:lineRule="auto"/>
        <w:rPr>
          <w:rFonts w:ascii="Times New Roman" w:hAnsi="Times New Roman" w:cs="Times New Roman"/>
          <w:sz w:val="24"/>
          <w:szCs w:val="24"/>
        </w:rPr>
      </w:pPr>
      <w:r w:rsidRPr="00412AB4">
        <w:rPr>
          <w:rFonts w:ascii="Times New Roman" w:hAnsi="Times New Roman" w:cs="Times New Roman"/>
          <w:sz w:val="24"/>
          <w:szCs w:val="24"/>
        </w:rPr>
        <w:lastRenderedPageBreak/>
        <w:t xml:space="preserve">Regarding </w:t>
      </w:r>
      <w:r>
        <w:rPr>
          <w:rFonts w:ascii="Times New Roman" w:hAnsi="Times New Roman" w:cs="Times New Roman"/>
          <w:sz w:val="24"/>
          <w:szCs w:val="24"/>
        </w:rPr>
        <w:t xml:space="preserve">the </w:t>
      </w:r>
      <w:r w:rsidRPr="00412AB4">
        <w:rPr>
          <w:rFonts w:ascii="Times New Roman" w:hAnsi="Times New Roman" w:cs="Times New Roman"/>
          <w:sz w:val="24"/>
          <w:szCs w:val="24"/>
        </w:rPr>
        <w:t xml:space="preserve">treatment of dengue associated HLH, </w:t>
      </w:r>
      <w:r>
        <w:rPr>
          <w:rFonts w:ascii="Times New Roman" w:hAnsi="Times New Roman" w:cs="Times New Roman"/>
          <w:sz w:val="24"/>
          <w:szCs w:val="24"/>
        </w:rPr>
        <w:t xml:space="preserve">some </w:t>
      </w:r>
      <w:r w:rsidRPr="00412AB4">
        <w:rPr>
          <w:rFonts w:ascii="Times New Roman" w:hAnsi="Times New Roman" w:cs="Times New Roman"/>
          <w:sz w:val="24"/>
          <w:szCs w:val="24"/>
        </w:rPr>
        <w:t>recovered spontaneously with supportive treatment only. However, in m</w:t>
      </w:r>
      <w:r>
        <w:rPr>
          <w:rFonts w:ascii="Times New Roman" w:hAnsi="Times New Roman" w:cs="Times New Roman"/>
          <w:sz w:val="24"/>
          <w:szCs w:val="24"/>
        </w:rPr>
        <w:t>ost</w:t>
      </w:r>
      <w:r w:rsidRPr="00412AB4">
        <w:rPr>
          <w:rFonts w:ascii="Times New Roman" w:hAnsi="Times New Roman" w:cs="Times New Roman"/>
          <w:sz w:val="24"/>
          <w:szCs w:val="24"/>
        </w:rPr>
        <w:t xml:space="preserve"> cases</w:t>
      </w:r>
      <w:r>
        <w:rPr>
          <w:rFonts w:ascii="Times New Roman" w:hAnsi="Times New Roman" w:cs="Times New Roman"/>
          <w:sz w:val="24"/>
          <w:szCs w:val="24"/>
        </w:rPr>
        <w:t>,</w:t>
      </w:r>
      <w:r w:rsidRPr="00412AB4">
        <w:rPr>
          <w:rFonts w:ascii="Times New Roman" w:hAnsi="Times New Roman" w:cs="Times New Roman"/>
          <w:sz w:val="24"/>
          <w:szCs w:val="24"/>
        </w:rPr>
        <w:t xml:space="preserve"> </w:t>
      </w:r>
      <w:r>
        <w:rPr>
          <w:rFonts w:ascii="Times New Roman" w:hAnsi="Times New Roman" w:cs="Times New Roman"/>
          <w:sz w:val="24"/>
          <w:szCs w:val="24"/>
        </w:rPr>
        <w:t xml:space="preserve">the </w:t>
      </w:r>
      <w:r w:rsidRPr="00412AB4">
        <w:rPr>
          <w:rFonts w:ascii="Times New Roman" w:hAnsi="Times New Roman" w:cs="Times New Roman"/>
          <w:sz w:val="24"/>
          <w:szCs w:val="24"/>
        </w:rPr>
        <w:t>pulse dosage of methylprednisolone or dexamethasone ha</w:t>
      </w:r>
      <w:r>
        <w:rPr>
          <w:rFonts w:ascii="Times New Roman" w:hAnsi="Times New Roman" w:cs="Times New Roman"/>
          <w:sz w:val="24"/>
          <w:szCs w:val="24"/>
        </w:rPr>
        <w:t>s</w:t>
      </w:r>
      <w:r w:rsidRPr="00412AB4">
        <w:rPr>
          <w:rFonts w:ascii="Times New Roman" w:hAnsi="Times New Roman" w:cs="Times New Roman"/>
          <w:sz w:val="24"/>
          <w:szCs w:val="24"/>
        </w:rPr>
        <w:t xml:space="preserve"> been used to suppress the hyperinflammatory state</w:t>
      </w:r>
      <w:r>
        <w:rPr>
          <w:rFonts w:ascii="Times New Roman" w:hAnsi="Times New Roman" w:cs="Times New Roman"/>
          <w:sz w:val="24"/>
          <w:szCs w:val="24"/>
        </w:rPr>
        <w:t xml:space="preserve">. </w:t>
      </w:r>
      <w:r w:rsidRPr="00412AB4">
        <w:rPr>
          <w:rFonts w:ascii="Times New Roman" w:hAnsi="Times New Roman" w:cs="Times New Roman"/>
          <w:sz w:val="24"/>
          <w:szCs w:val="24"/>
        </w:rPr>
        <w:t>The treatment of dengue induced HLH by intravenous immunoglobulin G seems to be associated with a favo</w:t>
      </w:r>
      <w:r>
        <w:rPr>
          <w:rFonts w:ascii="Times New Roman" w:hAnsi="Times New Roman" w:cs="Times New Roman"/>
          <w:sz w:val="24"/>
          <w:szCs w:val="24"/>
        </w:rPr>
        <w:t>u</w:t>
      </w:r>
      <w:r w:rsidRPr="00412AB4">
        <w:rPr>
          <w:rFonts w:ascii="Times New Roman" w:hAnsi="Times New Roman" w:cs="Times New Roman"/>
          <w:sz w:val="24"/>
          <w:szCs w:val="24"/>
        </w:rPr>
        <w:t>rable outcome</w:t>
      </w:r>
      <w:r>
        <w:rPr>
          <w:rFonts w:ascii="Times New Roman" w:hAnsi="Times New Roman" w:cs="Times New Roman"/>
          <w:sz w:val="24"/>
          <w:szCs w:val="24"/>
        </w:rPr>
        <w:t xml:space="preserve"> </w:t>
      </w:r>
      <w:r>
        <w:rPr>
          <w:rFonts w:ascii="Times New Roman" w:hAnsi="Times New Roman" w:cs="Times New Roman"/>
          <w:sz w:val="24"/>
          <w:szCs w:val="24"/>
        </w:rPr>
        <w:fldChar w:fldCharType="begin" w:fldLock="1"/>
      </w:r>
      <w:r w:rsidR="00DF6B0D">
        <w:rPr>
          <w:rFonts w:ascii="Times New Roman" w:hAnsi="Times New Roman" w:cs="Times New Roman"/>
          <w:sz w:val="24"/>
          <w:szCs w:val="24"/>
        </w:rPr>
        <w:instrText>ADDIN CSL_CITATION {"citationItems":[{"id":"ITEM-1","itemData":{"DOI":"10.1016/j.idcr.2017.03.013","ISSN":"22142509","PMID":"28409119","abstract":"Dengue, transmitted by the mosquito Aedes aegypti affects millions of people worldwide every year. Dengue induced hemophagocytic lymphohistiocytosis (HLH) is a serious condition and may prove fatal if not detected early and treated appropriately. Diagnosis of HLH is challenging and usually missed as clinical and laboratory findings are nonspecific. Moreover, the pathophysiology of the systemic inflammatory response syndrome and/or sepsis is remarkably similar to HLH. Secondary HLH following infection by the dengue virus is now being increasingly recognized as a cause of severe form of the disease. We report a case of dengue associated HLH in an otherwise healthy person who deteriorated during the course of hospitalization. A disproportionately high ferritin level and persistent bicytopenia prompted investigations for HLH. Diagnosis of dengue fever with virus-associated hemophagocytic syndrome was established according to the diagnostic criteria laid down by the Histiocyte Society. We discuss the diagnosis and management of this complex case and try to generate awareness about dengue induced HLH as one of the possible causes for severe manifestations of this infection","author":[{"dropping-particle":"","family":"Ray","given":"Ujjwayini","non-dropping-particle":"","parse-names":false,"suffix":""},{"dropping-particle":"","family":"Dutta","given":"Soma","non-dropping-particle":"","parse-names":false,"suffix":""},{"dropping-particle":"","family":"Mondal","given":"Susovan","non-dropping-particle":"","parse-names":false,"suffix":""},{"dropping-particle":"","family":"Bandyopadhyay","given":"Syamasis","non-dropping-particle":"","parse-names":false,"suffix":""}],"container-title":"IDCases","id":"ITEM-1","issued":{"date-parts":[["2017"]]},"page":"50-53","publisher":"Elsevier Ltd","title":"Severe dengue due to secondary hemophagocytic lymphohistiocytosis: A case study","type":"article-journal","volume":"8"},"uris":["http://www.mendeley.com/documents/?uuid=13692c3c-c849-3ff2-9647-8f59546403d0"]}],"mendeley":{"formattedCitation":"[23]","plainTextFormattedCitation":"[23]","previouslyFormattedCitation":"&lt;sup&gt;23&lt;/sup&gt;"},"properties":{"noteIndex":0},"schema":"https://github.com/citation-style-language/schema/raw/master/csl-citation.json"}</w:instrText>
      </w:r>
      <w:r>
        <w:rPr>
          <w:rFonts w:ascii="Times New Roman" w:hAnsi="Times New Roman" w:cs="Times New Roman"/>
          <w:sz w:val="24"/>
          <w:szCs w:val="24"/>
        </w:rPr>
        <w:fldChar w:fldCharType="separate"/>
      </w:r>
      <w:r w:rsidR="00DF6B0D" w:rsidRPr="00DF6B0D">
        <w:rPr>
          <w:rFonts w:ascii="Times New Roman" w:hAnsi="Times New Roman" w:cs="Times New Roman"/>
          <w:noProof/>
          <w:sz w:val="24"/>
          <w:szCs w:val="24"/>
        </w:rPr>
        <w:t>[23]</w:t>
      </w:r>
      <w:r>
        <w:rPr>
          <w:rFonts w:ascii="Times New Roman" w:hAnsi="Times New Roman" w:cs="Times New Roman"/>
          <w:sz w:val="24"/>
          <w:szCs w:val="24"/>
        </w:rPr>
        <w:fldChar w:fldCharType="end"/>
      </w:r>
      <w:r>
        <w:rPr>
          <w:rFonts w:ascii="Times New Roman" w:hAnsi="Times New Roman" w:cs="Times New Roman"/>
          <w:sz w:val="24"/>
          <w:szCs w:val="24"/>
        </w:rPr>
        <w:t xml:space="preserve">. HLH in dengue patients respond well to the conventional treatment of HLH </w:t>
      </w:r>
      <w:r>
        <w:rPr>
          <w:rFonts w:ascii="Times New Roman" w:hAnsi="Times New Roman" w:cs="Times New Roman"/>
          <w:sz w:val="24"/>
          <w:szCs w:val="24"/>
        </w:rPr>
        <w:fldChar w:fldCharType="begin" w:fldLock="1"/>
      </w:r>
      <w:r w:rsidR="00DF6B0D">
        <w:rPr>
          <w:rFonts w:ascii="Times New Roman" w:hAnsi="Times New Roman" w:cs="Times New Roman"/>
          <w:sz w:val="24"/>
          <w:szCs w:val="24"/>
        </w:rPr>
        <w:instrText>ADDIN CSL_CITATION {"citationItems":[{"id":"ITEM-1","itemData":{"DOI":"10.3109/00365548.2011.652667","ISSN":"00365548","PMID":"22264033","abstract":"Dengue is characterized by biphasic fever, myalgia or arthralgia, rash, leukopenia, and lymphadenopathy. It is self-limiting, and dengue-associated haemophagocytic lymphohistiocytosis has been reported in fewer than 20 children worldwide. We report the case of a 4-y-old boy with dengue who continued to have fever for 30 days, with hepatomegaly, thrombocytopenia, and leukopenia. Bone marrow examination showed haemophagocytes. The child was treated with steroids, instead etoposide and oral cyclosporine. © 2012 Informa Healthcare.","author":[{"dropping-particle":"","family":"Kapdi","given":"Muznah","non-dropping-particle":"","parse-names":false,"suffix":""},{"dropping-particle":"","family":"Shah","given":"Ira","non-dropping-particle":"","parse-names":false,"suffix":""}],"container-title":"Scandinavian Journal of Infectious Diseases","id":"ITEM-1","issue":"9","issued":{"date-parts":[["2012","9"]]},"page":"708-709","publisher":"Scand J Infect Dis","title":"Dengue and haemophagocytic lymphohistiocytosis","type":"article-journal","volume":"44"},"uris":["http://www.mendeley.com/documents/?uuid=ef2d5a2c-0503-3c6a-9e26-533e8233028d"]}],"mendeley":{"formattedCitation":"[9]","plainTextFormattedCitation":"[9]","previouslyFormattedCitation":"&lt;sup&gt;9&lt;/sup&gt;"},"properties":{"noteIndex":0},"schema":"https://github.com/citation-style-language/schema/raw/master/csl-citation.json"}</w:instrText>
      </w:r>
      <w:r>
        <w:rPr>
          <w:rFonts w:ascii="Times New Roman" w:hAnsi="Times New Roman" w:cs="Times New Roman"/>
          <w:sz w:val="24"/>
          <w:szCs w:val="24"/>
        </w:rPr>
        <w:fldChar w:fldCharType="separate"/>
      </w:r>
      <w:r w:rsidR="00DF6B0D" w:rsidRPr="00DF6B0D">
        <w:rPr>
          <w:rFonts w:ascii="Times New Roman" w:hAnsi="Times New Roman" w:cs="Times New Roman"/>
          <w:noProof/>
          <w:sz w:val="24"/>
          <w:szCs w:val="24"/>
        </w:rPr>
        <w:t>[9]</w:t>
      </w:r>
      <w:r>
        <w:rPr>
          <w:rFonts w:ascii="Times New Roman" w:hAnsi="Times New Roman" w:cs="Times New Roman"/>
          <w:sz w:val="24"/>
          <w:szCs w:val="24"/>
        </w:rPr>
        <w:fldChar w:fldCharType="end"/>
      </w:r>
      <w:r>
        <w:rPr>
          <w:rFonts w:ascii="Times New Roman" w:hAnsi="Times New Roman" w:cs="Times New Roman"/>
          <w:sz w:val="24"/>
          <w:szCs w:val="24"/>
        </w:rPr>
        <w:t xml:space="preserve">. </w:t>
      </w:r>
      <w:r w:rsidRPr="00412AB4">
        <w:rPr>
          <w:rFonts w:ascii="Times New Roman" w:hAnsi="Times New Roman" w:cs="Times New Roman"/>
          <w:sz w:val="24"/>
          <w:szCs w:val="24"/>
        </w:rPr>
        <w:t>Importantly, HLH-directed treatment with dexamethasone and etoposide showed substantially reduced mortality in potentially fatal viral infection</w:t>
      </w:r>
      <w:r>
        <w:rPr>
          <w:rFonts w:ascii="Times New Roman" w:hAnsi="Times New Roman" w:cs="Times New Roman"/>
          <w:sz w:val="24"/>
          <w:szCs w:val="24"/>
        </w:rPr>
        <w:t>s</w:t>
      </w:r>
      <w:r w:rsidRPr="00412AB4">
        <w:rPr>
          <w:rFonts w:ascii="Times New Roman" w:hAnsi="Times New Roman" w:cs="Times New Roman"/>
          <w:sz w:val="24"/>
          <w:szCs w:val="24"/>
        </w:rPr>
        <w:t xml:space="preserve"> associated with HLH</w:t>
      </w:r>
      <w:r>
        <w:rPr>
          <w:rFonts w:ascii="Times New Roman" w:hAnsi="Times New Roman" w:cs="Times New Roman"/>
          <w:sz w:val="24"/>
          <w:szCs w:val="24"/>
        </w:rPr>
        <w:t xml:space="preserve"> </w:t>
      </w:r>
      <w:r>
        <w:rPr>
          <w:rFonts w:ascii="Times New Roman" w:hAnsi="Times New Roman" w:cs="Times New Roman"/>
          <w:sz w:val="24"/>
          <w:szCs w:val="24"/>
        </w:rPr>
        <w:fldChar w:fldCharType="begin" w:fldLock="1"/>
      </w:r>
      <w:r w:rsidR="00DF6B0D">
        <w:rPr>
          <w:rFonts w:ascii="Times New Roman" w:hAnsi="Times New Roman" w:cs="Times New Roman"/>
          <w:sz w:val="24"/>
          <w:szCs w:val="24"/>
        </w:rPr>
        <w:instrText>ADDIN CSL_CITATION {"citationItems":[{"id":"ITEM-1","itemData":{"DOI":"10.1093/eurheartj/ehaa433","ISSN":"15229645","PMID":"32498076","abstract":"Aims: It remains unknown whether the treatment of hypertension influences the mortality of patients diagnosed with coronavirus disease 2019 (COVID-19). Methods and results: This is a retrospective observational study of all patients admitted with COVID-19 to Huo Shen Shan Hospital. The hospital was dedicated solely to the treatment of COVID-19 in Wuhan, China. Hypertension and the treatments were stratified according to the medical history or medications administrated prior to the infection. Among 2877 hospitalized patients, 29.5% (850/2877) had a history of hypertension. After adjustment for confounders, patients with hypertension had a two-fold increase in the relative risk of mortality as compared with patients without hypertension [4.0% vs. 1.1%, adjusted hazard ratio (HR) 2.12, 95% confidence interval (CI) 1.17-3.82, P = 0.013]. Patients with a history of hypertension but without antihypertensive treatment (n = 140) were associated with a significantly higher risk of mortality compared with those with antihypertensive treatments (n = 730) (7.9% vs. 3.2%, adjusted HR 2.17, 95% CI 1.03-4.57, P = 0.041). The mortality rates were similar between the renin-angiotensin-aldosterone system (RAAS) inhibitor (4/183) and non-RAAS inhibitor (19/527) cohorts (2.2% vs. 3.6%, adjusted HR 0.85, 95% CI 0.28-2.58, P = 0.774). However, in a study-level meta-analysis of four studies, the result showed that patients with RAAS inhibitor use tend to have a lower risk of mortality (relative risk 0.65, 95% CI 0.45-0.94, P = 0.20). Conclusion: While hypertension and the discontinuation of antihypertensive treatment are suspected to be related to increased risk of mortality, in this retrospective observational analysis, we did not detect any harm of RAAS inhibitors in patients infected with COVID-19. However, the results should be considered as exploratory and interpreted cautiously.","author":[{"dropping-particle":"","family":"Gao","given":"Chao","non-dropping-particle":"","parse-names":false,"suffix":""},{"dropping-particle":"","family":"Cai","given":"Yue","non-dropping-particle":"","parse-names":false,"suffix":""},{"dropping-particle":"","family":"Zhang","given":"Kan","non-dropping-particle":"","parse-names":false,"suffix":""},{"dropping-particle":"","family":"Zhou","given":"Lei","non-dropping-particle":"","parse-names":false,"suffix":""},{"dropping-particle":"","family":"Zhang","given":"Yao","non-dropping-particle":"","parse-names":false,"suffix":""},{"dropping-particle":"","family":"Zhang","given":"Xijing","non-dropping-particle":"","parse-names":false,"suffix":""},{"dropping-particle":"","family":"Zhang","given":"Xijing","non-dropping-particle":"","parse-names":false,"suffix":""},{"dropping-particle":"","family":"Li","given":"Qi","non-dropping-particle":"","parse-names":false,"suffix":""},{"dropping-particle":"","family":"Li","given":"Weiqin","non-dropping-particle":"","parse-names":false,"suffix":""},{"dropping-particle":"","family":"Yang","given":"Shiming","non-dropping-particle":"","parse-names":false,"suffix":""},{"dropping-particle":"","family":"Zhao","given":"Xiaoyan","non-dropping-particle":"","parse-names":false,"suffix":""},{"dropping-particle":"","family":"Zhao","given":"Yuying","non-dropping-particle":"","parse-names":false,"suffix":""},{"dropping-particle":"","family":"Wang","given":"Hui","non-dropping-particle":"","parse-names":false,"suffix":""},{"dropping-particle":"","family":"Liu","given":"Yi","non-dropping-particle":"","parse-names":false,"suffix":""},{"dropping-particle":"","family":"Yin","given":"Zhiyong","non-dropping-particle":"","parse-names":false,"suffix":""},{"dropping-particle":"","family":"Zhang","given":"Ruining","non-dropping-particle":"","parse-names":false,"suffix":""},{"dropping-particle":"","family":"Wang","given":"Rutao","non-dropping-particle":"","parse-names":false,"suffix":""},{"dropping-particle":"","family":"Yang","given":"Ming","non-dropping-particle":"","parse-names":false,"suffix":""},{"dropping-particle":"","family":"Hui","given":"Chen","non-dropping-particle":"","parse-names":false,"suffix":""},{"dropping-particle":"","family":"Wijns","given":"William","non-dropping-particle":"","parse-names":false,"suffix":""},{"dropping-particle":"","family":"Mcevoy","given":"J. William","non-dropping-particle":"","parse-names":false,"suffix":""},{"dropping-particle":"","family":"Soliman","given":"Osama","non-dropping-particle":"","parse-names":false,"suffix":""},{"dropping-particle":"","family":"Onuma","given":"Yoshinobu","non-dropping-particle":"","parse-names":false,"suffix":""},{"dropping-particle":"","family":"Serruys","given":"Patrick W.","non-dropping-particle":"","parse-names":false,"suffix":""},{"dropping-particle":"","family":"Tao","given":"Ling","non-dropping-particle":"","parse-names":false,"suffix":""},{"dropping-particle":"","family":"Li","given":"Fei","non-dropping-particle":"","parse-names":false,"suffix":""}],"container-title":"European Heart Journal","id":"ITEM-1","issue":"22","issued":{"date-parts":[["2020","6","7"]]},"page":"2058-2066","publisher":"Oxford University Press","title":"Association of hypertension and antihypertensive treatment with COVID-19 mortality: a retrospective observational study","type":"article-journal","volume":"41"},"uris":["http://www.mendeley.com/documents/?uuid=87f4d2a4-7d4e-38e3-8d07-561e88a1bb72"]}],"mendeley":{"formattedCitation":"[32]","plainTextFormattedCitation":"[32]","previouslyFormattedCitation":"&lt;sup&gt;32&lt;/sup&gt;"},"properties":{"noteIndex":0},"schema":"https://github.com/citation-style-language/schema/raw/master/csl-citation.json"}</w:instrText>
      </w:r>
      <w:r>
        <w:rPr>
          <w:rFonts w:ascii="Times New Roman" w:hAnsi="Times New Roman" w:cs="Times New Roman"/>
          <w:sz w:val="24"/>
          <w:szCs w:val="24"/>
        </w:rPr>
        <w:fldChar w:fldCharType="separate"/>
      </w:r>
      <w:r w:rsidR="00DF6B0D" w:rsidRPr="00DF6B0D">
        <w:rPr>
          <w:rFonts w:ascii="Times New Roman" w:hAnsi="Times New Roman" w:cs="Times New Roman"/>
          <w:noProof/>
          <w:sz w:val="24"/>
          <w:szCs w:val="24"/>
        </w:rPr>
        <w:t>[32]</w:t>
      </w:r>
      <w:r>
        <w:rPr>
          <w:rFonts w:ascii="Times New Roman" w:hAnsi="Times New Roman" w:cs="Times New Roman"/>
          <w:sz w:val="24"/>
          <w:szCs w:val="24"/>
        </w:rPr>
        <w:fldChar w:fldCharType="end"/>
      </w:r>
      <w:r>
        <w:rPr>
          <w:rFonts w:ascii="Times New Roman" w:hAnsi="Times New Roman" w:cs="Times New Roman"/>
          <w:sz w:val="24"/>
          <w:szCs w:val="24"/>
        </w:rPr>
        <w:t>.</w:t>
      </w:r>
    </w:p>
    <w:p w14:paraId="21B47CD2" w14:textId="171159AF" w:rsidR="00412AB4" w:rsidRDefault="00412AB4" w:rsidP="00412AB4">
      <w:pPr>
        <w:spacing w:after="240" w:line="276" w:lineRule="auto"/>
        <w:rPr>
          <w:rFonts w:ascii="Times New Roman" w:hAnsi="Times New Roman" w:cs="Times New Roman"/>
          <w:sz w:val="24"/>
          <w:szCs w:val="24"/>
        </w:rPr>
      </w:pPr>
      <w:r w:rsidRPr="00412AB4">
        <w:rPr>
          <w:rFonts w:ascii="Times New Roman" w:hAnsi="Times New Roman" w:cs="Times New Roman"/>
          <w:sz w:val="24"/>
          <w:szCs w:val="24"/>
        </w:rPr>
        <w:t>Primary HLH has a near 100% fatality without adequate treatment. However, in international studies (HLH-94/HLH-2004)</w:t>
      </w:r>
      <w:r>
        <w:rPr>
          <w:rFonts w:ascii="Times New Roman" w:hAnsi="Times New Roman" w:cs="Times New Roman"/>
          <w:sz w:val="24"/>
          <w:szCs w:val="24"/>
        </w:rPr>
        <w:t>,</w:t>
      </w:r>
      <w:r w:rsidRPr="00412AB4">
        <w:rPr>
          <w:rFonts w:ascii="Times New Roman" w:hAnsi="Times New Roman" w:cs="Times New Roman"/>
          <w:sz w:val="24"/>
          <w:szCs w:val="24"/>
        </w:rPr>
        <w:t xml:space="preserve"> survival increased from </w:t>
      </w:r>
      <w:r>
        <w:rPr>
          <w:rFonts w:ascii="Times New Roman" w:hAnsi="Times New Roman" w:cs="Times New Roman"/>
          <w:sz w:val="24"/>
          <w:szCs w:val="24"/>
        </w:rPr>
        <w:t>~</w:t>
      </w:r>
      <w:r w:rsidRPr="00412AB4">
        <w:rPr>
          <w:rFonts w:ascii="Times New Roman" w:hAnsi="Times New Roman" w:cs="Times New Roman"/>
          <w:sz w:val="24"/>
          <w:szCs w:val="24"/>
        </w:rPr>
        <w:t>0% to 60% with HLH-directed treatment</w:t>
      </w:r>
      <w:r>
        <w:rPr>
          <w:rFonts w:ascii="Times New Roman" w:hAnsi="Times New Roman" w:cs="Times New Roman"/>
          <w:sz w:val="24"/>
          <w:szCs w:val="24"/>
        </w:rPr>
        <w:t>,</w:t>
      </w:r>
      <w:r w:rsidRPr="00412AB4">
        <w:rPr>
          <w:rFonts w:ascii="Times New Roman" w:hAnsi="Times New Roman" w:cs="Times New Roman"/>
          <w:sz w:val="24"/>
          <w:szCs w:val="24"/>
        </w:rPr>
        <w:t xml:space="preserve"> including dexamethasone and the cytotoxic drug etoposide.</w:t>
      </w:r>
      <w:r>
        <w:rPr>
          <w:rFonts w:ascii="Times New Roman" w:hAnsi="Times New Roman" w:cs="Times New Roman"/>
          <w:sz w:val="24"/>
          <w:szCs w:val="24"/>
        </w:rPr>
        <w:t xml:space="preserve"> </w:t>
      </w:r>
      <w:r>
        <w:rPr>
          <w:rFonts w:ascii="Times New Roman" w:hAnsi="Times New Roman" w:cs="Times New Roman"/>
          <w:sz w:val="24"/>
          <w:szCs w:val="24"/>
        </w:rPr>
        <w:fldChar w:fldCharType="begin" w:fldLock="1"/>
      </w:r>
      <w:r w:rsidR="00DF6B0D">
        <w:rPr>
          <w:rFonts w:ascii="Times New Roman" w:hAnsi="Times New Roman" w:cs="Times New Roman"/>
          <w:sz w:val="24"/>
          <w:szCs w:val="24"/>
        </w:rPr>
        <w:instrText>ADDIN CSL_CITATION {"citationItems":[{"id":"ITEM-1","itemData":{"DOI":"10.1093/cid/ciz499","ISSN":"15376591","PMID":"31188423","abstract":"Background. Globally, ~500 000 people with severe dengue (SD) require hospitalization yearly; ~12 500 (2.5%) die. Secondary hemophagocytic lymphohistiocytosis (sHLH) is a potentially fatal hyperinflammatory condition for which HLH-directed therapy (as etoposide and dexamethasone) can be life-saving. Prompted by the high mortality in SD and the increasing awareness that patients with SD may develop sHLH, our objectives were to (1) determine the frequency of dengue-HLH in SD, (2) describe clinical features of dengue-HLH, (3) assess mortality rate in SD and dengue-HLH, and (4) identify mortality-associated risk factors in SD. Methods. A 5-year retrospective single-center study in all adult patients with SD admitted to a tertiary intensive care unit in Malaysia. Results. Thirty-nine of 180 (22%) patients with SD died. Twenty-one of 180 (12%) had HLH defined as an HLH probability ≥70% according to histo score (HScore); 9 (43%) died. Similarly, 12 of 31 (39%) fulfilling ≥4 and 7 of 9 (78%) fulfilling ≥5 HLH-2004 diagnostic criteria died. Peak values of aspartate aminotransferase (AST), alanine aminotransferase, lactate dehydrogenase, and creatinine correlated to fatality (odds ratios [ORs], 2.9, 3.4, 5.8, and 31.9; all P &lt;.0001), as did peak ferritin (OR, 2.5; P =.0028), nadir platelets (OR, 1.9; P =.00068), hepatomegaly (OR, 2.9; P =.012), and increasing age (OR, 1.2; P =.0043). Multivariable logistic regression revealed peak AST (OR, 2.8; P =.0019), peak creatinine (OR, 7.3; P =.0065), and SOFA (Sequential Organ Failure Assessment) score (OR, 1.4; P =.0051) as independent risk factors of death. Conclusions. Be observant of dengue-HLH due to its high mortality. A prospective study is suggested on prompt HLH-directed therapy in SD patients with hyperinflammation and evolving multiorgan failure at risk of developing dengue-HLH.","author":[{"dropping-particle":"","family":"Kan","given":"Foong Kee","non-dropping-particle":"","parse-names":false,"suffix":""},{"dropping-particle":"","family":"Tan","given":"Cheng Cheng","non-dropping-particle":"","parse-names":false,"suffix":""},{"dropping-particle":"","family":"Bahr Greenwood","given":"Tatiana","non-dropping-particle":"von","parse-names":false,"suffix":""},{"dropping-particle":"","family":"Khalid","given":"Khairil E.","non-dropping-particle":"","parse-names":false,"suffix":""},{"dropping-particle":"","family":"Supramaniam","given":"Premaa","non-dropping-particle":"","parse-names":false,"suffix":""},{"dropping-particle":"","family":"Myrberg","given":"Ida Hed","non-dropping-particle":"","parse-names":false,"suffix":""},{"dropping-particle":"","family":"Tan","given":"Lian Huat","non-dropping-particle":"","parse-names":false,"suffix":""},{"dropping-particle":"","family":"Henter","given":"Jan Inge","non-dropping-particle":"","parse-names":false,"suffix":""}],"container-title":"Clinical Infectious Diseases","id":"ITEM-1","issue":"11","issued":{"date-parts":[["2020","6","1"]]},"page":"2247-2255","publisher":"Oxford University Press","title":"Dengue Infection Complicated by Hemophagocytic Lymphohistiocytosis: Experiences from 180 Patients with Severe Dengue","type":"article-journal","volume":"70"},"uris":["http://www.mendeley.com/documents/?uuid=3378c7d9-a14a-3afb-9d8b-fa50b6300a8d"]}],"mendeley":{"formattedCitation":"[33]","plainTextFormattedCitation":"[33]","previouslyFormattedCitation":"&lt;sup&gt;33&lt;/sup&gt;"},"properties":{"noteIndex":0},"schema":"https://github.com/citation-style-language/schema/raw/master/csl-citation.json"}</w:instrText>
      </w:r>
      <w:r>
        <w:rPr>
          <w:rFonts w:ascii="Times New Roman" w:hAnsi="Times New Roman" w:cs="Times New Roman"/>
          <w:sz w:val="24"/>
          <w:szCs w:val="24"/>
        </w:rPr>
        <w:fldChar w:fldCharType="separate"/>
      </w:r>
      <w:r w:rsidR="00DF6B0D" w:rsidRPr="00DF6B0D">
        <w:rPr>
          <w:rFonts w:ascii="Times New Roman" w:hAnsi="Times New Roman" w:cs="Times New Roman"/>
          <w:noProof/>
          <w:sz w:val="24"/>
          <w:szCs w:val="24"/>
        </w:rPr>
        <w:t>[33]</w:t>
      </w:r>
      <w:r>
        <w:rPr>
          <w:rFonts w:ascii="Times New Roman" w:hAnsi="Times New Roman" w:cs="Times New Roman"/>
          <w:sz w:val="24"/>
          <w:szCs w:val="24"/>
        </w:rPr>
        <w:fldChar w:fldCharType="end"/>
      </w:r>
      <w:r>
        <w:rPr>
          <w:rFonts w:ascii="Times New Roman" w:hAnsi="Times New Roman" w:cs="Times New Roman"/>
          <w:sz w:val="24"/>
          <w:szCs w:val="24"/>
        </w:rPr>
        <w:t xml:space="preserve"> Even u</w:t>
      </w:r>
      <w:r w:rsidRPr="00412AB4">
        <w:rPr>
          <w:rFonts w:ascii="Times New Roman" w:hAnsi="Times New Roman" w:cs="Times New Roman"/>
          <w:sz w:val="24"/>
          <w:szCs w:val="24"/>
        </w:rPr>
        <w:t>ntreated,</w:t>
      </w:r>
      <w:r>
        <w:rPr>
          <w:rFonts w:ascii="Times New Roman" w:hAnsi="Times New Roman" w:cs="Times New Roman"/>
          <w:sz w:val="24"/>
          <w:szCs w:val="24"/>
        </w:rPr>
        <w:t xml:space="preserve"> secondary</w:t>
      </w:r>
      <w:r w:rsidRPr="00412AB4">
        <w:rPr>
          <w:rFonts w:ascii="Times New Roman" w:hAnsi="Times New Roman" w:cs="Times New Roman"/>
          <w:sz w:val="24"/>
          <w:szCs w:val="24"/>
        </w:rPr>
        <w:t xml:space="preserve"> FHL is a rapidly fatal disease. Most patients die from bacterial or fungal infections due to prolonged neutropenia, </w:t>
      </w:r>
      <w:r>
        <w:rPr>
          <w:rFonts w:ascii="Times New Roman" w:hAnsi="Times New Roman" w:cs="Times New Roman"/>
          <w:sz w:val="24"/>
          <w:szCs w:val="24"/>
        </w:rPr>
        <w:t>multiorgan failure, or</w:t>
      </w:r>
      <w:r w:rsidRPr="00412AB4">
        <w:rPr>
          <w:rFonts w:ascii="Times New Roman" w:hAnsi="Times New Roman" w:cs="Times New Roman"/>
          <w:sz w:val="24"/>
          <w:szCs w:val="24"/>
        </w:rPr>
        <w:t xml:space="preserve"> cerebral dysfunction.</w:t>
      </w:r>
      <w:r>
        <w:rPr>
          <w:rFonts w:ascii="Times New Roman" w:hAnsi="Times New Roman" w:cs="Times New Roman"/>
          <w:sz w:val="24"/>
          <w:szCs w:val="24"/>
        </w:rPr>
        <w:t xml:space="preserve"> </w:t>
      </w:r>
      <w:r>
        <w:rPr>
          <w:rFonts w:ascii="Times New Roman" w:hAnsi="Times New Roman" w:cs="Times New Roman"/>
          <w:sz w:val="24"/>
          <w:szCs w:val="24"/>
        </w:rPr>
        <w:fldChar w:fldCharType="begin" w:fldLock="1"/>
      </w:r>
      <w:r w:rsidR="00DF6B0D">
        <w:rPr>
          <w:rFonts w:ascii="Times New Roman" w:hAnsi="Times New Roman" w:cs="Times New Roman"/>
          <w:sz w:val="24"/>
          <w:szCs w:val="24"/>
        </w:rPr>
        <w:instrText>ADDIN CSL_CITATION {"citationItems":[{"id":"ITEM-1","itemData":{"DOI":"10.1146/annurev-med-041610-134208","ISSN":"00664219","PMID":"22248322","abstract":"Hemophagocytic lymphohistiocytosis (HLH) is a life-threatening syndrome in which an uncontrolled and ineffective immune response, triggered in most cases by infectious agents, leads to severe hyperinflammation. Familial forms of HLH (FHL), which are increasingly found also in adolescents and adults, are due to genetic defects leading to impaired function of natural killer cells and cytotoxic T cells. These mutations occur either in the perforin gene or in genes important for the exocytosis of cytotoxic granules. Cytotoxic granules contain perforin and granzymes, which induce apoptosis upon entering (infected) target cells. Additionally, perforin is important for the downregulation of the immune response. Acquired forms of HLH are encountered in association with (usually) viral infections, autoinflammatory/autoimmune diseases, malignant diseases, and acquired immune deficiency states (e.g., after organ transplantation). Treatment of HLH includes immune-suppressive and immune-modulatory agents, cytostatic drugs, and biological response modifiers. For patients with FHL, stem cell transplantation is indicated and can be curative. © 2012 by Annual Reviews. All rights reserved.","author":[{"dropping-particle":"","family":"Janka","given":"G. E.","non-dropping-particle":"","parse-names":false,"suffix":""}],"container-title":"Annual Review of Medicine","id":"ITEM-1","issued":{"date-parts":[["2012"]]},"page":"233-246","publisher":"Annu Rev Med","title":"Familial and acquired hemophagocytic lymphohistiocytosis","type":"article","volume":"63"},"uris":["http://www.mendeley.com/documents/?uuid=6c6fc87a-e9bb-3465-a7b7-03d5b1a34b03"]}],"mendeley":{"formattedCitation":"[6]","plainTextFormattedCitation":"[6]","previouslyFormattedCitation":"&lt;sup&gt;6&lt;/sup&gt;"},"properties":{"noteIndex":0},"schema":"https://github.com/citation-style-language/schema/raw/master/csl-citation.json"}</w:instrText>
      </w:r>
      <w:r>
        <w:rPr>
          <w:rFonts w:ascii="Times New Roman" w:hAnsi="Times New Roman" w:cs="Times New Roman"/>
          <w:sz w:val="24"/>
          <w:szCs w:val="24"/>
        </w:rPr>
        <w:fldChar w:fldCharType="separate"/>
      </w:r>
      <w:r w:rsidR="00DF6B0D" w:rsidRPr="00DF6B0D">
        <w:rPr>
          <w:rFonts w:ascii="Times New Roman" w:hAnsi="Times New Roman" w:cs="Times New Roman"/>
          <w:noProof/>
          <w:sz w:val="24"/>
          <w:szCs w:val="24"/>
        </w:rPr>
        <w:t>[6]</w:t>
      </w:r>
      <w:r>
        <w:rPr>
          <w:rFonts w:ascii="Times New Roman" w:hAnsi="Times New Roman" w:cs="Times New Roman"/>
          <w:sz w:val="24"/>
          <w:szCs w:val="24"/>
        </w:rPr>
        <w:fldChar w:fldCharType="end"/>
      </w:r>
      <w:r>
        <w:rPr>
          <w:rFonts w:ascii="Times New Roman" w:hAnsi="Times New Roman" w:cs="Times New Roman"/>
          <w:sz w:val="24"/>
          <w:szCs w:val="24"/>
        </w:rPr>
        <w:t xml:space="preserve"> Therefore, p</w:t>
      </w:r>
      <w:r w:rsidRPr="00412AB4">
        <w:rPr>
          <w:rFonts w:ascii="Times New Roman" w:hAnsi="Times New Roman" w:cs="Times New Roman"/>
          <w:sz w:val="24"/>
          <w:szCs w:val="24"/>
        </w:rPr>
        <w:t>rompt initiation of treatment is essential for the</w:t>
      </w:r>
      <w:r>
        <w:rPr>
          <w:rFonts w:ascii="Times New Roman" w:hAnsi="Times New Roman" w:cs="Times New Roman"/>
          <w:sz w:val="24"/>
          <w:szCs w:val="24"/>
        </w:rPr>
        <w:t xml:space="preserve"> </w:t>
      </w:r>
      <w:r w:rsidRPr="00412AB4">
        <w:rPr>
          <w:rFonts w:ascii="Times New Roman" w:hAnsi="Times New Roman" w:cs="Times New Roman"/>
          <w:sz w:val="24"/>
          <w:szCs w:val="24"/>
        </w:rPr>
        <w:t>survival of the affected patient</w:t>
      </w:r>
      <w:r>
        <w:rPr>
          <w:rFonts w:ascii="Times New Roman" w:hAnsi="Times New Roman" w:cs="Times New Roman"/>
          <w:sz w:val="24"/>
          <w:szCs w:val="24"/>
        </w:rPr>
        <w:t>, and t</w:t>
      </w:r>
      <w:r w:rsidRPr="00412AB4">
        <w:rPr>
          <w:rFonts w:ascii="Times New Roman" w:hAnsi="Times New Roman" w:cs="Times New Roman"/>
          <w:sz w:val="24"/>
          <w:szCs w:val="24"/>
        </w:rPr>
        <w:t>he clinical course of HLH may be very aggressive</w:t>
      </w:r>
      <w:r>
        <w:rPr>
          <w:rFonts w:ascii="Times New Roman" w:hAnsi="Times New Roman" w:cs="Times New Roman"/>
          <w:sz w:val="24"/>
          <w:szCs w:val="24"/>
        </w:rPr>
        <w:t>,</w:t>
      </w:r>
      <w:r w:rsidRPr="00412AB4">
        <w:rPr>
          <w:rFonts w:ascii="Times New Roman" w:hAnsi="Times New Roman" w:cs="Times New Roman"/>
          <w:sz w:val="24"/>
          <w:szCs w:val="24"/>
        </w:rPr>
        <w:t xml:space="preserve"> and sometimes initial treatment may be necessary to prevent early fatalities, even though the diagnostic workup has not been completed</w:t>
      </w:r>
      <w:r>
        <w:rPr>
          <w:rFonts w:ascii="Times New Roman" w:hAnsi="Times New Roman" w:cs="Times New Roman"/>
          <w:sz w:val="24"/>
          <w:szCs w:val="24"/>
        </w:rPr>
        <w:t xml:space="preserve"> </w:t>
      </w:r>
      <w:r>
        <w:rPr>
          <w:rFonts w:ascii="Times New Roman" w:hAnsi="Times New Roman" w:cs="Times New Roman"/>
          <w:sz w:val="24"/>
          <w:szCs w:val="24"/>
        </w:rPr>
        <w:fldChar w:fldCharType="begin" w:fldLock="1"/>
      </w:r>
      <w:r w:rsidR="00DF6B0D">
        <w:rPr>
          <w:rFonts w:ascii="Times New Roman" w:hAnsi="Times New Roman" w:cs="Times New Roman"/>
          <w:sz w:val="24"/>
          <w:szCs w:val="24"/>
        </w:rPr>
        <w:instrText>ADDIN CSL_CITATION {"citationItems":[{"id":"ITEM-1","itemData":{"DOI":"10.1179/2295333714Y.0000000019","ISSN":"00015512","PMID":"24820925","abstract":"We describe a 21-year-old female patient returning from a journey to Cambodia, who developed dengue fever complicated with hemophagocytic lymphohistiocytosis. Hectic fever, rash, leukopenia, thrombocytopenia, hepatocellular dysfunction, a markedly elevated ferritin level, and a bone marrow demonstrating abundant hemophagocytosis were present. The patient recovered within 14 days. To our knowledge, this is only the second reported case of dengue virus-associated hemophagocytosis in Europe. As dengue is a rising pathogen in tropical import diseases, clinicians must be aware of its rare but serious complications. © Acta Clinica Belgica 2014.","author":[{"dropping-particle":"","family":"Koninck","given":"A. S.","non-dropping-particle":"De","parse-names":false,"suffix":""},{"dropping-particle":"","family":"Dierick","given":"J.","non-dropping-particle":"","parse-names":false,"suffix":""},{"dropping-particle":"","family":"Steyaert","given":"S.","non-dropping-particle":"","parse-names":false,"suffix":""},{"dropping-particle":"","family":"Taelman","given":"P.","non-dropping-particle":"","parse-names":false,"suffix":""}],"container-title":"Acta Clinica Belgica","id":"ITEM-1","issue":"3","issued":{"date-parts":[["2014"]]},"page":"210-213","publisher":"Acta Clinica Belgica","title":"Hemophagocytic lymphohistiocytosis and dengue infection: Rare case report","type":"article-journal","volume":"69"},"uris":["http://www.mendeley.com/documents/?uuid=5892f7f4-5493-3ad3-88c8-4e0945c72bc3"]},{"id":"ITEM-2","itemData":{"DOI":"10.1046/j.1365-2141.2001.02936.x","ISSN":"00071048","PMID":"11564062","author":[{"dropping-particle":"","family":"Aricò","given":"M.","non-dropping-particle":"","parse-names":false,"suffix":""},{"dropping-particle":"","family":"Danesino","given":"C.","non-dropping-particle":"","parse-names":false,"suffix":""},{"dropping-particle":"","family":"Pende","given":"D.","non-dropping-particle":"","parse-names":false,"suffix":""},{"dropping-particle":"","family":"Moretta","given":"L.","non-dropping-particle":"","parse-names":false,"suffix":""}],"container-title":"British Journal of Haematology","id":"ITEM-2","issue":"4","issued":{"date-parts":[["2001"]]},"page":"761-769","publisher":"Br J Haematol","title":"Pathogenesis of haemophagocytic lymphohistiocytosis","type":"article","volume":"114"},"uris":["http://www.mendeley.com/documents/?uuid=e712af65-83b8-3154-8384-7e7d094278c6"]}],"mendeley":{"formattedCitation":"[3,29]","plainTextFormattedCitation":"[3,29]","previouslyFormattedCitation":"&lt;sup&gt;3,29&lt;/sup&gt;"},"properties":{"noteIndex":0},"schema":"https://github.com/citation-style-language/schema/raw/master/csl-citation.json"}</w:instrText>
      </w:r>
      <w:r>
        <w:rPr>
          <w:rFonts w:ascii="Times New Roman" w:hAnsi="Times New Roman" w:cs="Times New Roman"/>
          <w:sz w:val="24"/>
          <w:szCs w:val="24"/>
        </w:rPr>
        <w:fldChar w:fldCharType="separate"/>
      </w:r>
      <w:r w:rsidR="00DF6B0D" w:rsidRPr="00DF6B0D">
        <w:rPr>
          <w:rFonts w:ascii="Times New Roman" w:hAnsi="Times New Roman" w:cs="Times New Roman"/>
          <w:noProof/>
          <w:sz w:val="24"/>
          <w:szCs w:val="24"/>
        </w:rPr>
        <w:t>[3,29]</w:t>
      </w:r>
      <w:r>
        <w:rPr>
          <w:rFonts w:ascii="Times New Roman" w:hAnsi="Times New Roman" w:cs="Times New Roman"/>
          <w:sz w:val="24"/>
          <w:szCs w:val="24"/>
        </w:rPr>
        <w:fldChar w:fldCharType="end"/>
      </w:r>
      <w:r w:rsidRPr="00412AB4">
        <w:rPr>
          <w:rFonts w:ascii="Times New Roman" w:hAnsi="Times New Roman" w:cs="Times New Roman"/>
          <w:sz w:val="24"/>
          <w:szCs w:val="24"/>
        </w:rPr>
        <w:t>.</w:t>
      </w:r>
      <w:r>
        <w:rPr>
          <w:rFonts w:ascii="Times New Roman" w:hAnsi="Times New Roman" w:cs="Times New Roman"/>
          <w:sz w:val="24"/>
          <w:szCs w:val="24"/>
        </w:rPr>
        <w:t xml:space="preserve"> After the initial diagnosis of HLH, our patient</w:t>
      </w:r>
      <w:r w:rsidRPr="00E00B7F">
        <w:rPr>
          <w:rFonts w:ascii="Times New Roman" w:hAnsi="Times New Roman" w:cs="Times New Roman"/>
          <w:sz w:val="24"/>
          <w:szCs w:val="24"/>
        </w:rPr>
        <w:t xml:space="preserve"> was started </w:t>
      </w:r>
      <w:r>
        <w:rPr>
          <w:rFonts w:ascii="Times New Roman" w:hAnsi="Times New Roman" w:cs="Times New Roman"/>
          <w:sz w:val="24"/>
          <w:szCs w:val="24"/>
        </w:rPr>
        <w:t>with</w:t>
      </w:r>
      <w:r w:rsidRPr="00E00B7F">
        <w:rPr>
          <w:rFonts w:ascii="Times New Roman" w:hAnsi="Times New Roman" w:cs="Times New Roman"/>
          <w:sz w:val="24"/>
          <w:szCs w:val="24"/>
        </w:rPr>
        <w:t xml:space="preserve"> intravenous dexamethasone</w:t>
      </w:r>
      <w:r>
        <w:rPr>
          <w:rFonts w:ascii="Times New Roman" w:hAnsi="Times New Roman" w:cs="Times New Roman"/>
          <w:sz w:val="24"/>
          <w:szCs w:val="24"/>
        </w:rPr>
        <w:t xml:space="preserve"> for the</w:t>
      </w:r>
      <w:r w:rsidRPr="00E00B7F">
        <w:rPr>
          <w:rFonts w:ascii="Times New Roman" w:hAnsi="Times New Roman" w:cs="Times New Roman"/>
          <w:sz w:val="24"/>
          <w:szCs w:val="24"/>
        </w:rPr>
        <w:t xml:space="preserve"> </w:t>
      </w:r>
      <w:r>
        <w:rPr>
          <w:rFonts w:ascii="Times New Roman" w:hAnsi="Times New Roman" w:cs="Times New Roman"/>
          <w:sz w:val="24"/>
          <w:szCs w:val="24"/>
        </w:rPr>
        <w:t>first two weeks and then converted to oral dexamethasone, which was gradually tailed off</w:t>
      </w:r>
      <w:r w:rsidRPr="00E00B7F">
        <w:rPr>
          <w:rFonts w:ascii="Times New Roman" w:hAnsi="Times New Roman" w:cs="Times New Roman"/>
          <w:sz w:val="24"/>
          <w:szCs w:val="24"/>
        </w:rPr>
        <w:t xml:space="preserve"> over </w:t>
      </w:r>
      <w:r>
        <w:rPr>
          <w:rFonts w:ascii="Times New Roman" w:hAnsi="Times New Roman" w:cs="Times New Roman"/>
          <w:sz w:val="24"/>
          <w:szCs w:val="24"/>
        </w:rPr>
        <w:t>eight</w:t>
      </w:r>
      <w:r w:rsidRPr="00E00B7F">
        <w:rPr>
          <w:rFonts w:ascii="Times New Roman" w:hAnsi="Times New Roman" w:cs="Times New Roman"/>
          <w:sz w:val="24"/>
          <w:szCs w:val="24"/>
        </w:rPr>
        <w:t xml:space="preserve"> weeks</w:t>
      </w:r>
      <w:r>
        <w:rPr>
          <w:rFonts w:ascii="Times New Roman" w:hAnsi="Times New Roman" w:cs="Times New Roman"/>
          <w:sz w:val="24"/>
          <w:szCs w:val="24"/>
        </w:rPr>
        <w:t>. The patient had an excellent</w:t>
      </w:r>
      <w:r w:rsidRPr="00E00B7F">
        <w:rPr>
          <w:rFonts w:ascii="Times New Roman" w:hAnsi="Times New Roman" w:cs="Times New Roman"/>
          <w:sz w:val="24"/>
          <w:szCs w:val="24"/>
        </w:rPr>
        <w:t xml:space="preserve"> response</w:t>
      </w:r>
      <w:r>
        <w:rPr>
          <w:rFonts w:ascii="Times New Roman" w:hAnsi="Times New Roman" w:cs="Times New Roman"/>
          <w:sz w:val="24"/>
          <w:szCs w:val="24"/>
        </w:rPr>
        <w:t xml:space="preserve"> to treatment only with dexamethasone</w:t>
      </w:r>
      <w:r w:rsidRPr="00E00B7F">
        <w:rPr>
          <w:rFonts w:ascii="Times New Roman" w:hAnsi="Times New Roman" w:cs="Times New Roman"/>
          <w:sz w:val="24"/>
          <w:szCs w:val="24"/>
        </w:rPr>
        <w:t>.</w:t>
      </w:r>
    </w:p>
    <w:p w14:paraId="54784D53" w14:textId="3FB64FB1" w:rsidR="00412AB4" w:rsidRPr="00412AB4" w:rsidRDefault="00412AB4" w:rsidP="00412AB4">
      <w:pPr>
        <w:spacing w:after="240" w:line="276" w:lineRule="auto"/>
        <w:rPr>
          <w:rFonts w:ascii="Times New Roman" w:hAnsi="Times New Roman" w:cs="Times New Roman"/>
          <w:b/>
          <w:bCs/>
          <w:sz w:val="24"/>
          <w:szCs w:val="24"/>
        </w:rPr>
      </w:pPr>
      <w:r w:rsidRPr="00412AB4">
        <w:rPr>
          <w:rFonts w:ascii="Times New Roman" w:hAnsi="Times New Roman" w:cs="Times New Roman"/>
          <w:b/>
          <w:bCs/>
          <w:sz w:val="24"/>
          <w:szCs w:val="24"/>
        </w:rPr>
        <w:t>Conclusion</w:t>
      </w:r>
    </w:p>
    <w:p w14:paraId="12AF3386" w14:textId="5EAD6311" w:rsidR="00412AB4" w:rsidRDefault="00412AB4" w:rsidP="00412AB4">
      <w:pPr>
        <w:spacing w:after="240" w:line="276" w:lineRule="auto"/>
        <w:rPr>
          <w:rFonts w:ascii="Times New Roman" w:hAnsi="Times New Roman" w:cs="Times New Roman"/>
          <w:sz w:val="24"/>
          <w:szCs w:val="24"/>
        </w:rPr>
      </w:pPr>
      <w:r w:rsidRPr="00412AB4">
        <w:rPr>
          <w:rFonts w:ascii="Times New Roman" w:hAnsi="Times New Roman" w:cs="Times New Roman"/>
          <w:sz w:val="24"/>
          <w:szCs w:val="24"/>
        </w:rPr>
        <w:t>HLH</w:t>
      </w:r>
      <w:r>
        <w:rPr>
          <w:rFonts w:ascii="Times New Roman" w:hAnsi="Times New Roman" w:cs="Times New Roman"/>
          <w:sz w:val="24"/>
          <w:szCs w:val="24"/>
        </w:rPr>
        <w:t xml:space="preserve"> is a rare, highly fatal unusual manifestation of dengue infection. The diagnosis</w:t>
      </w:r>
      <w:r w:rsidRPr="00412AB4">
        <w:rPr>
          <w:rFonts w:ascii="Times New Roman" w:hAnsi="Times New Roman" w:cs="Times New Roman"/>
          <w:sz w:val="24"/>
          <w:szCs w:val="24"/>
        </w:rPr>
        <w:t xml:space="preserve"> </w:t>
      </w:r>
      <w:r>
        <w:rPr>
          <w:rFonts w:ascii="Times New Roman" w:hAnsi="Times New Roman" w:cs="Times New Roman"/>
          <w:sz w:val="24"/>
          <w:szCs w:val="24"/>
        </w:rPr>
        <w:t xml:space="preserve">of HLH </w:t>
      </w:r>
      <w:r w:rsidRPr="00412AB4">
        <w:rPr>
          <w:rFonts w:ascii="Times New Roman" w:hAnsi="Times New Roman" w:cs="Times New Roman"/>
          <w:sz w:val="24"/>
          <w:szCs w:val="24"/>
        </w:rPr>
        <w:t xml:space="preserve">should always be suspected </w:t>
      </w:r>
      <w:r>
        <w:rPr>
          <w:rFonts w:ascii="Times New Roman" w:hAnsi="Times New Roman" w:cs="Times New Roman"/>
          <w:sz w:val="24"/>
          <w:szCs w:val="24"/>
        </w:rPr>
        <w:t>when persistent fever follows</w:t>
      </w:r>
      <w:r w:rsidRPr="00412AB4">
        <w:rPr>
          <w:rFonts w:ascii="Times New Roman" w:hAnsi="Times New Roman" w:cs="Times New Roman"/>
          <w:sz w:val="24"/>
          <w:szCs w:val="24"/>
        </w:rPr>
        <w:t xml:space="preserve"> recovery from dengue fever</w:t>
      </w:r>
      <w:r>
        <w:rPr>
          <w:rFonts w:ascii="Times New Roman" w:hAnsi="Times New Roman" w:cs="Times New Roman"/>
          <w:sz w:val="24"/>
          <w:szCs w:val="24"/>
        </w:rPr>
        <w:t>, particularly when persistent pancytopenia aided by other investigations such as serum triglyceride, fibrinogen, and f</w:t>
      </w:r>
      <w:r w:rsidRPr="00DB1067">
        <w:rPr>
          <w:rFonts w:ascii="Times New Roman" w:hAnsi="Times New Roman" w:cs="Times New Roman"/>
          <w:sz w:val="24"/>
          <w:szCs w:val="24"/>
        </w:rPr>
        <w:t>erritin</w:t>
      </w:r>
      <w:r>
        <w:rPr>
          <w:rFonts w:ascii="Times New Roman" w:hAnsi="Times New Roman" w:cs="Times New Roman"/>
          <w:sz w:val="24"/>
          <w:szCs w:val="24"/>
        </w:rPr>
        <w:t xml:space="preserve"> levels. </w:t>
      </w:r>
      <w:r w:rsidRPr="00412AB4">
        <w:rPr>
          <w:rFonts w:ascii="Times New Roman" w:hAnsi="Times New Roman" w:cs="Times New Roman"/>
          <w:sz w:val="24"/>
          <w:szCs w:val="24"/>
        </w:rPr>
        <w:t xml:space="preserve">Early recognition and prompt institution of appropriate immunosuppressive therapy is the most vital factor for achieving </w:t>
      </w:r>
      <w:r>
        <w:rPr>
          <w:rFonts w:ascii="Times New Roman" w:hAnsi="Times New Roman" w:cs="Times New Roman"/>
          <w:sz w:val="24"/>
          <w:szCs w:val="24"/>
        </w:rPr>
        <w:t xml:space="preserve">a </w:t>
      </w:r>
      <w:r w:rsidRPr="00412AB4">
        <w:rPr>
          <w:rFonts w:ascii="Times New Roman" w:hAnsi="Times New Roman" w:cs="Times New Roman"/>
          <w:sz w:val="24"/>
          <w:szCs w:val="24"/>
        </w:rPr>
        <w:t>good prognosis.</w:t>
      </w:r>
      <w:r>
        <w:rPr>
          <w:rFonts w:ascii="Times New Roman" w:hAnsi="Times New Roman" w:cs="Times New Roman"/>
          <w:sz w:val="24"/>
          <w:szCs w:val="24"/>
        </w:rPr>
        <w:t xml:space="preserve"> </w:t>
      </w:r>
      <w:r w:rsidRPr="00412AB4">
        <w:rPr>
          <w:rFonts w:ascii="Times New Roman" w:hAnsi="Times New Roman" w:cs="Times New Roman"/>
          <w:sz w:val="24"/>
          <w:szCs w:val="24"/>
        </w:rPr>
        <w:t>The diagnosis is usually challenging, as it can be easily mistaken with other clinical situations, such as sepsis</w:t>
      </w:r>
      <w:r>
        <w:rPr>
          <w:rFonts w:ascii="Times New Roman" w:hAnsi="Times New Roman" w:cs="Times New Roman"/>
          <w:sz w:val="24"/>
          <w:szCs w:val="24"/>
        </w:rPr>
        <w:t>.</w:t>
      </w:r>
      <w:r w:rsidRPr="00412AB4">
        <w:rPr>
          <w:rFonts w:ascii="Times New Roman" w:hAnsi="Times New Roman" w:cs="Times New Roman"/>
          <w:sz w:val="24"/>
          <w:szCs w:val="24"/>
        </w:rPr>
        <w:t xml:space="preserve"> </w:t>
      </w:r>
      <w:r>
        <w:rPr>
          <w:rFonts w:ascii="Times New Roman" w:hAnsi="Times New Roman" w:cs="Times New Roman"/>
          <w:sz w:val="24"/>
          <w:szCs w:val="24"/>
        </w:rPr>
        <w:t xml:space="preserve">Bone marrow examination is essential when a dengue patient develops HLH to confirm the diagnosis since both conditions can give rise to pancytopenia. </w:t>
      </w:r>
      <w:r w:rsidRPr="00412AB4">
        <w:rPr>
          <w:rFonts w:ascii="Times New Roman" w:hAnsi="Times New Roman" w:cs="Times New Roman"/>
          <w:sz w:val="24"/>
          <w:szCs w:val="24"/>
        </w:rPr>
        <w:t>Corticosteroids are the first choice to suppress hypercytokinemia</w:t>
      </w:r>
      <w:r>
        <w:rPr>
          <w:rFonts w:ascii="Times New Roman" w:hAnsi="Times New Roman" w:cs="Times New Roman"/>
          <w:sz w:val="24"/>
          <w:szCs w:val="24"/>
        </w:rPr>
        <w:t>, primarily dexamethasone, s</w:t>
      </w:r>
      <w:r w:rsidRPr="00412AB4">
        <w:rPr>
          <w:rFonts w:ascii="Times New Roman" w:hAnsi="Times New Roman" w:cs="Times New Roman"/>
          <w:sz w:val="24"/>
          <w:szCs w:val="24"/>
        </w:rPr>
        <w:t>ince dexamethasone crosses the blood</w:t>
      </w:r>
      <w:r>
        <w:rPr>
          <w:rFonts w:ascii="Times New Roman" w:hAnsi="Times New Roman" w:cs="Times New Roman"/>
          <w:sz w:val="24"/>
          <w:szCs w:val="24"/>
        </w:rPr>
        <w:t>-</w:t>
      </w:r>
      <w:r w:rsidRPr="00412AB4">
        <w:rPr>
          <w:rFonts w:ascii="Times New Roman" w:hAnsi="Times New Roman" w:cs="Times New Roman"/>
          <w:sz w:val="24"/>
          <w:szCs w:val="24"/>
        </w:rPr>
        <w:t>brain barrier better than prednisolone,</w:t>
      </w:r>
      <w:r>
        <w:rPr>
          <w:rFonts w:ascii="Times New Roman" w:hAnsi="Times New Roman" w:cs="Times New Roman"/>
          <w:sz w:val="24"/>
          <w:szCs w:val="24"/>
        </w:rPr>
        <w:t xml:space="preserve"> along with other immunosuppressants such as</w:t>
      </w:r>
      <w:r w:rsidRPr="00412AB4">
        <w:rPr>
          <w:rFonts w:ascii="Times New Roman" w:hAnsi="Times New Roman" w:cs="Times New Roman"/>
          <w:sz w:val="24"/>
          <w:szCs w:val="24"/>
        </w:rPr>
        <w:t xml:space="preserve"> etoposide, and cyclosporine A </w:t>
      </w:r>
      <w:r>
        <w:rPr>
          <w:rFonts w:ascii="Times New Roman" w:hAnsi="Times New Roman" w:cs="Times New Roman"/>
          <w:sz w:val="24"/>
          <w:szCs w:val="24"/>
        </w:rPr>
        <w:t>and haemopoietic stem cell transplant stands out as the curative treatment.</w:t>
      </w:r>
    </w:p>
    <w:p w14:paraId="08739C8D" w14:textId="69C52636" w:rsidR="00243765" w:rsidRDefault="00243765" w:rsidP="00412AB4">
      <w:pPr>
        <w:spacing w:after="240" w:line="276" w:lineRule="auto"/>
        <w:rPr>
          <w:rFonts w:ascii="Times New Roman" w:hAnsi="Times New Roman" w:cs="Times New Roman"/>
          <w:b/>
          <w:bCs/>
          <w:sz w:val="24"/>
          <w:szCs w:val="24"/>
        </w:rPr>
      </w:pPr>
      <w:r>
        <w:rPr>
          <w:rFonts w:ascii="Times New Roman" w:hAnsi="Times New Roman" w:cs="Times New Roman"/>
          <w:b/>
          <w:bCs/>
          <w:sz w:val="24"/>
          <w:szCs w:val="24"/>
        </w:rPr>
        <w:t>12. Patient Perspective</w:t>
      </w:r>
    </w:p>
    <w:p w14:paraId="6426EACB" w14:textId="7514EFD4" w:rsidR="00243765" w:rsidRPr="00243765" w:rsidRDefault="00243765" w:rsidP="00412AB4">
      <w:pPr>
        <w:spacing w:after="240" w:line="276" w:lineRule="auto"/>
        <w:rPr>
          <w:rFonts w:ascii="Times New Roman" w:hAnsi="Times New Roman" w:cs="Times New Roman"/>
          <w:sz w:val="24"/>
          <w:szCs w:val="24"/>
        </w:rPr>
      </w:pPr>
      <w:r>
        <w:rPr>
          <w:rFonts w:ascii="Times New Roman" w:hAnsi="Times New Roman" w:cs="Times New Roman"/>
          <w:sz w:val="24"/>
          <w:szCs w:val="24"/>
        </w:rPr>
        <w:t xml:space="preserve">The patient was aware of the symptoms of dengue fever, although he did not have any idea about dengue haemorrhagic fever or haemophagocytic lymphohistiocytosis. After explaining the condition, the patient had excellent compliance with the treatment with steroids and was satisfied with the treatments due to good recovery. Although we mentioned the potential side effects of </w:t>
      </w:r>
      <w:r>
        <w:rPr>
          <w:rFonts w:ascii="Times New Roman" w:hAnsi="Times New Roman" w:cs="Times New Roman"/>
          <w:sz w:val="24"/>
          <w:szCs w:val="24"/>
        </w:rPr>
        <w:lastRenderedPageBreak/>
        <w:t>steroids, the patient was not worried much about those since it was given only for about ten weeks, and there was no need to continue steroids further.</w:t>
      </w:r>
    </w:p>
    <w:p w14:paraId="2A419FF2" w14:textId="5C3FC825" w:rsidR="00412AB4" w:rsidRPr="00412AB4" w:rsidRDefault="00243765" w:rsidP="00412AB4">
      <w:pPr>
        <w:spacing w:after="240" w:line="276" w:lineRule="auto"/>
        <w:rPr>
          <w:rFonts w:ascii="Times New Roman" w:hAnsi="Times New Roman" w:cs="Times New Roman"/>
          <w:b/>
          <w:bCs/>
          <w:sz w:val="24"/>
          <w:szCs w:val="24"/>
        </w:rPr>
      </w:pPr>
      <w:r>
        <w:rPr>
          <w:rFonts w:ascii="Times New Roman" w:hAnsi="Times New Roman" w:cs="Times New Roman"/>
          <w:b/>
          <w:bCs/>
          <w:sz w:val="24"/>
          <w:szCs w:val="24"/>
        </w:rPr>
        <w:t xml:space="preserve">13. Informed </w:t>
      </w:r>
      <w:r w:rsidR="00412AB4" w:rsidRPr="00412AB4">
        <w:rPr>
          <w:rFonts w:ascii="Times New Roman" w:hAnsi="Times New Roman" w:cs="Times New Roman"/>
          <w:b/>
          <w:bCs/>
          <w:sz w:val="24"/>
          <w:szCs w:val="24"/>
        </w:rPr>
        <w:t>Consent</w:t>
      </w:r>
    </w:p>
    <w:p w14:paraId="32A1CB1A" w14:textId="151C1B31" w:rsidR="00412AB4" w:rsidRPr="00412AB4" w:rsidRDefault="00412AB4" w:rsidP="00412AB4">
      <w:pPr>
        <w:spacing w:after="240" w:line="276" w:lineRule="auto"/>
        <w:rPr>
          <w:rFonts w:ascii="Times New Roman" w:hAnsi="Times New Roman" w:cs="Times New Roman"/>
          <w:sz w:val="24"/>
          <w:szCs w:val="24"/>
        </w:rPr>
      </w:pPr>
      <w:r w:rsidRPr="00412AB4">
        <w:rPr>
          <w:rFonts w:ascii="Times New Roman" w:hAnsi="Times New Roman" w:cs="Times New Roman"/>
          <w:sz w:val="24"/>
          <w:szCs w:val="24"/>
        </w:rPr>
        <w:t>Informed written consent was obtained from the patient for publication of this case report.</w:t>
      </w:r>
    </w:p>
    <w:p w14:paraId="556DA5BB" w14:textId="77777777" w:rsidR="00243765" w:rsidRPr="00412AB4" w:rsidRDefault="00243765" w:rsidP="00243765">
      <w:pPr>
        <w:spacing w:after="240" w:line="276" w:lineRule="auto"/>
        <w:rPr>
          <w:rFonts w:ascii="Times New Roman" w:hAnsi="Times New Roman" w:cs="Times New Roman"/>
          <w:b/>
          <w:bCs/>
          <w:sz w:val="24"/>
          <w:szCs w:val="24"/>
        </w:rPr>
      </w:pPr>
      <w:r w:rsidRPr="00412AB4">
        <w:rPr>
          <w:rFonts w:ascii="Times New Roman" w:hAnsi="Times New Roman" w:cs="Times New Roman"/>
          <w:b/>
          <w:bCs/>
          <w:sz w:val="24"/>
          <w:szCs w:val="24"/>
        </w:rPr>
        <w:t>List of abbreviations</w:t>
      </w:r>
    </w:p>
    <w:p w14:paraId="6A7BD09F" w14:textId="77777777" w:rsidR="00243765" w:rsidRPr="00412AB4" w:rsidRDefault="00243765" w:rsidP="00243765">
      <w:pPr>
        <w:spacing w:after="240" w:line="276" w:lineRule="auto"/>
        <w:rPr>
          <w:rFonts w:ascii="Times New Roman" w:hAnsi="Times New Roman" w:cs="Times New Roman"/>
          <w:sz w:val="24"/>
          <w:szCs w:val="24"/>
        </w:rPr>
      </w:pPr>
      <w:r w:rsidRPr="00412AB4">
        <w:rPr>
          <w:rFonts w:ascii="Times New Roman" w:hAnsi="Times New Roman" w:cs="Times New Roman"/>
          <w:sz w:val="24"/>
          <w:szCs w:val="24"/>
        </w:rPr>
        <w:t xml:space="preserve">HIV: Human Immunodeficiency Virus; </w:t>
      </w:r>
      <w:r>
        <w:rPr>
          <w:rFonts w:ascii="Times New Roman" w:hAnsi="Times New Roman" w:cs="Times New Roman"/>
          <w:sz w:val="24"/>
          <w:szCs w:val="24"/>
        </w:rPr>
        <w:t>HLH</w:t>
      </w:r>
      <w:r w:rsidRPr="00412AB4">
        <w:rPr>
          <w:rFonts w:ascii="Times New Roman" w:hAnsi="Times New Roman" w:cs="Times New Roman"/>
          <w:sz w:val="24"/>
          <w:szCs w:val="24"/>
        </w:rPr>
        <w:t xml:space="preserve">: </w:t>
      </w:r>
      <w:r>
        <w:rPr>
          <w:rFonts w:ascii="Times New Roman" w:hAnsi="Times New Roman" w:cs="Times New Roman"/>
          <w:sz w:val="24"/>
          <w:szCs w:val="24"/>
        </w:rPr>
        <w:t>Haemophagocytic Lymphohistiocytosis</w:t>
      </w:r>
      <w:r w:rsidRPr="00412AB4">
        <w:rPr>
          <w:rFonts w:ascii="Times New Roman" w:hAnsi="Times New Roman" w:cs="Times New Roman"/>
          <w:sz w:val="24"/>
          <w:szCs w:val="24"/>
        </w:rPr>
        <w:t>; H</w:t>
      </w:r>
      <w:r>
        <w:rPr>
          <w:rFonts w:ascii="Times New Roman" w:hAnsi="Times New Roman" w:cs="Times New Roman"/>
          <w:sz w:val="24"/>
          <w:szCs w:val="24"/>
        </w:rPr>
        <w:t>S</w:t>
      </w:r>
      <w:r w:rsidRPr="00412AB4">
        <w:rPr>
          <w:rFonts w:ascii="Times New Roman" w:hAnsi="Times New Roman" w:cs="Times New Roman"/>
          <w:sz w:val="24"/>
          <w:szCs w:val="24"/>
        </w:rPr>
        <w:t>CT: H</w:t>
      </w:r>
      <w:r>
        <w:rPr>
          <w:rFonts w:ascii="Times New Roman" w:hAnsi="Times New Roman" w:cs="Times New Roman"/>
          <w:sz w:val="24"/>
          <w:szCs w:val="24"/>
        </w:rPr>
        <w:t>aemopoietic Stem Cell Transplant</w:t>
      </w:r>
      <w:r w:rsidRPr="00412AB4">
        <w:rPr>
          <w:rFonts w:ascii="Times New Roman" w:hAnsi="Times New Roman" w:cs="Times New Roman"/>
          <w:sz w:val="24"/>
          <w:szCs w:val="24"/>
        </w:rPr>
        <w:t xml:space="preserve">; </w:t>
      </w:r>
      <w:r>
        <w:rPr>
          <w:rFonts w:ascii="Times New Roman" w:hAnsi="Times New Roman" w:cs="Times New Roman"/>
          <w:sz w:val="24"/>
          <w:szCs w:val="24"/>
        </w:rPr>
        <w:t>CRP</w:t>
      </w:r>
      <w:r w:rsidRPr="00412AB4">
        <w:rPr>
          <w:rFonts w:ascii="Times New Roman" w:hAnsi="Times New Roman" w:cs="Times New Roman"/>
          <w:sz w:val="24"/>
          <w:szCs w:val="24"/>
        </w:rPr>
        <w:t>:</w:t>
      </w:r>
      <w:r>
        <w:rPr>
          <w:rFonts w:ascii="Times New Roman" w:hAnsi="Times New Roman" w:cs="Times New Roman"/>
          <w:sz w:val="24"/>
          <w:szCs w:val="24"/>
        </w:rPr>
        <w:t xml:space="preserve"> C-Reactive Protein</w:t>
      </w:r>
      <w:r w:rsidRPr="00412AB4">
        <w:rPr>
          <w:rFonts w:ascii="Times New Roman" w:hAnsi="Times New Roman" w:cs="Times New Roman"/>
          <w:sz w:val="24"/>
          <w:szCs w:val="24"/>
        </w:rPr>
        <w:t xml:space="preserve">; </w:t>
      </w:r>
      <w:r>
        <w:rPr>
          <w:rFonts w:ascii="Times New Roman" w:hAnsi="Times New Roman" w:cs="Times New Roman"/>
          <w:sz w:val="24"/>
          <w:szCs w:val="24"/>
        </w:rPr>
        <w:t>AST</w:t>
      </w:r>
      <w:r w:rsidRPr="00412AB4">
        <w:rPr>
          <w:rFonts w:ascii="Times New Roman" w:hAnsi="Times New Roman" w:cs="Times New Roman"/>
          <w:sz w:val="24"/>
          <w:szCs w:val="24"/>
        </w:rPr>
        <w:t xml:space="preserve">: </w:t>
      </w:r>
      <w:r>
        <w:rPr>
          <w:rFonts w:ascii="Times New Roman" w:hAnsi="Times New Roman" w:cs="Times New Roman"/>
          <w:sz w:val="24"/>
          <w:szCs w:val="24"/>
        </w:rPr>
        <w:t>Aspartate aminotransferase</w:t>
      </w:r>
      <w:r w:rsidRPr="00412AB4">
        <w:rPr>
          <w:rFonts w:ascii="Times New Roman" w:hAnsi="Times New Roman" w:cs="Times New Roman"/>
          <w:sz w:val="24"/>
          <w:szCs w:val="24"/>
        </w:rPr>
        <w:t>; A</w:t>
      </w:r>
      <w:r>
        <w:rPr>
          <w:rFonts w:ascii="Times New Roman" w:hAnsi="Times New Roman" w:cs="Times New Roman"/>
          <w:sz w:val="24"/>
          <w:szCs w:val="24"/>
        </w:rPr>
        <w:t>LT</w:t>
      </w:r>
      <w:r w:rsidRPr="00412AB4">
        <w:rPr>
          <w:rFonts w:ascii="Times New Roman" w:hAnsi="Times New Roman" w:cs="Times New Roman"/>
          <w:sz w:val="24"/>
          <w:szCs w:val="24"/>
        </w:rPr>
        <w:t>: A</w:t>
      </w:r>
      <w:r>
        <w:rPr>
          <w:rFonts w:ascii="Times New Roman" w:hAnsi="Times New Roman" w:cs="Times New Roman"/>
          <w:sz w:val="24"/>
          <w:szCs w:val="24"/>
        </w:rPr>
        <w:t>lanine aminotransferase</w:t>
      </w:r>
      <w:r w:rsidRPr="00412AB4">
        <w:rPr>
          <w:rFonts w:ascii="Times New Roman" w:hAnsi="Times New Roman" w:cs="Times New Roman"/>
          <w:sz w:val="24"/>
          <w:szCs w:val="24"/>
        </w:rPr>
        <w:t xml:space="preserve">; </w:t>
      </w:r>
      <w:r>
        <w:rPr>
          <w:rFonts w:ascii="Times New Roman" w:hAnsi="Times New Roman" w:cs="Times New Roman"/>
          <w:sz w:val="24"/>
          <w:szCs w:val="24"/>
        </w:rPr>
        <w:t>DF</w:t>
      </w:r>
      <w:r w:rsidRPr="00412AB4">
        <w:rPr>
          <w:rFonts w:ascii="Times New Roman" w:hAnsi="Times New Roman" w:cs="Times New Roman"/>
          <w:sz w:val="24"/>
          <w:szCs w:val="24"/>
        </w:rPr>
        <w:t xml:space="preserve">: </w:t>
      </w:r>
      <w:r>
        <w:rPr>
          <w:rFonts w:ascii="Times New Roman" w:hAnsi="Times New Roman" w:cs="Times New Roman"/>
          <w:sz w:val="24"/>
          <w:szCs w:val="24"/>
        </w:rPr>
        <w:t>Dengue Fever</w:t>
      </w:r>
      <w:r w:rsidRPr="00412AB4">
        <w:rPr>
          <w:rFonts w:ascii="Times New Roman" w:hAnsi="Times New Roman" w:cs="Times New Roman"/>
          <w:sz w:val="24"/>
          <w:szCs w:val="24"/>
        </w:rPr>
        <w:t xml:space="preserve">; </w:t>
      </w:r>
      <w:r>
        <w:rPr>
          <w:rFonts w:ascii="Times New Roman" w:hAnsi="Times New Roman" w:cs="Times New Roman"/>
          <w:sz w:val="24"/>
          <w:szCs w:val="24"/>
        </w:rPr>
        <w:t>DHF</w:t>
      </w:r>
      <w:r w:rsidRPr="00412AB4">
        <w:rPr>
          <w:rFonts w:ascii="Times New Roman" w:hAnsi="Times New Roman" w:cs="Times New Roman"/>
          <w:sz w:val="24"/>
          <w:szCs w:val="24"/>
        </w:rPr>
        <w:t xml:space="preserve">: </w:t>
      </w:r>
      <w:r>
        <w:rPr>
          <w:rFonts w:ascii="Times New Roman" w:hAnsi="Times New Roman" w:cs="Times New Roman"/>
          <w:sz w:val="24"/>
          <w:szCs w:val="24"/>
        </w:rPr>
        <w:t>Dengue Haemorrhagic Fever</w:t>
      </w:r>
      <w:r w:rsidRPr="00412AB4">
        <w:rPr>
          <w:rFonts w:ascii="Times New Roman" w:hAnsi="Times New Roman" w:cs="Times New Roman"/>
          <w:sz w:val="24"/>
          <w:szCs w:val="24"/>
        </w:rPr>
        <w:t>;</w:t>
      </w:r>
      <w:r>
        <w:rPr>
          <w:rFonts w:ascii="Times New Roman" w:hAnsi="Times New Roman" w:cs="Times New Roman"/>
          <w:sz w:val="24"/>
          <w:szCs w:val="24"/>
        </w:rPr>
        <w:t xml:space="preserve"> DIC: Disseminated Intravascular Coagulation</w:t>
      </w:r>
    </w:p>
    <w:p w14:paraId="43C1EF89" w14:textId="7A4C5F0F" w:rsidR="00DF6B0D" w:rsidRPr="00243765" w:rsidRDefault="00DF6B0D" w:rsidP="00412AB4">
      <w:pPr>
        <w:spacing w:after="240" w:line="276" w:lineRule="auto"/>
        <w:rPr>
          <w:rFonts w:ascii="Times New Roman" w:hAnsi="Times New Roman" w:cs="Times New Roman"/>
          <w:sz w:val="24"/>
          <w:szCs w:val="24"/>
        </w:rPr>
      </w:pPr>
      <w:r w:rsidRPr="00DF6B0D">
        <w:rPr>
          <w:rFonts w:ascii="Times New Roman" w:hAnsi="Times New Roman" w:cs="Times New Roman"/>
          <w:b/>
          <w:bCs/>
          <w:sz w:val="24"/>
          <w:szCs w:val="24"/>
        </w:rPr>
        <w:t>References</w:t>
      </w:r>
    </w:p>
    <w:p w14:paraId="2A823A61" w14:textId="0004EE98" w:rsidR="00DF6B0D" w:rsidRPr="00DF6B0D" w:rsidRDefault="00DF6B0D" w:rsidP="00DF6B0D">
      <w:pPr>
        <w:widowControl w:val="0"/>
        <w:autoSpaceDE w:val="0"/>
        <w:autoSpaceDN w:val="0"/>
        <w:adjustRightInd w:val="0"/>
        <w:spacing w:after="240" w:line="240" w:lineRule="auto"/>
        <w:ind w:left="640" w:hanging="640"/>
        <w:rPr>
          <w:rFonts w:ascii="Times New Roman" w:hAnsi="Times New Roman" w:cs="Times New Roman"/>
          <w:noProof/>
          <w:sz w:val="24"/>
          <w:szCs w:val="24"/>
        </w:rPr>
      </w:pPr>
      <w:r>
        <w:rPr>
          <w:rFonts w:ascii="Times New Roman" w:hAnsi="Times New Roman" w:cs="Times New Roman"/>
          <w:sz w:val="24"/>
          <w:szCs w:val="24"/>
        </w:rPr>
        <w:fldChar w:fldCharType="begin" w:fldLock="1"/>
      </w:r>
      <w:r>
        <w:rPr>
          <w:rFonts w:ascii="Times New Roman" w:hAnsi="Times New Roman" w:cs="Times New Roman"/>
          <w:sz w:val="24"/>
          <w:szCs w:val="24"/>
        </w:rPr>
        <w:instrText xml:space="preserve">ADDIN Mendeley Bibliography CSL_BIBLIOGRAPHY </w:instrText>
      </w:r>
      <w:r>
        <w:rPr>
          <w:rFonts w:ascii="Times New Roman" w:hAnsi="Times New Roman" w:cs="Times New Roman"/>
          <w:sz w:val="24"/>
          <w:szCs w:val="24"/>
        </w:rPr>
        <w:fldChar w:fldCharType="separate"/>
      </w:r>
      <w:r w:rsidRPr="00DF6B0D">
        <w:rPr>
          <w:rFonts w:ascii="Times New Roman" w:hAnsi="Times New Roman" w:cs="Times New Roman"/>
          <w:noProof/>
          <w:sz w:val="24"/>
          <w:szCs w:val="24"/>
        </w:rPr>
        <w:t xml:space="preserve">[1] </w:t>
      </w:r>
      <w:r w:rsidRPr="00DF6B0D">
        <w:rPr>
          <w:rFonts w:ascii="Times New Roman" w:hAnsi="Times New Roman" w:cs="Times New Roman"/>
          <w:noProof/>
          <w:sz w:val="24"/>
          <w:szCs w:val="24"/>
        </w:rPr>
        <w:tab/>
        <w:t>Rosado FGN, Kim AS. Hemophagocytic lymphohistiocytosis. Am J Clin Pathol. 2013;139:713–727.</w:t>
      </w:r>
    </w:p>
    <w:p w14:paraId="61066C02" w14:textId="77777777" w:rsidR="00DF6B0D" w:rsidRPr="00DF6B0D" w:rsidRDefault="00DF6B0D" w:rsidP="00DF6B0D">
      <w:pPr>
        <w:widowControl w:val="0"/>
        <w:autoSpaceDE w:val="0"/>
        <w:autoSpaceDN w:val="0"/>
        <w:adjustRightInd w:val="0"/>
        <w:spacing w:after="240" w:line="240" w:lineRule="auto"/>
        <w:ind w:left="640" w:hanging="640"/>
        <w:rPr>
          <w:rFonts w:ascii="Times New Roman" w:hAnsi="Times New Roman" w:cs="Times New Roman"/>
          <w:noProof/>
          <w:sz w:val="24"/>
          <w:szCs w:val="24"/>
        </w:rPr>
      </w:pPr>
      <w:r w:rsidRPr="00DF6B0D">
        <w:rPr>
          <w:rFonts w:ascii="Times New Roman" w:hAnsi="Times New Roman" w:cs="Times New Roman"/>
          <w:noProof/>
          <w:sz w:val="24"/>
          <w:szCs w:val="24"/>
        </w:rPr>
        <w:t xml:space="preserve">[2] </w:t>
      </w:r>
      <w:r w:rsidRPr="00DF6B0D">
        <w:rPr>
          <w:rFonts w:ascii="Times New Roman" w:hAnsi="Times New Roman" w:cs="Times New Roman"/>
          <w:noProof/>
          <w:sz w:val="24"/>
          <w:szCs w:val="24"/>
        </w:rPr>
        <w:tab/>
        <w:t>Gupta S, Weitzman S. Primary and secondary hemophagocytic lymphohistiocytosis: Clinical features, pathogenesis and therapy. Expert Rev Clin Immunol. 2010;6:137–154.</w:t>
      </w:r>
    </w:p>
    <w:p w14:paraId="4E6A8196" w14:textId="77777777" w:rsidR="00DF6B0D" w:rsidRPr="00DF6B0D" w:rsidRDefault="00DF6B0D" w:rsidP="00DF6B0D">
      <w:pPr>
        <w:widowControl w:val="0"/>
        <w:autoSpaceDE w:val="0"/>
        <w:autoSpaceDN w:val="0"/>
        <w:adjustRightInd w:val="0"/>
        <w:spacing w:after="240" w:line="240" w:lineRule="auto"/>
        <w:ind w:left="640" w:hanging="640"/>
        <w:rPr>
          <w:rFonts w:ascii="Times New Roman" w:hAnsi="Times New Roman" w:cs="Times New Roman"/>
          <w:noProof/>
          <w:sz w:val="24"/>
          <w:szCs w:val="24"/>
        </w:rPr>
      </w:pPr>
      <w:r w:rsidRPr="00DF6B0D">
        <w:rPr>
          <w:rFonts w:ascii="Times New Roman" w:hAnsi="Times New Roman" w:cs="Times New Roman"/>
          <w:noProof/>
          <w:sz w:val="24"/>
          <w:szCs w:val="24"/>
        </w:rPr>
        <w:t xml:space="preserve">[3] </w:t>
      </w:r>
      <w:r w:rsidRPr="00DF6B0D">
        <w:rPr>
          <w:rFonts w:ascii="Times New Roman" w:hAnsi="Times New Roman" w:cs="Times New Roman"/>
          <w:noProof/>
          <w:sz w:val="24"/>
          <w:szCs w:val="24"/>
        </w:rPr>
        <w:tab/>
        <w:t>De Koninck AS, Dierick J, Steyaert S, et al. Hemophagocytic lymphohistiocytosis and dengue infection: Rare case report. Acta Clin Belg [Internet]. 2014 [cited 2021 Jul 4];69:210–213. Available from: https://pubmed.ncbi.nlm.nih.gov/24820925/.</w:t>
      </w:r>
    </w:p>
    <w:p w14:paraId="66FA30CE" w14:textId="77777777" w:rsidR="00DF6B0D" w:rsidRPr="00DF6B0D" w:rsidRDefault="00DF6B0D" w:rsidP="00DF6B0D">
      <w:pPr>
        <w:widowControl w:val="0"/>
        <w:autoSpaceDE w:val="0"/>
        <w:autoSpaceDN w:val="0"/>
        <w:adjustRightInd w:val="0"/>
        <w:spacing w:after="240" w:line="240" w:lineRule="auto"/>
        <w:ind w:left="640" w:hanging="640"/>
        <w:rPr>
          <w:rFonts w:ascii="Times New Roman" w:hAnsi="Times New Roman" w:cs="Times New Roman"/>
          <w:noProof/>
          <w:sz w:val="24"/>
          <w:szCs w:val="24"/>
        </w:rPr>
      </w:pPr>
      <w:r w:rsidRPr="00DF6B0D">
        <w:rPr>
          <w:rFonts w:ascii="Times New Roman" w:hAnsi="Times New Roman" w:cs="Times New Roman"/>
          <w:noProof/>
          <w:sz w:val="24"/>
          <w:szCs w:val="24"/>
        </w:rPr>
        <w:t xml:space="preserve">[4] </w:t>
      </w:r>
      <w:r w:rsidRPr="00DF6B0D">
        <w:rPr>
          <w:rFonts w:ascii="Times New Roman" w:hAnsi="Times New Roman" w:cs="Times New Roman"/>
          <w:noProof/>
          <w:sz w:val="24"/>
          <w:szCs w:val="24"/>
        </w:rPr>
        <w:tab/>
        <w:t>Wiwanitkit V. Haemophagocytic lymphohistiocytosis and dengue [Internet]. Acta Clin. Belgica Int. J. Clin. Lab. Med. Taylor and Francis Ltd.; 2015 [cited 2021 Jul 4]. p. 72. Available from: https://www.tandfonline.com/doi/abs/10.1179/2295333714Y.0000000040.</w:t>
      </w:r>
    </w:p>
    <w:p w14:paraId="272F3C75" w14:textId="77777777" w:rsidR="00DF6B0D" w:rsidRPr="00DF6B0D" w:rsidRDefault="00DF6B0D" w:rsidP="00DF6B0D">
      <w:pPr>
        <w:widowControl w:val="0"/>
        <w:autoSpaceDE w:val="0"/>
        <w:autoSpaceDN w:val="0"/>
        <w:adjustRightInd w:val="0"/>
        <w:spacing w:after="240" w:line="240" w:lineRule="auto"/>
        <w:ind w:left="640" w:hanging="640"/>
        <w:rPr>
          <w:rFonts w:ascii="Times New Roman" w:hAnsi="Times New Roman" w:cs="Times New Roman"/>
          <w:noProof/>
          <w:sz w:val="24"/>
          <w:szCs w:val="24"/>
        </w:rPr>
      </w:pPr>
      <w:r w:rsidRPr="00DF6B0D">
        <w:rPr>
          <w:rFonts w:ascii="Times New Roman" w:hAnsi="Times New Roman" w:cs="Times New Roman"/>
          <w:noProof/>
          <w:sz w:val="24"/>
          <w:szCs w:val="24"/>
        </w:rPr>
        <w:t xml:space="preserve">[5] </w:t>
      </w:r>
      <w:r w:rsidRPr="00DF6B0D">
        <w:rPr>
          <w:rFonts w:ascii="Times New Roman" w:hAnsi="Times New Roman" w:cs="Times New Roman"/>
          <w:noProof/>
          <w:sz w:val="24"/>
          <w:szCs w:val="24"/>
        </w:rPr>
        <w:tab/>
        <w:t>Janka GE, Lehmberg K. Hemophagocytic lymphohistiocytosis: pathogenesis and treatment. [Internet]. Hematology Am. Soc. Hematol. Educ. Program. Hematology Am Soc Hematol Educ Program; 2013 [cited 2021 Jul 2]. p. 605–611. Available from: https://pubmed.ncbi.nlm.nih.gov/24319239/.</w:t>
      </w:r>
    </w:p>
    <w:p w14:paraId="5A2F2460" w14:textId="77777777" w:rsidR="00DF6B0D" w:rsidRPr="00DF6B0D" w:rsidRDefault="00DF6B0D" w:rsidP="00DF6B0D">
      <w:pPr>
        <w:widowControl w:val="0"/>
        <w:autoSpaceDE w:val="0"/>
        <w:autoSpaceDN w:val="0"/>
        <w:adjustRightInd w:val="0"/>
        <w:spacing w:after="240" w:line="240" w:lineRule="auto"/>
        <w:ind w:left="640" w:hanging="640"/>
        <w:rPr>
          <w:rFonts w:ascii="Times New Roman" w:hAnsi="Times New Roman" w:cs="Times New Roman"/>
          <w:noProof/>
          <w:sz w:val="24"/>
          <w:szCs w:val="24"/>
        </w:rPr>
      </w:pPr>
      <w:r w:rsidRPr="00DF6B0D">
        <w:rPr>
          <w:rFonts w:ascii="Times New Roman" w:hAnsi="Times New Roman" w:cs="Times New Roman"/>
          <w:noProof/>
          <w:sz w:val="24"/>
          <w:szCs w:val="24"/>
        </w:rPr>
        <w:t xml:space="preserve">[6] </w:t>
      </w:r>
      <w:r w:rsidRPr="00DF6B0D">
        <w:rPr>
          <w:rFonts w:ascii="Times New Roman" w:hAnsi="Times New Roman" w:cs="Times New Roman"/>
          <w:noProof/>
          <w:sz w:val="24"/>
          <w:szCs w:val="24"/>
        </w:rPr>
        <w:tab/>
        <w:t>Janka GE. Familial and acquired hemophagocytic lymphohistiocytosis [Internet]. Annu. Rev. Med. Annu Rev Med; 2012 [cited 2021 Jul 4]. p. 233–246. Available from: https://pubmed.ncbi.nlm.nih.gov/22248322/.</w:t>
      </w:r>
    </w:p>
    <w:p w14:paraId="5D9368D7" w14:textId="77777777" w:rsidR="00DF6B0D" w:rsidRPr="00DF6B0D" w:rsidRDefault="00DF6B0D" w:rsidP="00DF6B0D">
      <w:pPr>
        <w:widowControl w:val="0"/>
        <w:autoSpaceDE w:val="0"/>
        <w:autoSpaceDN w:val="0"/>
        <w:adjustRightInd w:val="0"/>
        <w:spacing w:after="240" w:line="240" w:lineRule="auto"/>
        <w:ind w:left="640" w:hanging="640"/>
        <w:rPr>
          <w:rFonts w:ascii="Times New Roman" w:hAnsi="Times New Roman" w:cs="Times New Roman"/>
          <w:noProof/>
          <w:sz w:val="24"/>
          <w:szCs w:val="24"/>
        </w:rPr>
      </w:pPr>
      <w:r w:rsidRPr="00DF6B0D">
        <w:rPr>
          <w:rFonts w:ascii="Times New Roman" w:hAnsi="Times New Roman" w:cs="Times New Roman"/>
          <w:noProof/>
          <w:sz w:val="24"/>
          <w:szCs w:val="24"/>
        </w:rPr>
        <w:t xml:space="preserve">[7] </w:t>
      </w:r>
      <w:r w:rsidRPr="00DF6B0D">
        <w:rPr>
          <w:rFonts w:ascii="Times New Roman" w:hAnsi="Times New Roman" w:cs="Times New Roman"/>
          <w:noProof/>
          <w:sz w:val="24"/>
          <w:szCs w:val="24"/>
        </w:rPr>
        <w:tab/>
        <w:t>Henter JI, Horne AC, Aricó M, et al. HLH-2004: Diagnostic and therapeutic guidelines for hemophagocytic lymphohistiocytosis [Internet]. Pediatr. Blood Cancer. Pediatr Blood Cancer; 2007 [cited 2021 Jul 2]. p. 124–131. Available from: https://pubmed.ncbi.nlm.nih.gov/16937360/.</w:t>
      </w:r>
    </w:p>
    <w:p w14:paraId="7B29E482" w14:textId="77777777" w:rsidR="00DF6B0D" w:rsidRPr="00DF6B0D" w:rsidRDefault="00DF6B0D" w:rsidP="00DF6B0D">
      <w:pPr>
        <w:widowControl w:val="0"/>
        <w:autoSpaceDE w:val="0"/>
        <w:autoSpaceDN w:val="0"/>
        <w:adjustRightInd w:val="0"/>
        <w:spacing w:after="240" w:line="240" w:lineRule="auto"/>
        <w:ind w:left="640" w:hanging="640"/>
        <w:rPr>
          <w:rFonts w:ascii="Times New Roman" w:hAnsi="Times New Roman" w:cs="Times New Roman"/>
          <w:noProof/>
          <w:sz w:val="24"/>
          <w:szCs w:val="24"/>
        </w:rPr>
      </w:pPr>
      <w:r w:rsidRPr="00DF6B0D">
        <w:rPr>
          <w:rFonts w:ascii="Times New Roman" w:hAnsi="Times New Roman" w:cs="Times New Roman"/>
          <w:noProof/>
          <w:sz w:val="24"/>
          <w:szCs w:val="24"/>
        </w:rPr>
        <w:t xml:space="preserve">[8] </w:t>
      </w:r>
      <w:r w:rsidRPr="00DF6B0D">
        <w:rPr>
          <w:rFonts w:ascii="Times New Roman" w:hAnsi="Times New Roman" w:cs="Times New Roman"/>
          <w:noProof/>
          <w:sz w:val="24"/>
          <w:szCs w:val="24"/>
        </w:rPr>
        <w:tab/>
        <w:t xml:space="preserve">Janka G. Hemophagocytic lymphohistiocytosis: When the immune system runs amok [Internet]. Klin. Padiatr. Georg Thieme Verlag; 2009 [cited 2021 Jul 4]. p. 278–285. </w:t>
      </w:r>
      <w:r w:rsidRPr="00DF6B0D">
        <w:rPr>
          <w:rFonts w:ascii="Times New Roman" w:hAnsi="Times New Roman" w:cs="Times New Roman"/>
          <w:noProof/>
          <w:sz w:val="24"/>
          <w:szCs w:val="24"/>
        </w:rPr>
        <w:lastRenderedPageBreak/>
        <w:t>Available from: https://pubmed.ncbi.nlm.nih.gov/19707989/.</w:t>
      </w:r>
    </w:p>
    <w:p w14:paraId="1130385B" w14:textId="77777777" w:rsidR="00DF6B0D" w:rsidRPr="00DF6B0D" w:rsidRDefault="00DF6B0D" w:rsidP="00DF6B0D">
      <w:pPr>
        <w:widowControl w:val="0"/>
        <w:autoSpaceDE w:val="0"/>
        <w:autoSpaceDN w:val="0"/>
        <w:adjustRightInd w:val="0"/>
        <w:spacing w:after="240" w:line="240" w:lineRule="auto"/>
        <w:ind w:left="640" w:hanging="640"/>
        <w:rPr>
          <w:rFonts w:ascii="Times New Roman" w:hAnsi="Times New Roman" w:cs="Times New Roman"/>
          <w:noProof/>
          <w:sz w:val="24"/>
          <w:szCs w:val="24"/>
        </w:rPr>
      </w:pPr>
      <w:r w:rsidRPr="00DF6B0D">
        <w:rPr>
          <w:rFonts w:ascii="Times New Roman" w:hAnsi="Times New Roman" w:cs="Times New Roman"/>
          <w:noProof/>
          <w:sz w:val="24"/>
          <w:szCs w:val="24"/>
        </w:rPr>
        <w:t xml:space="preserve">[9] </w:t>
      </w:r>
      <w:r w:rsidRPr="00DF6B0D">
        <w:rPr>
          <w:rFonts w:ascii="Times New Roman" w:hAnsi="Times New Roman" w:cs="Times New Roman"/>
          <w:noProof/>
          <w:sz w:val="24"/>
          <w:szCs w:val="24"/>
        </w:rPr>
        <w:tab/>
        <w:t>Kapdi M, Shah I. Dengue and haemophagocytic lymphohistiocytosis. Scand J Infect Dis [Internet]. 2012 [cited 2021 Jul 4];44:708–709. Available from: https://pubmed.ncbi.nlm.nih.gov/22264033/.</w:t>
      </w:r>
    </w:p>
    <w:p w14:paraId="01EEA88B" w14:textId="77777777" w:rsidR="00DF6B0D" w:rsidRPr="00DF6B0D" w:rsidRDefault="00DF6B0D" w:rsidP="00DF6B0D">
      <w:pPr>
        <w:widowControl w:val="0"/>
        <w:autoSpaceDE w:val="0"/>
        <w:autoSpaceDN w:val="0"/>
        <w:adjustRightInd w:val="0"/>
        <w:spacing w:after="240" w:line="240" w:lineRule="auto"/>
        <w:ind w:left="640" w:hanging="640"/>
        <w:rPr>
          <w:rFonts w:ascii="Times New Roman" w:hAnsi="Times New Roman" w:cs="Times New Roman"/>
          <w:noProof/>
          <w:sz w:val="24"/>
          <w:szCs w:val="24"/>
        </w:rPr>
      </w:pPr>
      <w:r w:rsidRPr="00DF6B0D">
        <w:rPr>
          <w:rFonts w:ascii="Times New Roman" w:hAnsi="Times New Roman" w:cs="Times New Roman"/>
          <w:noProof/>
          <w:sz w:val="24"/>
          <w:szCs w:val="24"/>
        </w:rPr>
        <w:t xml:space="preserve">[10] </w:t>
      </w:r>
      <w:r w:rsidRPr="00DF6B0D">
        <w:rPr>
          <w:rFonts w:ascii="Times New Roman" w:hAnsi="Times New Roman" w:cs="Times New Roman"/>
          <w:noProof/>
          <w:sz w:val="24"/>
          <w:szCs w:val="24"/>
        </w:rPr>
        <w:tab/>
        <w:t>Martina BEE, Koraka P, Osterhaus ADME. Dengue virus pathogenesis: An integrated view [Internet]. Clin. Microbiol. Rev. American Society for Microbiology (ASM); 2009 [cited 2021 Jul 5]. p. 564–581. Available from: /pmc/articles/PMC2772360/.</w:t>
      </w:r>
    </w:p>
    <w:p w14:paraId="3BC499CA" w14:textId="77777777" w:rsidR="00DF6B0D" w:rsidRPr="00DF6B0D" w:rsidRDefault="00DF6B0D" w:rsidP="00DF6B0D">
      <w:pPr>
        <w:widowControl w:val="0"/>
        <w:autoSpaceDE w:val="0"/>
        <w:autoSpaceDN w:val="0"/>
        <w:adjustRightInd w:val="0"/>
        <w:spacing w:after="240" w:line="240" w:lineRule="auto"/>
        <w:ind w:left="640" w:hanging="640"/>
        <w:rPr>
          <w:rFonts w:ascii="Times New Roman" w:hAnsi="Times New Roman" w:cs="Times New Roman"/>
          <w:noProof/>
          <w:sz w:val="24"/>
          <w:szCs w:val="24"/>
        </w:rPr>
      </w:pPr>
      <w:r w:rsidRPr="00DF6B0D">
        <w:rPr>
          <w:rFonts w:ascii="Times New Roman" w:hAnsi="Times New Roman" w:cs="Times New Roman"/>
          <w:noProof/>
          <w:sz w:val="24"/>
          <w:szCs w:val="24"/>
        </w:rPr>
        <w:t xml:space="preserve">[11] </w:t>
      </w:r>
      <w:r w:rsidRPr="00DF6B0D">
        <w:rPr>
          <w:rFonts w:ascii="Times New Roman" w:hAnsi="Times New Roman" w:cs="Times New Roman"/>
          <w:noProof/>
          <w:sz w:val="24"/>
          <w:szCs w:val="24"/>
        </w:rPr>
        <w:tab/>
        <w:t>Ministry of Health Sri Lanka. Guidelines on Management of Dengue Fever &amp; Dengue Haemorrhagic Fever In Adults [Internet]. 2010 [cited 2021 Jul 3]. Available from: www.epid.gov.lk.</w:t>
      </w:r>
    </w:p>
    <w:p w14:paraId="004CA432" w14:textId="77777777" w:rsidR="00DF6B0D" w:rsidRPr="00DF6B0D" w:rsidRDefault="00DF6B0D" w:rsidP="00DF6B0D">
      <w:pPr>
        <w:widowControl w:val="0"/>
        <w:autoSpaceDE w:val="0"/>
        <w:autoSpaceDN w:val="0"/>
        <w:adjustRightInd w:val="0"/>
        <w:spacing w:after="240" w:line="240" w:lineRule="auto"/>
        <w:ind w:left="640" w:hanging="640"/>
        <w:rPr>
          <w:rFonts w:ascii="Times New Roman" w:hAnsi="Times New Roman" w:cs="Times New Roman"/>
          <w:noProof/>
          <w:sz w:val="24"/>
          <w:szCs w:val="24"/>
        </w:rPr>
      </w:pPr>
      <w:r w:rsidRPr="00DF6B0D">
        <w:rPr>
          <w:rFonts w:ascii="Times New Roman" w:hAnsi="Times New Roman" w:cs="Times New Roman"/>
          <w:noProof/>
          <w:sz w:val="24"/>
          <w:szCs w:val="24"/>
        </w:rPr>
        <w:t xml:space="preserve">[12] </w:t>
      </w:r>
      <w:r w:rsidRPr="00DF6B0D">
        <w:rPr>
          <w:rFonts w:ascii="Times New Roman" w:hAnsi="Times New Roman" w:cs="Times New Roman"/>
          <w:noProof/>
          <w:sz w:val="24"/>
          <w:szCs w:val="24"/>
        </w:rPr>
        <w:tab/>
        <w:t>Kosakai N. Clinical diagnosis. Kango Kyoshitsu. 1968;12:26–29.</w:t>
      </w:r>
    </w:p>
    <w:p w14:paraId="1743B30F" w14:textId="77777777" w:rsidR="00DF6B0D" w:rsidRPr="00DF6B0D" w:rsidRDefault="00DF6B0D" w:rsidP="00DF6B0D">
      <w:pPr>
        <w:widowControl w:val="0"/>
        <w:autoSpaceDE w:val="0"/>
        <w:autoSpaceDN w:val="0"/>
        <w:adjustRightInd w:val="0"/>
        <w:spacing w:after="240" w:line="240" w:lineRule="auto"/>
        <w:ind w:left="640" w:hanging="640"/>
        <w:rPr>
          <w:rFonts w:ascii="Times New Roman" w:hAnsi="Times New Roman" w:cs="Times New Roman"/>
          <w:noProof/>
          <w:sz w:val="24"/>
          <w:szCs w:val="24"/>
        </w:rPr>
      </w:pPr>
      <w:r w:rsidRPr="00DF6B0D">
        <w:rPr>
          <w:rFonts w:ascii="Times New Roman" w:hAnsi="Times New Roman" w:cs="Times New Roman"/>
          <w:noProof/>
          <w:sz w:val="24"/>
          <w:szCs w:val="24"/>
        </w:rPr>
        <w:t xml:space="preserve">[13] </w:t>
      </w:r>
      <w:r w:rsidRPr="00DF6B0D">
        <w:rPr>
          <w:rFonts w:ascii="Times New Roman" w:hAnsi="Times New Roman" w:cs="Times New Roman"/>
          <w:noProof/>
          <w:sz w:val="24"/>
          <w:szCs w:val="24"/>
        </w:rPr>
        <w:tab/>
        <w:t>Ustafa M. Dengue Fever: Clinical Spectrum, And Management. IOSR J Dent Med Sci. 2017;16:53–59.</w:t>
      </w:r>
    </w:p>
    <w:p w14:paraId="1B391654" w14:textId="77777777" w:rsidR="00DF6B0D" w:rsidRPr="00DF6B0D" w:rsidRDefault="00DF6B0D" w:rsidP="00DF6B0D">
      <w:pPr>
        <w:widowControl w:val="0"/>
        <w:autoSpaceDE w:val="0"/>
        <w:autoSpaceDN w:val="0"/>
        <w:adjustRightInd w:val="0"/>
        <w:spacing w:after="240" w:line="240" w:lineRule="auto"/>
        <w:ind w:left="640" w:hanging="640"/>
        <w:rPr>
          <w:rFonts w:ascii="Times New Roman" w:hAnsi="Times New Roman" w:cs="Times New Roman"/>
          <w:noProof/>
          <w:sz w:val="24"/>
          <w:szCs w:val="24"/>
        </w:rPr>
      </w:pPr>
      <w:r w:rsidRPr="00DF6B0D">
        <w:rPr>
          <w:rFonts w:ascii="Times New Roman" w:hAnsi="Times New Roman" w:cs="Times New Roman"/>
          <w:noProof/>
          <w:sz w:val="24"/>
          <w:szCs w:val="24"/>
        </w:rPr>
        <w:t xml:space="preserve">[14] </w:t>
      </w:r>
      <w:r w:rsidRPr="00DF6B0D">
        <w:rPr>
          <w:rFonts w:ascii="Times New Roman" w:hAnsi="Times New Roman" w:cs="Times New Roman"/>
          <w:noProof/>
          <w:sz w:val="24"/>
          <w:szCs w:val="24"/>
        </w:rPr>
        <w:tab/>
        <w:t>Umakanth M, Suganthan N. Unusual Manifestations of Dengue Fever: A Review on Expanded Dengue Syndrome. Cureus [Internet]. 2020 [cited 2021 Jul 5];12. Available from: https://www.cureus.com/articles/40499-unusual-manifestations-of-dengue-fever-a-review-on-expanded-dengue-syndrome.</w:t>
      </w:r>
    </w:p>
    <w:p w14:paraId="781A481F" w14:textId="77777777" w:rsidR="00DF6B0D" w:rsidRPr="00DF6B0D" w:rsidRDefault="00DF6B0D" w:rsidP="00DF6B0D">
      <w:pPr>
        <w:widowControl w:val="0"/>
        <w:autoSpaceDE w:val="0"/>
        <w:autoSpaceDN w:val="0"/>
        <w:adjustRightInd w:val="0"/>
        <w:spacing w:after="240" w:line="240" w:lineRule="auto"/>
        <w:ind w:left="640" w:hanging="640"/>
        <w:rPr>
          <w:rFonts w:ascii="Times New Roman" w:hAnsi="Times New Roman" w:cs="Times New Roman"/>
          <w:noProof/>
          <w:sz w:val="24"/>
          <w:szCs w:val="24"/>
        </w:rPr>
      </w:pPr>
      <w:r w:rsidRPr="00DF6B0D">
        <w:rPr>
          <w:rFonts w:ascii="Times New Roman" w:hAnsi="Times New Roman" w:cs="Times New Roman"/>
          <w:noProof/>
          <w:sz w:val="24"/>
          <w:szCs w:val="24"/>
        </w:rPr>
        <w:t xml:space="preserve">[15] </w:t>
      </w:r>
      <w:r w:rsidRPr="00DF6B0D">
        <w:rPr>
          <w:rFonts w:ascii="Times New Roman" w:hAnsi="Times New Roman" w:cs="Times New Roman"/>
          <w:noProof/>
          <w:sz w:val="24"/>
          <w:szCs w:val="24"/>
        </w:rPr>
        <w:tab/>
        <w:t>WHO. LABORATORY DIAGNOSIS AND DIAGNOSTIC TESTS - Dengue - NCBI Bookshelf [Internet]. 2009 [cited 2021 Jul 5]. Available from: https://www.ncbi.nlm.nih.gov/books/NBK143156/.</w:t>
      </w:r>
    </w:p>
    <w:p w14:paraId="234DB4BD" w14:textId="77777777" w:rsidR="00DF6B0D" w:rsidRPr="00DF6B0D" w:rsidRDefault="00DF6B0D" w:rsidP="00DF6B0D">
      <w:pPr>
        <w:widowControl w:val="0"/>
        <w:autoSpaceDE w:val="0"/>
        <w:autoSpaceDN w:val="0"/>
        <w:adjustRightInd w:val="0"/>
        <w:spacing w:after="240" w:line="240" w:lineRule="auto"/>
        <w:ind w:left="640" w:hanging="640"/>
        <w:rPr>
          <w:rFonts w:ascii="Times New Roman" w:hAnsi="Times New Roman" w:cs="Times New Roman"/>
          <w:noProof/>
          <w:sz w:val="24"/>
          <w:szCs w:val="24"/>
        </w:rPr>
      </w:pPr>
      <w:r w:rsidRPr="00DF6B0D">
        <w:rPr>
          <w:rFonts w:ascii="Times New Roman" w:hAnsi="Times New Roman" w:cs="Times New Roman"/>
          <w:noProof/>
          <w:sz w:val="24"/>
          <w:szCs w:val="24"/>
        </w:rPr>
        <w:t xml:space="preserve">[16] </w:t>
      </w:r>
      <w:r w:rsidRPr="00DF6B0D">
        <w:rPr>
          <w:rFonts w:ascii="Times New Roman" w:hAnsi="Times New Roman" w:cs="Times New Roman"/>
          <w:noProof/>
          <w:sz w:val="24"/>
          <w:szCs w:val="24"/>
        </w:rPr>
        <w:tab/>
        <w:t>Teparrukkul P, Hantrakun V, Day NPJ, et al. Management and outcomes of severe dengue patients presenting with sepsis in a tropical country. PLoS One [Internet]. 2017 [cited 2021 Jul 6];12. Available from: /pmc/articles/PMC5402971/.</w:t>
      </w:r>
    </w:p>
    <w:p w14:paraId="771B8AA7" w14:textId="77777777" w:rsidR="00DF6B0D" w:rsidRPr="00DF6B0D" w:rsidRDefault="00DF6B0D" w:rsidP="00DF6B0D">
      <w:pPr>
        <w:widowControl w:val="0"/>
        <w:autoSpaceDE w:val="0"/>
        <w:autoSpaceDN w:val="0"/>
        <w:adjustRightInd w:val="0"/>
        <w:spacing w:after="240" w:line="240" w:lineRule="auto"/>
        <w:ind w:left="640" w:hanging="640"/>
        <w:rPr>
          <w:rFonts w:ascii="Times New Roman" w:hAnsi="Times New Roman" w:cs="Times New Roman"/>
          <w:noProof/>
          <w:sz w:val="24"/>
          <w:szCs w:val="24"/>
        </w:rPr>
      </w:pPr>
      <w:r w:rsidRPr="00DF6B0D">
        <w:rPr>
          <w:rFonts w:ascii="Times New Roman" w:hAnsi="Times New Roman" w:cs="Times New Roman"/>
          <w:noProof/>
          <w:sz w:val="24"/>
          <w:szCs w:val="24"/>
        </w:rPr>
        <w:t xml:space="preserve">[17] </w:t>
      </w:r>
      <w:r w:rsidRPr="00DF6B0D">
        <w:rPr>
          <w:rFonts w:ascii="Times New Roman" w:hAnsi="Times New Roman" w:cs="Times New Roman"/>
          <w:noProof/>
          <w:sz w:val="24"/>
          <w:szCs w:val="24"/>
        </w:rPr>
        <w:tab/>
        <w:t>Syue LS, Tang HJ, Hung YP, et al. Bloodstream infections in hospitalized adults with dengue fever: Clinical characteristics and recommended empirical therapy. J Microbiol Immunol Infect. 2019;52:225–232.</w:t>
      </w:r>
    </w:p>
    <w:p w14:paraId="76A31A42" w14:textId="77777777" w:rsidR="00DF6B0D" w:rsidRPr="00DF6B0D" w:rsidRDefault="00DF6B0D" w:rsidP="00DF6B0D">
      <w:pPr>
        <w:widowControl w:val="0"/>
        <w:autoSpaceDE w:val="0"/>
        <w:autoSpaceDN w:val="0"/>
        <w:adjustRightInd w:val="0"/>
        <w:spacing w:after="240" w:line="240" w:lineRule="auto"/>
        <w:ind w:left="640" w:hanging="640"/>
        <w:rPr>
          <w:rFonts w:ascii="Times New Roman" w:hAnsi="Times New Roman" w:cs="Times New Roman"/>
          <w:noProof/>
          <w:sz w:val="24"/>
          <w:szCs w:val="24"/>
        </w:rPr>
      </w:pPr>
      <w:r w:rsidRPr="00DF6B0D">
        <w:rPr>
          <w:rFonts w:ascii="Times New Roman" w:hAnsi="Times New Roman" w:cs="Times New Roman"/>
          <w:noProof/>
          <w:sz w:val="24"/>
          <w:szCs w:val="24"/>
        </w:rPr>
        <w:t xml:space="preserve">[18] </w:t>
      </w:r>
      <w:r w:rsidRPr="00DF6B0D">
        <w:rPr>
          <w:rFonts w:ascii="Times New Roman" w:hAnsi="Times New Roman" w:cs="Times New Roman"/>
          <w:noProof/>
          <w:sz w:val="24"/>
          <w:szCs w:val="24"/>
        </w:rPr>
        <w:tab/>
        <w:t>Gulati S, Maheshwari A. Atypical manifestations of dengue. Trop Med Int Heal. 2007;12:1087–1095.</w:t>
      </w:r>
    </w:p>
    <w:p w14:paraId="6A333DE6" w14:textId="77777777" w:rsidR="00DF6B0D" w:rsidRPr="00DF6B0D" w:rsidRDefault="00DF6B0D" w:rsidP="00DF6B0D">
      <w:pPr>
        <w:widowControl w:val="0"/>
        <w:autoSpaceDE w:val="0"/>
        <w:autoSpaceDN w:val="0"/>
        <w:adjustRightInd w:val="0"/>
        <w:spacing w:after="240" w:line="240" w:lineRule="auto"/>
        <w:ind w:left="640" w:hanging="640"/>
        <w:rPr>
          <w:rFonts w:ascii="Times New Roman" w:hAnsi="Times New Roman" w:cs="Times New Roman"/>
          <w:noProof/>
          <w:sz w:val="24"/>
          <w:szCs w:val="24"/>
        </w:rPr>
      </w:pPr>
      <w:r w:rsidRPr="00DF6B0D">
        <w:rPr>
          <w:rFonts w:ascii="Times New Roman" w:hAnsi="Times New Roman" w:cs="Times New Roman"/>
          <w:noProof/>
          <w:sz w:val="24"/>
          <w:szCs w:val="24"/>
        </w:rPr>
        <w:t xml:space="preserve">[19] </w:t>
      </w:r>
      <w:r w:rsidRPr="00DF6B0D">
        <w:rPr>
          <w:rFonts w:ascii="Times New Roman" w:hAnsi="Times New Roman" w:cs="Times New Roman"/>
          <w:noProof/>
          <w:sz w:val="24"/>
          <w:szCs w:val="24"/>
        </w:rPr>
        <w:tab/>
        <w:t>Ren D, Ong SWX, Batac JAL, et al. Haemophagocytic lymphohistiocytosis in dengue fever [Internet]. Lancet Infect. Dis. Lancet Publishing Group; 2021 [cited 2021 Jul 3]. p. 437. Available from: https://pubmed.ncbi.nlm.nih.gov/33639131/.</w:t>
      </w:r>
    </w:p>
    <w:p w14:paraId="4ADA9E5C" w14:textId="77777777" w:rsidR="00DF6B0D" w:rsidRPr="00DF6B0D" w:rsidRDefault="00DF6B0D" w:rsidP="00DF6B0D">
      <w:pPr>
        <w:widowControl w:val="0"/>
        <w:autoSpaceDE w:val="0"/>
        <w:autoSpaceDN w:val="0"/>
        <w:adjustRightInd w:val="0"/>
        <w:spacing w:after="240" w:line="240" w:lineRule="auto"/>
        <w:ind w:left="640" w:hanging="640"/>
        <w:rPr>
          <w:rFonts w:ascii="Times New Roman" w:hAnsi="Times New Roman" w:cs="Times New Roman"/>
          <w:noProof/>
          <w:sz w:val="24"/>
          <w:szCs w:val="24"/>
        </w:rPr>
      </w:pPr>
      <w:r w:rsidRPr="00DF6B0D">
        <w:rPr>
          <w:rFonts w:ascii="Times New Roman" w:hAnsi="Times New Roman" w:cs="Times New Roman"/>
          <w:noProof/>
          <w:sz w:val="24"/>
          <w:szCs w:val="24"/>
        </w:rPr>
        <w:t xml:space="preserve">[20] </w:t>
      </w:r>
      <w:r w:rsidRPr="00DF6B0D">
        <w:rPr>
          <w:rFonts w:ascii="Times New Roman" w:hAnsi="Times New Roman" w:cs="Times New Roman"/>
          <w:noProof/>
          <w:sz w:val="24"/>
          <w:szCs w:val="24"/>
        </w:rPr>
        <w:tab/>
        <w:t>Ray S, Kundu S, Saha M, et al. Hemophagocytic syndrome in classic dengue fever. J Glob Infect Dis [Internet]. 2011 [cited 2021 Jul 6];3:399–401. Available from: /pmc/articles/PMC3250000/.</w:t>
      </w:r>
    </w:p>
    <w:p w14:paraId="3FFA084A" w14:textId="77777777" w:rsidR="00DF6B0D" w:rsidRPr="00DF6B0D" w:rsidRDefault="00DF6B0D" w:rsidP="00DF6B0D">
      <w:pPr>
        <w:widowControl w:val="0"/>
        <w:autoSpaceDE w:val="0"/>
        <w:autoSpaceDN w:val="0"/>
        <w:adjustRightInd w:val="0"/>
        <w:spacing w:after="240" w:line="240" w:lineRule="auto"/>
        <w:ind w:left="640" w:hanging="640"/>
        <w:rPr>
          <w:rFonts w:ascii="Times New Roman" w:hAnsi="Times New Roman" w:cs="Times New Roman"/>
          <w:noProof/>
          <w:sz w:val="24"/>
          <w:szCs w:val="24"/>
        </w:rPr>
      </w:pPr>
      <w:r w:rsidRPr="00DF6B0D">
        <w:rPr>
          <w:rFonts w:ascii="Times New Roman" w:hAnsi="Times New Roman" w:cs="Times New Roman"/>
          <w:noProof/>
          <w:sz w:val="24"/>
          <w:szCs w:val="24"/>
        </w:rPr>
        <w:t xml:space="preserve">[21] </w:t>
      </w:r>
      <w:r w:rsidRPr="00DF6B0D">
        <w:rPr>
          <w:rFonts w:ascii="Times New Roman" w:hAnsi="Times New Roman" w:cs="Times New Roman"/>
          <w:noProof/>
          <w:sz w:val="24"/>
          <w:szCs w:val="24"/>
        </w:rPr>
        <w:tab/>
        <w:t xml:space="preserve">Chung SM, Song JY, Kim W, et al. Dengue-associated </w:t>
      </w:r>
      <w:r w:rsidRPr="00DF6B0D">
        <w:rPr>
          <w:rFonts w:ascii="Times New Roman" w:hAnsi="Times New Roman" w:cs="Times New Roman"/>
          <w:noProof/>
          <w:sz w:val="24"/>
          <w:szCs w:val="24"/>
        </w:rPr>
        <w:lastRenderedPageBreak/>
        <w:t>hemophagocyticlymphohistiocytosis in an adult A case report and literature review. Med (United States) [Internet]. 2017 [cited 2021 Jul 6];96. Available from: https://journals.lww.com/md-journal/Fulltext/2017/02240/Dengue_associated.17.aspx.</w:t>
      </w:r>
    </w:p>
    <w:p w14:paraId="761CC2B1" w14:textId="77777777" w:rsidR="00DF6B0D" w:rsidRPr="00DF6B0D" w:rsidRDefault="00DF6B0D" w:rsidP="00DF6B0D">
      <w:pPr>
        <w:widowControl w:val="0"/>
        <w:autoSpaceDE w:val="0"/>
        <w:autoSpaceDN w:val="0"/>
        <w:adjustRightInd w:val="0"/>
        <w:spacing w:after="240" w:line="240" w:lineRule="auto"/>
        <w:ind w:left="640" w:hanging="640"/>
        <w:rPr>
          <w:rFonts w:ascii="Times New Roman" w:hAnsi="Times New Roman" w:cs="Times New Roman"/>
          <w:noProof/>
          <w:sz w:val="24"/>
          <w:szCs w:val="24"/>
        </w:rPr>
      </w:pPr>
      <w:r w:rsidRPr="00DF6B0D">
        <w:rPr>
          <w:rFonts w:ascii="Times New Roman" w:hAnsi="Times New Roman" w:cs="Times New Roman"/>
          <w:noProof/>
          <w:sz w:val="24"/>
          <w:szCs w:val="24"/>
        </w:rPr>
        <w:t xml:space="preserve">[22] </w:t>
      </w:r>
      <w:r w:rsidRPr="00DF6B0D">
        <w:rPr>
          <w:rFonts w:ascii="Times New Roman" w:hAnsi="Times New Roman" w:cs="Times New Roman"/>
          <w:noProof/>
          <w:sz w:val="24"/>
          <w:szCs w:val="24"/>
        </w:rPr>
        <w:tab/>
        <w:t>Thadchanamoorthy V, Dayasiri K. Dengue Fever Associated Haemophagocytic Lymphohistiocytosis: A Report of Two Children. Cureus [Internet]. 2020 [cited 2021 Jul 3];12. Available from: https://pubmed.ncbi.nlm.nih.gov/33269160/.</w:t>
      </w:r>
    </w:p>
    <w:p w14:paraId="4865E8E7" w14:textId="77777777" w:rsidR="00DF6B0D" w:rsidRPr="00DF6B0D" w:rsidRDefault="00DF6B0D" w:rsidP="00DF6B0D">
      <w:pPr>
        <w:widowControl w:val="0"/>
        <w:autoSpaceDE w:val="0"/>
        <w:autoSpaceDN w:val="0"/>
        <w:adjustRightInd w:val="0"/>
        <w:spacing w:after="240" w:line="240" w:lineRule="auto"/>
        <w:ind w:left="640" w:hanging="640"/>
        <w:rPr>
          <w:rFonts w:ascii="Times New Roman" w:hAnsi="Times New Roman" w:cs="Times New Roman"/>
          <w:noProof/>
          <w:sz w:val="24"/>
          <w:szCs w:val="24"/>
        </w:rPr>
      </w:pPr>
      <w:r w:rsidRPr="00DF6B0D">
        <w:rPr>
          <w:rFonts w:ascii="Times New Roman" w:hAnsi="Times New Roman" w:cs="Times New Roman"/>
          <w:noProof/>
          <w:sz w:val="24"/>
          <w:szCs w:val="24"/>
        </w:rPr>
        <w:t xml:space="preserve">[23] </w:t>
      </w:r>
      <w:r w:rsidRPr="00DF6B0D">
        <w:rPr>
          <w:rFonts w:ascii="Times New Roman" w:hAnsi="Times New Roman" w:cs="Times New Roman"/>
          <w:noProof/>
          <w:sz w:val="24"/>
          <w:szCs w:val="24"/>
        </w:rPr>
        <w:tab/>
        <w:t>Ray U, Dutta S, Mondal S, et al. Severe dengue due to secondary hemophagocytic lymphohistiocytosis: A case study. IDCases [Internet]. 2017 [cited 2021 Jul 6];8:50–53. Available from: /pmc/articles/PMC5388930/.</w:t>
      </w:r>
    </w:p>
    <w:p w14:paraId="08A4AF47" w14:textId="77777777" w:rsidR="00DF6B0D" w:rsidRPr="00DF6B0D" w:rsidRDefault="00DF6B0D" w:rsidP="00DF6B0D">
      <w:pPr>
        <w:widowControl w:val="0"/>
        <w:autoSpaceDE w:val="0"/>
        <w:autoSpaceDN w:val="0"/>
        <w:adjustRightInd w:val="0"/>
        <w:spacing w:after="240" w:line="240" w:lineRule="auto"/>
        <w:ind w:left="640" w:hanging="640"/>
        <w:rPr>
          <w:rFonts w:ascii="Times New Roman" w:hAnsi="Times New Roman" w:cs="Times New Roman"/>
          <w:noProof/>
          <w:sz w:val="24"/>
          <w:szCs w:val="24"/>
        </w:rPr>
      </w:pPr>
      <w:r w:rsidRPr="00DF6B0D">
        <w:rPr>
          <w:rFonts w:ascii="Times New Roman" w:hAnsi="Times New Roman" w:cs="Times New Roman"/>
          <w:noProof/>
          <w:sz w:val="24"/>
          <w:szCs w:val="24"/>
        </w:rPr>
        <w:t xml:space="preserve">[24] </w:t>
      </w:r>
      <w:r w:rsidRPr="00DF6B0D">
        <w:rPr>
          <w:rFonts w:ascii="Times New Roman" w:hAnsi="Times New Roman" w:cs="Times New Roman"/>
          <w:noProof/>
          <w:sz w:val="24"/>
          <w:szCs w:val="24"/>
        </w:rPr>
        <w:tab/>
        <w:t>Chang CY, Rajappan M, Zaid M, et al. Dengue fever complicated by hemophagocytic lymphohistiocytosis: Report of 2 cases and bone marrow findings. Clin Case Reports [Internet]. 2020 [cited 2021 Jul 6];8:3427–3431. Available from: https://orcid.</w:t>
      </w:r>
    </w:p>
    <w:p w14:paraId="30E4E39A" w14:textId="77777777" w:rsidR="00DF6B0D" w:rsidRPr="00DF6B0D" w:rsidRDefault="00DF6B0D" w:rsidP="00DF6B0D">
      <w:pPr>
        <w:widowControl w:val="0"/>
        <w:autoSpaceDE w:val="0"/>
        <w:autoSpaceDN w:val="0"/>
        <w:adjustRightInd w:val="0"/>
        <w:spacing w:after="240" w:line="240" w:lineRule="auto"/>
        <w:ind w:left="640" w:hanging="640"/>
        <w:rPr>
          <w:rFonts w:ascii="Times New Roman" w:hAnsi="Times New Roman" w:cs="Times New Roman"/>
          <w:noProof/>
          <w:sz w:val="24"/>
          <w:szCs w:val="24"/>
        </w:rPr>
      </w:pPr>
      <w:r w:rsidRPr="00DF6B0D">
        <w:rPr>
          <w:rFonts w:ascii="Times New Roman" w:hAnsi="Times New Roman" w:cs="Times New Roman"/>
          <w:noProof/>
          <w:sz w:val="24"/>
          <w:szCs w:val="24"/>
        </w:rPr>
        <w:t xml:space="preserve">[25] </w:t>
      </w:r>
      <w:r w:rsidRPr="00DF6B0D">
        <w:rPr>
          <w:rFonts w:ascii="Times New Roman" w:hAnsi="Times New Roman" w:cs="Times New Roman"/>
          <w:noProof/>
          <w:sz w:val="24"/>
          <w:szCs w:val="24"/>
        </w:rPr>
        <w:tab/>
        <w:t>Khurram M, Faheem M, Umar M, et al. Hemophagocytic Lymphohistiocytosis Complicating Dengue and Plasmodium vivax Coinfection. Case Rep Med. 2015;2015.</w:t>
      </w:r>
    </w:p>
    <w:p w14:paraId="57FC563F" w14:textId="77777777" w:rsidR="00DF6B0D" w:rsidRPr="00DF6B0D" w:rsidRDefault="00DF6B0D" w:rsidP="00DF6B0D">
      <w:pPr>
        <w:widowControl w:val="0"/>
        <w:autoSpaceDE w:val="0"/>
        <w:autoSpaceDN w:val="0"/>
        <w:adjustRightInd w:val="0"/>
        <w:spacing w:after="240" w:line="240" w:lineRule="auto"/>
        <w:ind w:left="640" w:hanging="640"/>
        <w:rPr>
          <w:rFonts w:ascii="Times New Roman" w:hAnsi="Times New Roman" w:cs="Times New Roman"/>
          <w:noProof/>
          <w:sz w:val="24"/>
          <w:szCs w:val="24"/>
        </w:rPr>
      </w:pPr>
      <w:r w:rsidRPr="00DF6B0D">
        <w:rPr>
          <w:rFonts w:ascii="Times New Roman" w:hAnsi="Times New Roman" w:cs="Times New Roman"/>
          <w:noProof/>
          <w:sz w:val="24"/>
          <w:szCs w:val="24"/>
        </w:rPr>
        <w:t xml:space="preserve">[26] </w:t>
      </w:r>
      <w:r w:rsidRPr="00DF6B0D">
        <w:rPr>
          <w:rFonts w:ascii="Times New Roman" w:hAnsi="Times New Roman" w:cs="Times New Roman"/>
          <w:noProof/>
          <w:sz w:val="24"/>
          <w:szCs w:val="24"/>
        </w:rPr>
        <w:tab/>
        <w:t>Deane S, Selmi C, Teuber SS, et al. Macrophage activation syndrome in autoimmune disease [Internet]. Int. Arch. Allergy Immunol. Int Arch Allergy Immunol; 2010 [cited 2021 Jul 4]. p. 109–120. Available from: https://pubmed.ncbi.nlm.nih.gov/20407267/.</w:t>
      </w:r>
    </w:p>
    <w:p w14:paraId="06859DC9" w14:textId="77777777" w:rsidR="00DF6B0D" w:rsidRPr="00DF6B0D" w:rsidRDefault="00DF6B0D" w:rsidP="00DF6B0D">
      <w:pPr>
        <w:widowControl w:val="0"/>
        <w:autoSpaceDE w:val="0"/>
        <w:autoSpaceDN w:val="0"/>
        <w:adjustRightInd w:val="0"/>
        <w:spacing w:after="240" w:line="240" w:lineRule="auto"/>
        <w:ind w:left="640" w:hanging="640"/>
        <w:rPr>
          <w:rFonts w:ascii="Times New Roman" w:hAnsi="Times New Roman" w:cs="Times New Roman"/>
          <w:noProof/>
          <w:sz w:val="24"/>
          <w:szCs w:val="24"/>
        </w:rPr>
      </w:pPr>
      <w:r w:rsidRPr="00DF6B0D">
        <w:rPr>
          <w:rFonts w:ascii="Times New Roman" w:hAnsi="Times New Roman" w:cs="Times New Roman"/>
          <w:noProof/>
          <w:sz w:val="24"/>
          <w:szCs w:val="24"/>
        </w:rPr>
        <w:t xml:space="preserve">[27] </w:t>
      </w:r>
      <w:r w:rsidRPr="00DF6B0D">
        <w:rPr>
          <w:rFonts w:ascii="Times New Roman" w:hAnsi="Times New Roman" w:cs="Times New Roman"/>
          <w:noProof/>
          <w:sz w:val="24"/>
          <w:szCs w:val="24"/>
        </w:rPr>
        <w:tab/>
        <w:t>Rosée P La, Horne AC, Hines M, et al. Recommendations for the management of hemophagocytic lymphohistiocytosis in adults. Blood [Internet]. 2019 [cited 2021 Jul 4];133:2465–2477. Available from: http://ashpublications.org/blood/article-pdf/133/23/2465/1553600/blood894618.pdf.</w:t>
      </w:r>
    </w:p>
    <w:p w14:paraId="4F02D4E7" w14:textId="77777777" w:rsidR="00DF6B0D" w:rsidRPr="00DF6B0D" w:rsidRDefault="00DF6B0D" w:rsidP="00DF6B0D">
      <w:pPr>
        <w:widowControl w:val="0"/>
        <w:autoSpaceDE w:val="0"/>
        <w:autoSpaceDN w:val="0"/>
        <w:adjustRightInd w:val="0"/>
        <w:spacing w:after="240" w:line="240" w:lineRule="auto"/>
        <w:ind w:left="640" w:hanging="640"/>
        <w:rPr>
          <w:rFonts w:ascii="Times New Roman" w:hAnsi="Times New Roman" w:cs="Times New Roman"/>
          <w:noProof/>
          <w:sz w:val="24"/>
          <w:szCs w:val="24"/>
        </w:rPr>
      </w:pPr>
      <w:r w:rsidRPr="00DF6B0D">
        <w:rPr>
          <w:rFonts w:ascii="Times New Roman" w:hAnsi="Times New Roman" w:cs="Times New Roman"/>
          <w:noProof/>
          <w:sz w:val="24"/>
          <w:szCs w:val="24"/>
        </w:rPr>
        <w:t xml:space="preserve">[28] </w:t>
      </w:r>
      <w:r w:rsidRPr="00DF6B0D">
        <w:rPr>
          <w:rFonts w:ascii="Times New Roman" w:hAnsi="Times New Roman" w:cs="Times New Roman"/>
          <w:noProof/>
          <w:sz w:val="24"/>
          <w:szCs w:val="24"/>
        </w:rPr>
        <w:tab/>
        <w:t>Grom AA. Natural Killer Cell Dysfunction: A Common Pathway in Systemic-Onset Juvenile Rheumatoid Arthritis, Macrophage Activation Syndrome, and Hemophagocytic Lymphohistiocytosis? [Internet]. Arthritis Rheum. Arthritis Rheum; 2004 [cited 2021 Jul 4]. p. 689–698. Available from: https://pubmed.ncbi.nlm.nih.gov/15022306/.</w:t>
      </w:r>
    </w:p>
    <w:p w14:paraId="3AAE7431" w14:textId="77777777" w:rsidR="00DF6B0D" w:rsidRPr="00DF6B0D" w:rsidRDefault="00DF6B0D" w:rsidP="00DF6B0D">
      <w:pPr>
        <w:widowControl w:val="0"/>
        <w:autoSpaceDE w:val="0"/>
        <w:autoSpaceDN w:val="0"/>
        <w:adjustRightInd w:val="0"/>
        <w:spacing w:after="240" w:line="240" w:lineRule="auto"/>
        <w:ind w:left="640" w:hanging="640"/>
        <w:rPr>
          <w:rFonts w:ascii="Times New Roman" w:hAnsi="Times New Roman" w:cs="Times New Roman"/>
          <w:noProof/>
          <w:sz w:val="24"/>
          <w:szCs w:val="24"/>
        </w:rPr>
      </w:pPr>
      <w:r w:rsidRPr="00DF6B0D">
        <w:rPr>
          <w:rFonts w:ascii="Times New Roman" w:hAnsi="Times New Roman" w:cs="Times New Roman"/>
          <w:noProof/>
          <w:sz w:val="24"/>
          <w:szCs w:val="24"/>
        </w:rPr>
        <w:t xml:space="preserve">[29] </w:t>
      </w:r>
      <w:r w:rsidRPr="00DF6B0D">
        <w:rPr>
          <w:rFonts w:ascii="Times New Roman" w:hAnsi="Times New Roman" w:cs="Times New Roman"/>
          <w:noProof/>
          <w:sz w:val="24"/>
          <w:szCs w:val="24"/>
        </w:rPr>
        <w:tab/>
        <w:t>Aricò M, Danesino C, Pende D, et al. Pathogenesis of haemophagocytic lymphohistiocytosis [Internet]. Br. J. Haematol. Br J Haematol; 2001 [cited 2021 Jul 4]. p. 761–769. Available from: https://pubmed.ncbi.nlm.nih.gov/11564062/.</w:t>
      </w:r>
    </w:p>
    <w:p w14:paraId="51AC4036" w14:textId="77777777" w:rsidR="00DF6B0D" w:rsidRPr="00DF6B0D" w:rsidRDefault="00DF6B0D" w:rsidP="00DF6B0D">
      <w:pPr>
        <w:widowControl w:val="0"/>
        <w:autoSpaceDE w:val="0"/>
        <w:autoSpaceDN w:val="0"/>
        <w:adjustRightInd w:val="0"/>
        <w:spacing w:after="240" w:line="240" w:lineRule="auto"/>
        <w:ind w:left="640" w:hanging="640"/>
        <w:rPr>
          <w:rFonts w:ascii="Times New Roman" w:hAnsi="Times New Roman" w:cs="Times New Roman"/>
          <w:noProof/>
          <w:sz w:val="24"/>
          <w:szCs w:val="24"/>
        </w:rPr>
      </w:pPr>
      <w:r w:rsidRPr="00DF6B0D">
        <w:rPr>
          <w:rFonts w:ascii="Times New Roman" w:hAnsi="Times New Roman" w:cs="Times New Roman"/>
          <w:noProof/>
          <w:sz w:val="24"/>
          <w:szCs w:val="24"/>
        </w:rPr>
        <w:t xml:space="preserve">[30] </w:t>
      </w:r>
      <w:r w:rsidRPr="00DF6B0D">
        <w:rPr>
          <w:rFonts w:ascii="Times New Roman" w:hAnsi="Times New Roman" w:cs="Times New Roman"/>
          <w:noProof/>
          <w:sz w:val="24"/>
          <w:szCs w:val="24"/>
        </w:rPr>
        <w:tab/>
        <w:t>Jordan MB, Hildeman D, Kappler J, et al. An animal model of hemophagocytic lymphohistiocytosis (HLH): CD8 + T cells and interferon gamma are essential for the disorder. Blood [Internet]. 2004 [cited 2021 Jul 4];104:735–743. Available from: https://pubmed.ncbi.nlm.nih.gov/15069016/.</w:t>
      </w:r>
    </w:p>
    <w:p w14:paraId="58282B3C" w14:textId="77777777" w:rsidR="00DF6B0D" w:rsidRPr="00DF6B0D" w:rsidRDefault="00DF6B0D" w:rsidP="00DF6B0D">
      <w:pPr>
        <w:widowControl w:val="0"/>
        <w:autoSpaceDE w:val="0"/>
        <w:autoSpaceDN w:val="0"/>
        <w:adjustRightInd w:val="0"/>
        <w:spacing w:after="240" w:line="240" w:lineRule="auto"/>
        <w:ind w:left="640" w:hanging="640"/>
        <w:rPr>
          <w:rFonts w:ascii="Times New Roman" w:hAnsi="Times New Roman" w:cs="Times New Roman"/>
          <w:noProof/>
          <w:sz w:val="24"/>
          <w:szCs w:val="24"/>
        </w:rPr>
      </w:pPr>
      <w:r w:rsidRPr="00DF6B0D">
        <w:rPr>
          <w:rFonts w:ascii="Times New Roman" w:hAnsi="Times New Roman" w:cs="Times New Roman"/>
          <w:noProof/>
          <w:sz w:val="24"/>
          <w:szCs w:val="24"/>
        </w:rPr>
        <w:t xml:space="preserve">[31] </w:t>
      </w:r>
      <w:r w:rsidRPr="00DF6B0D">
        <w:rPr>
          <w:rFonts w:ascii="Times New Roman" w:hAnsi="Times New Roman" w:cs="Times New Roman"/>
          <w:noProof/>
          <w:sz w:val="24"/>
          <w:szCs w:val="24"/>
        </w:rPr>
        <w:tab/>
        <w:t>Jordan MB, Allen CE, Greenberg J, et al. Challenges in the diagnosis of hemophagocytic lymphohistiocytosis: Recommendations from the North American Consortium for Histiocytosis (NACHO) [Internet]. Pediatr. Blood Cancer. John Wiley and Sons Inc.; 2019 [cited 2021 Jul 2]. Available from: https://pubmed.ncbi.nlm.nih.gov/31339233/.</w:t>
      </w:r>
    </w:p>
    <w:p w14:paraId="180F91EA" w14:textId="77777777" w:rsidR="00DF6B0D" w:rsidRPr="00DF6B0D" w:rsidRDefault="00DF6B0D" w:rsidP="00DF6B0D">
      <w:pPr>
        <w:widowControl w:val="0"/>
        <w:autoSpaceDE w:val="0"/>
        <w:autoSpaceDN w:val="0"/>
        <w:adjustRightInd w:val="0"/>
        <w:spacing w:after="240" w:line="240" w:lineRule="auto"/>
        <w:ind w:left="640" w:hanging="640"/>
        <w:rPr>
          <w:rFonts w:ascii="Times New Roman" w:hAnsi="Times New Roman" w:cs="Times New Roman"/>
          <w:noProof/>
          <w:sz w:val="24"/>
          <w:szCs w:val="24"/>
        </w:rPr>
      </w:pPr>
      <w:r w:rsidRPr="00DF6B0D">
        <w:rPr>
          <w:rFonts w:ascii="Times New Roman" w:hAnsi="Times New Roman" w:cs="Times New Roman"/>
          <w:noProof/>
          <w:sz w:val="24"/>
          <w:szCs w:val="24"/>
        </w:rPr>
        <w:t xml:space="preserve">[32] </w:t>
      </w:r>
      <w:r w:rsidRPr="00DF6B0D">
        <w:rPr>
          <w:rFonts w:ascii="Times New Roman" w:hAnsi="Times New Roman" w:cs="Times New Roman"/>
          <w:noProof/>
          <w:sz w:val="24"/>
          <w:szCs w:val="24"/>
        </w:rPr>
        <w:tab/>
        <w:t xml:space="preserve">Gao C, Cai Y, Zhang K, et al. Association of hypertension and antihypertensive treatment </w:t>
      </w:r>
      <w:r w:rsidRPr="00DF6B0D">
        <w:rPr>
          <w:rFonts w:ascii="Times New Roman" w:hAnsi="Times New Roman" w:cs="Times New Roman"/>
          <w:noProof/>
          <w:sz w:val="24"/>
          <w:szCs w:val="24"/>
        </w:rPr>
        <w:lastRenderedPageBreak/>
        <w:t>with COVID-19 mortality: a retrospective observational study. Eur Heart J [Internet]. 2020 [cited 2021 Jul 5];41:2058–2066. Available from: /pmc/articles/PMC7314067/.</w:t>
      </w:r>
    </w:p>
    <w:p w14:paraId="285D6DD0" w14:textId="77777777" w:rsidR="00DF6B0D" w:rsidRPr="00DF6B0D" w:rsidRDefault="00DF6B0D" w:rsidP="00DF6B0D">
      <w:pPr>
        <w:widowControl w:val="0"/>
        <w:autoSpaceDE w:val="0"/>
        <w:autoSpaceDN w:val="0"/>
        <w:adjustRightInd w:val="0"/>
        <w:spacing w:after="240" w:line="240" w:lineRule="auto"/>
        <w:ind w:left="640" w:hanging="640"/>
        <w:rPr>
          <w:rFonts w:ascii="Times New Roman" w:hAnsi="Times New Roman" w:cs="Times New Roman"/>
          <w:noProof/>
          <w:sz w:val="24"/>
        </w:rPr>
      </w:pPr>
      <w:r w:rsidRPr="00DF6B0D">
        <w:rPr>
          <w:rFonts w:ascii="Times New Roman" w:hAnsi="Times New Roman" w:cs="Times New Roman"/>
          <w:noProof/>
          <w:sz w:val="24"/>
          <w:szCs w:val="24"/>
        </w:rPr>
        <w:t xml:space="preserve">[33] </w:t>
      </w:r>
      <w:r w:rsidRPr="00DF6B0D">
        <w:rPr>
          <w:rFonts w:ascii="Times New Roman" w:hAnsi="Times New Roman" w:cs="Times New Roman"/>
          <w:noProof/>
          <w:sz w:val="24"/>
          <w:szCs w:val="24"/>
        </w:rPr>
        <w:tab/>
        <w:t>Kan FK, Tan CC, von Bahr Greenwood T, et al. Dengue Infection Complicated by Hemophagocytic Lymphohistiocytosis: Experiences from 180 Patients with Severe Dengue. Clin Infect Dis [Internet]. 2020 [cited 2021 Jul 6];70:2247–2255. Available from: https://academic.oup.com/cid/article/70/11/2247/5514267.</w:t>
      </w:r>
    </w:p>
    <w:p w14:paraId="67457735" w14:textId="1D1BD810" w:rsidR="00DF6B0D" w:rsidRPr="00412AB4" w:rsidRDefault="00DF6B0D" w:rsidP="00412AB4">
      <w:pPr>
        <w:spacing w:after="240" w:line="276" w:lineRule="auto"/>
        <w:rPr>
          <w:rFonts w:ascii="Times New Roman" w:hAnsi="Times New Roman" w:cs="Times New Roman"/>
          <w:sz w:val="24"/>
          <w:szCs w:val="24"/>
        </w:rPr>
      </w:pPr>
      <w:r>
        <w:rPr>
          <w:rFonts w:ascii="Times New Roman" w:hAnsi="Times New Roman" w:cs="Times New Roman"/>
          <w:sz w:val="24"/>
          <w:szCs w:val="24"/>
        </w:rPr>
        <w:fldChar w:fldCharType="end"/>
      </w:r>
    </w:p>
    <w:p w14:paraId="387BEB79" w14:textId="77777777" w:rsidR="00412AB4" w:rsidRPr="00412AB4" w:rsidRDefault="00412AB4" w:rsidP="00412AB4">
      <w:pPr>
        <w:spacing w:after="240" w:line="276" w:lineRule="auto"/>
        <w:rPr>
          <w:rFonts w:ascii="Times New Roman" w:hAnsi="Times New Roman" w:cs="Times New Roman"/>
          <w:sz w:val="24"/>
          <w:szCs w:val="24"/>
        </w:rPr>
      </w:pPr>
    </w:p>
    <w:p w14:paraId="05055DDF" w14:textId="77777777" w:rsidR="00412AB4" w:rsidRPr="00412AB4" w:rsidRDefault="00412AB4" w:rsidP="00412AB4">
      <w:pPr>
        <w:spacing w:after="240" w:line="276" w:lineRule="auto"/>
        <w:rPr>
          <w:rFonts w:ascii="Times New Roman" w:hAnsi="Times New Roman" w:cs="Times New Roman"/>
          <w:sz w:val="24"/>
          <w:szCs w:val="24"/>
        </w:rPr>
      </w:pPr>
    </w:p>
    <w:p w14:paraId="3CBE6BB4" w14:textId="77777777" w:rsidR="00412AB4" w:rsidRPr="00E00B7F" w:rsidRDefault="00412AB4" w:rsidP="00412AB4">
      <w:pPr>
        <w:spacing w:after="240" w:line="276" w:lineRule="auto"/>
        <w:rPr>
          <w:rFonts w:ascii="Times New Roman" w:hAnsi="Times New Roman" w:cs="Times New Roman"/>
          <w:sz w:val="24"/>
          <w:szCs w:val="24"/>
        </w:rPr>
      </w:pPr>
    </w:p>
    <w:p w14:paraId="165DBEB7" w14:textId="2425566A" w:rsidR="00412AB4" w:rsidRPr="00412AB4" w:rsidRDefault="00412AB4" w:rsidP="00412AB4">
      <w:pPr>
        <w:autoSpaceDE w:val="0"/>
        <w:autoSpaceDN w:val="0"/>
        <w:adjustRightInd w:val="0"/>
        <w:spacing w:after="240" w:line="276" w:lineRule="auto"/>
        <w:rPr>
          <w:rFonts w:ascii="Times New Roman" w:hAnsi="Times New Roman" w:cs="Times New Roman"/>
          <w:sz w:val="24"/>
          <w:szCs w:val="24"/>
        </w:rPr>
      </w:pPr>
    </w:p>
    <w:sectPr w:rsidR="00412AB4" w:rsidRPr="00412AB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Iskoola Pota">
    <w:panose1 w:val="020B0502040204020203"/>
    <w:charset w:val="00"/>
    <w:family w:val="swiss"/>
    <w:pitch w:val="variable"/>
    <w:sig w:usb0="00000003" w:usb1="00000000" w:usb2="000002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5C3A05"/>
    <w:multiLevelType w:val="hybridMultilevel"/>
    <w:tmpl w:val="787ED92A"/>
    <w:lvl w:ilvl="0" w:tplc="37647A34">
      <w:start w:val="2"/>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B666D25"/>
    <w:multiLevelType w:val="hybridMultilevel"/>
    <w:tmpl w:val="5678BF04"/>
    <w:lvl w:ilvl="0" w:tplc="52608308">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szSzMLcwN7W0NLEwMTNQ0lEKTi0uzszPAykwrwUA0M2J3ywAAAA="/>
  </w:docVars>
  <w:rsids>
    <w:rsidRoot w:val="00D92939"/>
    <w:rsid w:val="001022E5"/>
    <w:rsid w:val="00243765"/>
    <w:rsid w:val="00412AB4"/>
    <w:rsid w:val="00770E87"/>
    <w:rsid w:val="0078563A"/>
    <w:rsid w:val="00791892"/>
    <w:rsid w:val="007934EA"/>
    <w:rsid w:val="009B6C6A"/>
    <w:rsid w:val="009D297E"/>
    <w:rsid w:val="00A425DA"/>
    <w:rsid w:val="00C50843"/>
    <w:rsid w:val="00D92939"/>
    <w:rsid w:val="00DB1067"/>
    <w:rsid w:val="00DF6B0D"/>
    <w:rsid w:val="00EE02FF"/>
    <w:rsid w:val="00F81881"/>
  </w:rsids>
  <m:mathPr>
    <m:mathFont m:val="Cambria Math"/>
    <m:brkBin m:val="before"/>
    <m:brkBinSub m:val="--"/>
    <m:smallFrac m:val="0"/>
    <m:dispDef/>
    <m:lMargin m:val="0"/>
    <m:rMargin m:val="0"/>
    <m:defJc m:val="centerGroup"/>
    <m:wrapIndent m:val="1440"/>
    <m:intLim m:val="subSup"/>
    <m:naryLim m:val="undOvr"/>
  </m:mathPr>
  <w:themeFontLang w:val="en-US" w:bidi="si-L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D500FD"/>
  <w15:chartTrackingRefBased/>
  <w15:docId w15:val="{966FE62B-E495-426E-BF3A-AD0AD5069D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770E87"/>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70E87"/>
    <w:rPr>
      <w:rFonts w:ascii="Times New Roman" w:eastAsia="Times New Roman" w:hAnsi="Times New Roman" w:cs="Times New Roman"/>
      <w:b/>
      <w:bCs/>
      <w:sz w:val="36"/>
      <w:szCs w:val="36"/>
    </w:rPr>
  </w:style>
  <w:style w:type="paragraph" w:styleId="ListParagraph">
    <w:name w:val="List Paragraph"/>
    <w:basedOn w:val="Normal"/>
    <w:uiPriority w:val="34"/>
    <w:qFormat/>
    <w:rsid w:val="00A425DA"/>
    <w:pPr>
      <w:ind w:left="720"/>
      <w:contextualSpacing/>
    </w:pPr>
  </w:style>
  <w:style w:type="table" w:styleId="TableGrid">
    <w:name w:val="Table Grid"/>
    <w:basedOn w:val="TableNormal"/>
    <w:uiPriority w:val="39"/>
    <w:rsid w:val="00C508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45C218-AF4E-4E40-AAAD-A6C878280B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1095</TotalTime>
  <Pages>11</Pages>
  <Words>30132</Words>
  <Characters>171758</Characters>
  <Application>Microsoft Office Word</Application>
  <DocSecurity>0</DocSecurity>
  <Lines>1431</Lines>
  <Paragraphs>402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Parackrama Karunathilake</dc:creator>
  <cp:keywords/>
  <dc:description/>
  <cp:lastModifiedBy>Parackrama Karunathilake</cp:lastModifiedBy>
  <cp:revision>17</cp:revision>
  <dcterms:created xsi:type="dcterms:W3CDTF">2021-07-02T08:19:00Z</dcterms:created>
  <dcterms:modified xsi:type="dcterms:W3CDTF">2021-07-14T06:54:00Z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http://www.zotero.org/styles/chicago-author-date</vt:lpwstr>
  </property>
  <property fmtid="{D5CDD505-2E9C-101B-9397-08002B2CF9AE}" pid="3" name="Mendeley Recent Style Name 0_1">
    <vt:lpwstr>Chicago Manual of Style 17th edition (author-date)</vt:lpwstr>
  </property>
  <property fmtid="{D5CDD505-2E9C-101B-9397-08002B2CF9AE}" pid="4" name="Mendeley Recent Style Id 1_1">
    <vt:lpwstr>http://www.zotero.org/styles/harvard-cite-them-right</vt:lpwstr>
  </property>
  <property fmtid="{D5CDD505-2E9C-101B-9397-08002B2CF9AE}" pid="5" name="Mendeley Recent Style Name 1_1">
    <vt:lpwstr>Cite Them Right 10th edition - Harvard</vt:lpwstr>
  </property>
  <property fmtid="{D5CDD505-2E9C-101B-9397-08002B2CF9AE}" pid="6" name="Mendeley Recent Style Id 2_1">
    <vt:lpwstr>http://www.zotero.org/styles/harvard1</vt:lpwstr>
  </property>
  <property fmtid="{D5CDD505-2E9C-101B-9397-08002B2CF9AE}" pid="7" name="Mendeley Recent Style Name 2_1">
    <vt:lpwstr>Harvard reference format 1 (deprecated)</vt:lpwstr>
  </property>
  <property fmtid="{D5CDD505-2E9C-101B-9397-08002B2CF9AE}" pid="8" name="Mendeley Recent Style Id 3_1">
    <vt:lpwstr>http://www.zotero.org/styles/ieee</vt:lpwstr>
  </property>
  <property fmtid="{D5CDD505-2E9C-101B-9397-08002B2CF9AE}" pid="9" name="Mendeley Recent Style Name 3_1">
    <vt:lpwstr>IEEE</vt:lpwstr>
  </property>
  <property fmtid="{D5CDD505-2E9C-101B-9397-08002B2CF9AE}" pid="10" name="Mendeley Recent Style Id 4_1">
    <vt:lpwstr>http://www.zotero.org/styles/national-library-of-medicine</vt:lpwstr>
  </property>
  <property fmtid="{D5CDD505-2E9C-101B-9397-08002B2CF9AE}" pid="11" name="Mendeley Recent Style Name 4_1">
    <vt:lpwstr>National Library of Medicine</vt:lpwstr>
  </property>
  <property fmtid="{D5CDD505-2E9C-101B-9397-08002B2CF9AE}" pid="12" name="Mendeley Recent Style Id 5_1">
    <vt:lpwstr>http://www.zotero.org/styles/national-library-of-medicine-brackets-no-et-al</vt:lpwstr>
  </property>
  <property fmtid="{D5CDD505-2E9C-101B-9397-08002B2CF9AE}" pid="13" name="Mendeley Recent Style Name 5_1">
    <vt:lpwstr>National Library of Medicine (brackets, no "et al.")</vt:lpwstr>
  </property>
  <property fmtid="{D5CDD505-2E9C-101B-9397-08002B2CF9AE}" pid="14" name="Mendeley Recent Style Id 6_1">
    <vt:lpwstr>http://www.zotero.org/styles/national-library-of-medicine-grant-proposals</vt:lpwstr>
  </property>
  <property fmtid="{D5CDD505-2E9C-101B-9397-08002B2CF9AE}" pid="15" name="Mendeley Recent Style Name 6_1">
    <vt:lpwstr>National Library of Medicine (grant proposals with PMCID/PMID)</vt:lpwstr>
  </property>
  <property fmtid="{D5CDD505-2E9C-101B-9397-08002B2CF9AE}" pid="16" name="Mendeley Recent Style Id 7_1">
    <vt:lpwstr>http://csl.mendeley.com/styles/521158141/national-library-of-medicine-grant-proposals</vt:lpwstr>
  </property>
  <property fmtid="{D5CDD505-2E9C-101B-9397-08002B2CF9AE}" pid="17" name="Mendeley Recent Style Name 7_1">
    <vt:lpwstr>National Library of Medicine (grant proposals with PMCID/PMID) - Parackrama Karunathilake</vt:lpwstr>
  </property>
  <property fmtid="{D5CDD505-2E9C-101B-9397-08002B2CF9AE}" pid="18" name="Mendeley Recent Style Id 8_1">
    <vt:lpwstr>http://www.zotero.org/styles/taylor-and-francis-national-library-of-medicine</vt:lpwstr>
  </property>
  <property fmtid="{D5CDD505-2E9C-101B-9397-08002B2CF9AE}" pid="19" name="Mendeley Recent Style Name 8_1">
    <vt:lpwstr>Taylor &amp; Francis - National Library of Medicine</vt:lpwstr>
  </property>
  <property fmtid="{D5CDD505-2E9C-101B-9397-08002B2CF9AE}" pid="20" name="Mendeley Recent Style Id 9_1">
    <vt:lpwstr>http://csl.mendeley.com/styles/521158141/vancouver-brackets-no-et-al</vt:lpwstr>
  </property>
  <property fmtid="{D5CDD505-2E9C-101B-9397-08002B2CF9AE}" pid="21" name="Mendeley Recent Style Name 9_1">
    <vt:lpwstr>Vancouver (brackets, no "et al.") - Parackrama Karunathilake</vt:lpwstr>
  </property>
  <property fmtid="{D5CDD505-2E9C-101B-9397-08002B2CF9AE}" pid="22" name="Mendeley Document_1">
    <vt:lpwstr>True</vt:lpwstr>
  </property>
  <property fmtid="{D5CDD505-2E9C-101B-9397-08002B2CF9AE}" pid="23" name="Mendeley Unique User Id_1">
    <vt:lpwstr>67fd854b-8d41-3184-aac1-77dd025eae4e</vt:lpwstr>
  </property>
  <property fmtid="{D5CDD505-2E9C-101B-9397-08002B2CF9AE}" pid="24" name="Mendeley Citation Style_1">
    <vt:lpwstr>http://www.zotero.org/styles/taylor-and-francis-national-library-of-medicine</vt:lpwstr>
  </property>
</Properties>
</file>