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4C6269" w14:textId="68FD8530" w:rsidR="00766AC2" w:rsidRPr="00FF3833" w:rsidRDefault="00FF3833" w:rsidP="00766AC2">
      <w:pPr>
        <w:widowControl/>
        <w:snapToGrid w:val="0"/>
        <w:spacing w:line="480" w:lineRule="auto"/>
        <w:jc w:val="center"/>
        <w:rPr>
          <w:rFonts w:eastAsia="等线"/>
          <w:bCs w:val="0"/>
          <w:kern w:val="0"/>
          <w:sz w:val="28"/>
        </w:rPr>
      </w:pPr>
      <w:r w:rsidRPr="00FF3833">
        <w:rPr>
          <w:rFonts w:eastAsia="等线"/>
          <w:bCs w:val="0"/>
          <w:kern w:val="0"/>
          <w:sz w:val="28"/>
        </w:rPr>
        <w:t>Supplementary Information</w:t>
      </w:r>
    </w:p>
    <w:p w14:paraId="412665F5" w14:textId="542F15E2" w:rsidR="006257B0" w:rsidRPr="00C1775E" w:rsidRDefault="00EC3227" w:rsidP="00C1775E">
      <w:pPr>
        <w:rPr>
          <w:sz w:val="24"/>
        </w:rPr>
      </w:pPr>
      <w:bookmarkStart w:id="0" w:name="_GoBack"/>
      <w:bookmarkEnd w:id="0"/>
      <w:r w:rsidRPr="00C1775E">
        <w:rPr>
          <w:noProof/>
          <w:sz w:val="24"/>
        </w:rPr>
        <w:drawing>
          <wp:inline distT="0" distB="0" distL="114300" distR="114300" wp14:anchorId="41266616" wp14:editId="41266617">
            <wp:extent cx="5269865" cy="2876550"/>
            <wp:effectExtent l="0" t="0" r="635" b="6350"/>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pic:cNvPicPr>
                      <a:picLocks noChangeAspect="1"/>
                    </pic:cNvPicPr>
                  </pic:nvPicPr>
                  <pic:blipFill>
                    <a:blip r:embed="rId7"/>
                    <a:stretch>
                      <a:fillRect/>
                    </a:stretch>
                  </pic:blipFill>
                  <pic:spPr>
                    <a:xfrm>
                      <a:off x="0" y="0"/>
                      <a:ext cx="5269865" cy="2876550"/>
                    </a:xfrm>
                    <a:prstGeom prst="rect">
                      <a:avLst/>
                    </a:prstGeom>
                    <a:noFill/>
                    <a:ln>
                      <a:noFill/>
                    </a:ln>
                  </pic:spPr>
                </pic:pic>
              </a:graphicData>
            </a:graphic>
          </wp:inline>
        </w:drawing>
      </w:r>
    </w:p>
    <w:p w14:paraId="412665F6" w14:textId="003851AD" w:rsidR="006257B0" w:rsidRPr="00C1775E" w:rsidRDefault="00520FEB" w:rsidP="00C1775E">
      <w:pPr>
        <w:rPr>
          <w:sz w:val="24"/>
        </w:rPr>
      </w:pPr>
      <w:r>
        <w:rPr>
          <w:rFonts w:hint="eastAsia"/>
          <w:b/>
          <w:sz w:val="24"/>
        </w:rPr>
        <w:t>Fig.</w:t>
      </w:r>
      <w:r w:rsidR="00EC3227" w:rsidRPr="00C1775E">
        <w:rPr>
          <w:b/>
          <w:sz w:val="24"/>
        </w:rPr>
        <w:t xml:space="preserve"> </w:t>
      </w:r>
      <w:r w:rsidR="00EC3227" w:rsidRPr="00C1775E">
        <w:rPr>
          <w:rFonts w:hint="eastAsia"/>
          <w:b/>
          <w:sz w:val="24"/>
        </w:rPr>
        <w:t>S</w:t>
      </w:r>
      <w:r w:rsidR="00EC3227" w:rsidRPr="00C1775E">
        <w:rPr>
          <w:b/>
          <w:sz w:val="24"/>
        </w:rPr>
        <w:t>1.</w:t>
      </w:r>
      <w:r w:rsidR="00EC3227" w:rsidRPr="00C1775E">
        <w:rPr>
          <w:rFonts w:hint="eastAsia"/>
          <w:sz w:val="24"/>
        </w:rPr>
        <w:t xml:space="preserve"> </w:t>
      </w:r>
      <w:r w:rsidR="00EC3227" w:rsidRPr="00C1775E">
        <w:rPr>
          <w:sz w:val="24"/>
        </w:rPr>
        <w:t xml:space="preserve">Characterization of liposomes. </w:t>
      </w:r>
      <w:r w:rsidR="00EC3227" w:rsidRPr="00C1775E">
        <w:rPr>
          <w:rFonts w:hint="eastAsia"/>
          <w:sz w:val="24"/>
        </w:rPr>
        <w:t>(A)</w:t>
      </w:r>
      <w:r w:rsidR="00EC3227" w:rsidRPr="00C1775E">
        <w:rPr>
          <w:sz w:val="24"/>
        </w:rPr>
        <w:t xml:space="preserve"> Appearance of blank liposomes with </w:t>
      </w:r>
      <w:proofErr w:type="spellStart"/>
      <w:proofErr w:type="gramStart"/>
      <w:r w:rsidR="00EC3227" w:rsidRPr="00C1775E">
        <w:rPr>
          <w:sz w:val="24"/>
        </w:rPr>
        <w:t>HSPC:Chol</w:t>
      </w:r>
      <w:proofErr w:type="spellEnd"/>
      <w:proofErr w:type="gramEnd"/>
      <w:r w:rsidR="00EC3227" w:rsidRPr="00C1775E">
        <w:rPr>
          <w:sz w:val="24"/>
        </w:rPr>
        <w:t>=</w:t>
      </w:r>
      <w:r w:rsidR="00EC3227" w:rsidRPr="00C1775E">
        <w:rPr>
          <w:rFonts w:hint="eastAsia"/>
          <w:sz w:val="24"/>
        </w:rPr>
        <w:t xml:space="preserve">7:3 </w:t>
      </w:r>
      <w:r w:rsidR="00EC3227" w:rsidRPr="00C1775E">
        <w:rPr>
          <w:sz w:val="24"/>
        </w:rPr>
        <w:t>after storage for</w:t>
      </w:r>
      <w:r w:rsidR="00EC3227" w:rsidRPr="00C1775E">
        <w:rPr>
          <w:rFonts w:hint="eastAsia"/>
          <w:sz w:val="24"/>
        </w:rPr>
        <w:t xml:space="preserve"> one </w:t>
      </w:r>
      <w:r w:rsidR="00EC3227" w:rsidRPr="00C1775E">
        <w:rPr>
          <w:sz w:val="24"/>
        </w:rPr>
        <w:t>week</w:t>
      </w:r>
      <w:r w:rsidR="00EC3227" w:rsidRPr="00C1775E">
        <w:rPr>
          <w:rFonts w:hint="eastAsia"/>
          <w:sz w:val="24"/>
        </w:rPr>
        <w:t>.</w:t>
      </w:r>
      <w:r w:rsidR="00EC3227" w:rsidRPr="00C1775E">
        <w:rPr>
          <w:sz w:val="24"/>
        </w:rPr>
        <w:t xml:space="preserve"> EE</w:t>
      </w:r>
      <w:r w:rsidR="00EC3227" w:rsidRPr="00C1775E">
        <w:rPr>
          <w:rFonts w:hint="eastAsia"/>
          <w:sz w:val="24"/>
        </w:rPr>
        <w:t xml:space="preserve"> of (B)</w:t>
      </w:r>
      <w:r w:rsidR="00EC3227" w:rsidRPr="00C1775E">
        <w:rPr>
          <w:sz w:val="24"/>
        </w:rPr>
        <w:t xml:space="preserve"> </w:t>
      </w:r>
      <w:r w:rsidR="00EC3227" w:rsidRPr="00C1775E">
        <w:rPr>
          <w:rFonts w:hint="eastAsia"/>
          <w:sz w:val="24"/>
        </w:rPr>
        <w:t xml:space="preserve">NA </w:t>
      </w:r>
      <w:r w:rsidR="00EC3227" w:rsidRPr="00C1775E">
        <w:rPr>
          <w:sz w:val="24"/>
        </w:rPr>
        <w:t xml:space="preserve">and (C) RET in RN-Lip with </w:t>
      </w:r>
      <w:proofErr w:type="gramStart"/>
      <w:r w:rsidR="00EC3227" w:rsidRPr="00C1775E">
        <w:rPr>
          <w:rFonts w:hint="eastAsia"/>
          <w:sz w:val="24"/>
        </w:rPr>
        <w:t>RET:HSPC</w:t>
      </w:r>
      <w:proofErr w:type="gramEnd"/>
      <w:r w:rsidR="00EC3227" w:rsidRPr="00C1775E">
        <w:rPr>
          <w:rFonts w:hint="eastAsia"/>
          <w:sz w:val="24"/>
        </w:rPr>
        <w:t>=0.05:1(</w:t>
      </w:r>
      <w:r w:rsidR="00EC3227" w:rsidRPr="00C1775E">
        <w:rPr>
          <w:sz w:val="24"/>
        </w:rPr>
        <w:t>w</w:t>
      </w:r>
      <w:r w:rsidR="00EC3227" w:rsidRPr="00C1775E">
        <w:rPr>
          <w:rFonts w:hint="eastAsia"/>
          <w:sz w:val="24"/>
        </w:rPr>
        <w:t>/</w:t>
      </w:r>
      <w:r w:rsidR="00EC3227" w:rsidRPr="00C1775E">
        <w:rPr>
          <w:sz w:val="24"/>
        </w:rPr>
        <w:t>w</w:t>
      </w:r>
      <w:r w:rsidR="00EC3227" w:rsidRPr="00C1775E">
        <w:rPr>
          <w:rFonts w:hint="eastAsia"/>
          <w:sz w:val="24"/>
        </w:rPr>
        <w:t>)</w:t>
      </w:r>
      <w:r w:rsidR="00EC3227" w:rsidRPr="00C1775E">
        <w:rPr>
          <w:sz w:val="24"/>
        </w:rPr>
        <w:t xml:space="preserve">. (D) EE of </w:t>
      </w:r>
      <w:r w:rsidR="00EC3227" w:rsidRPr="00C1775E">
        <w:rPr>
          <w:rFonts w:hint="eastAsia"/>
          <w:sz w:val="24"/>
        </w:rPr>
        <w:t>RET</w:t>
      </w:r>
      <w:r w:rsidR="00EC3227" w:rsidRPr="00C1775E">
        <w:rPr>
          <w:sz w:val="24"/>
        </w:rPr>
        <w:t xml:space="preserve"> in RN-Lip with </w:t>
      </w:r>
      <w:proofErr w:type="gramStart"/>
      <w:r w:rsidR="00EC3227" w:rsidRPr="00C1775E">
        <w:rPr>
          <w:rFonts w:hint="eastAsia"/>
          <w:sz w:val="24"/>
        </w:rPr>
        <w:t>HSPC:CHOL</w:t>
      </w:r>
      <w:proofErr w:type="gramEnd"/>
      <w:r w:rsidR="00EC3227" w:rsidRPr="00C1775E">
        <w:rPr>
          <w:rFonts w:hint="eastAsia"/>
          <w:sz w:val="24"/>
        </w:rPr>
        <w:t>=8:2</w:t>
      </w:r>
      <w:r w:rsidR="00EC3227" w:rsidRPr="00C1775E">
        <w:rPr>
          <w:sz w:val="24"/>
        </w:rPr>
        <w:t>. (E) Hydrodynamic size distribution of blank liposomes measured by DLS and morphology of RN-Lip observed by TEM.</w:t>
      </w:r>
    </w:p>
    <w:p w14:paraId="412665F7" w14:textId="77777777" w:rsidR="006257B0" w:rsidRPr="00C1775E" w:rsidRDefault="00EC3227" w:rsidP="00C1775E">
      <w:pPr>
        <w:rPr>
          <w:sz w:val="24"/>
        </w:rPr>
      </w:pPr>
      <w:r w:rsidRPr="00C1775E">
        <w:rPr>
          <w:sz w:val="24"/>
        </w:rPr>
        <w:br w:type="page"/>
      </w:r>
    </w:p>
    <w:p w14:paraId="412665F8" w14:textId="77777777" w:rsidR="006257B0" w:rsidRPr="00C1775E" w:rsidRDefault="006257B0" w:rsidP="00C1775E">
      <w:pPr>
        <w:rPr>
          <w:sz w:val="24"/>
        </w:rPr>
        <w:sectPr w:rsidR="006257B0" w:rsidRPr="00C1775E">
          <w:pgSz w:w="11906" w:h="16838"/>
          <w:pgMar w:top="1440" w:right="1800" w:bottom="1440" w:left="1800" w:header="851" w:footer="992" w:gutter="0"/>
          <w:cols w:space="425"/>
          <w:docGrid w:type="lines" w:linePitch="312"/>
        </w:sectPr>
      </w:pPr>
    </w:p>
    <w:p w14:paraId="412665F9" w14:textId="77777777" w:rsidR="006257B0" w:rsidRPr="00C1775E" w:rsidRDefault="006257B0" w:rsidP="00C1775E">
      <w:pPr>
        <w:rPr>
          <w:sz w:val="24"/>
        </w:rPr>
      </w:pPr>
    </w:p>
    <w:p w14:paraId="412665FA" w14:textId="77777777" w:rsidR="006257B0" w:rsidRPr="00C1775E" w:rsidRDefault="00EC3227" w:rsidP="00C1775E">
      <w:pPr>
        <w:jc w:val="center"/>
        <w:rPr>
          <w:sz w:val="24"/>
        </w:rPr>
      </w:pPr>
      <w:r w:rsidRPr="00C1775E">
        <w:rPr>
          <w:noProof/>
          <w:sz w:val="24"/>
        </w:rPr>
        <w:drawing>
          <wp:inline distT="0" distB="0" distL="114300" distR="114300" wp14:anchorId="41266618" wp14:editId="41266619">
            <wp:extent cx="4060190" cy="3108325"/>
            <wp:effectExtent l="0" t="0" r="3810" b="317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8"/>
                    <a:stretch>
                      <a:fillRect/>
                    </a:stretch>
                  </pic:blipFill>
                  <pic:spPr>
                    <a:xfrm>
                      <a:off x="0" y="0"/>
                      <a:ext cx="4060190" cy="3108325"/>
                    </a:xfrm>
                    <a:prstGeom prst="rect">
                      <a:avLst/>
                    </a:prstGeom>
                    <a:noFill/>
                    <a:ln>
                      <a:noFill/>
                    </a:ln>
                  </pic:spPr>
                </pic:pic>
              </a:graphicData>
            </a:graphic>
          </wp:inline>
        </w:drawing>
      </w:r>
    </w:p>
    <w:p w14:paraId="412665FB" w14:textId="62B51D06" w:rsidR="006257B0" w:rsidRPr="00C1775E" w:rsidRDefault="00520FEB" w:rsidP="00C1775E">
      <w:pPr>
        <w:rPr>
          <w:sz w:val="24"/>
        </w:rPr>
      </w:pPr>
      <w:r>
        <w:rPr>
          <w:rFonts w:hint="eastAsia"/>
          <w:b/>
          <w:sz w:val="24"/>
        </w:rPr>
        <w:t>Fig.</w:t>
      </w:r>
      <w:r w:rsidR="00EC3227" w:rsidRPr="00C1775E">
        <w:rPr>
          <w:b/>
          <w:sz w:val="24"/>
        </w:rPr>
        <w:t xml:space="preserve"> </w:t>
      </w:r>
      <w:r w:rsidR="00EC3227" w:rsidRPr="00C1775E">
        <w:rPr>
          <w:rFonts w:hint="eastAsia"/>
          <w:b/>
          <w:sz w:val="24"/>
        </w:rPr>
        <w:t>S2</w:t>
      </w:r>
      <w:r w:rsidR="00EC3227" w:rsidRPr="00C1775E">
        <w:rPr>
          <w:b/>
          <w:sz w:val="24"/>
        </w:rPr>
        <w:t>.</w:t>
      </w:r>
      <w:r w:rsidR="00EC3227" w:rsidRPr="00C1775E">
        <w:rPr>
          <w:rFonts w:hint="eastAsia"/>
          <w:sz w:val="24"/>
        </w:rPr>
        <w:t xml:space="preserve"> The remaining amount of RET stored under </w:t>
      </w:r>
      <w:r w:rsidR="00EC3227" w:rsidRPr="00C1775E">
        <w:rPr>
          <w:sz w:val="24"/>
        </w:rPr>
        <w:t>4℃, light-protected</w:t>
      </w:r>
      <w:r w:rsidR="00EC3227" w:rsidRPr="00C1775E">
        <w:rPr>
          <w:rFonts w:hint="eastAsia"/>
          <w:sz w:val="24"/>
        </w:rPr>
        <w:t xml:space="preserve"> and </w:t>
      </w:r>
      <w:r w:rsidR="00EC3227" w:rsidRPr="00C1775E">
        <w:rPr>
          <w:sz w:val="24"/>
        </w:rPr>
        <w:t>room temperature, light-protected</w:t>
      </w:r>
      <w:r w:rsidR="00EC3227" w:rsidRPr="00C1775E">
        <w:rPr>
          <w:rFonts w:hint="eastAsia"/>
          <w:sz w:val="24"/>
        </w:rPr>
        <w:t xml:space="preserve"> on the 30th day</w:t>
      </w:r>
    </w:p>
    <w:p w14:paraId="412665FC" w14:textId="77777777" w:rsidR="006257B0" w:rsidRPr="00C1775E" w:rsidRDefault="006257B0" w:rsidP="00C1775E">
      <w:pPr>
        <w:rPr>
          <w:sz w:val="24"/>
        </w:rPr>
        <w:sectPr w:rsidR="006257B0" w:rsidRPr="00C1775E">
          <w:pgSz w:w="11906" w:h="16838"/>
          <w:pgMar w:top="1440" w:right="1800" w:bottom="1440" w:left="1800" w:header="851" w:footer="992" w:gutter="0"/>
          <w:cols w:space="425"/>
          <w:docGrid w:type="lines" w:linePitch="312"/>
        </w:sectPr>
      </w:pPr>
    </w:p>
    <w:p w14:paraId="412665FD" w14:textId="77777777" w:rsidR="006257B0" w:rsidRPr="00C1775E" w:rsidRDefault="006257B0" w:rsidP="00C1775E">
      <w:pPr>
        <w:rPr>
          <w:sz w:val="24"/>
        </w:rPr>
      </w:pPr>
    </w:p>
    <w:p w14:paraId="412665FE" w14:textId="77777777" w:rsidR="006257B0" w:rsidRPr="00C1775E" w:rsidRDefault="00EC3227" w:rsidP="00C1775E">
      <w:pPr>
        <w:rPr>
          <w:sz w:val="24"/>
        </w:rPr>
      </w:pPr>
      <w:r w:rsidRPr="00C1775E">
        <w:rPr>
          <w:noProof/>
          <w:sz w:val="24"/>
        </w:rPr>
        <w:drawing>
          <wp:inline distT="0" distB="0" distL="114300" distR="114300" wp14:anchorId="4126661A" wp14:editId="4126661B">
            <wp:extent cx="5268595" cy="2268220"/>
            <wp:effectExtent l="0" t="0" r="8255" b="1778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9"/>
                    <a:stretch>
                      <a:fillRect/>
                    </a:stretch>
                  </pic:blipFill>
                  <pic:spPr>
                    <a:xfrm>
                      <a:off x="0" y="0"/>
                      <a:ext cx="5268595" cy="2268220"/>
                    </a:xfrm>
                    <a:prstGeom prst="rect">
                      <a:avLst/>
                    </a:prstGeom>
                    <a:noFill/>
                    <a:ln>
                      <a:noFill/>
                    </a:ln>
                  </pic:spPr>
                </pic:pic>
              </a:graphicData>
            </a:graphic>
          </wp:inline>
        </w:drawing>
      </w:r>
    </w:p>
    <w:p w14:paraId="412665FF" w14:textId="543F8DEE" w:rsidR="006257B0" w:rsidRPr="00C1775E" w:rsidRDefault="00520FEB" w:rsidP="00C1775E">
      <w:pPr>
        <w:rPr>
          <w:b/>
          <w:sz w:val="24"/>
        </w:rPr>
      </w:pPr>
      <w:r>
        <w:rPr>
          <w:rFonts w:hint="eastAsia"/>
          <w:b/>
          <w:sz w:val="24"/>
        </w:rPr>
        <w:t>Fig.</w:t>
      </w:r>
      <w:r w:rsidR="00EC3227" w:rsidRPr="00C1775E">
        <w:rPr>
          <w:b/>
          <w:sz w:val="24"/>
        </w:rPr>
        <w:t xml:space="preserve"> </w:t>
      </w:r>
      <w:r w:rsidR="00EC3227" w:rsidRPr="00C1775E">
        <w:rPr>
          <w:rFonts w:hint="eastAsia"/>
          <w:b/>
          <w:sz w:val="24"/>
        </w:rPr>
        <w:t>S</w:t>
      </w:r>
      <w:r w:rsidR="00C1775E">
        <w:rPr>
          <w:b/>
          <w:sz w:val="24"/>
        </w:rPr>
        <w:t>3</w:t>
      </w:r>
      <w:r w:rsidR="00EC3227" w:rsidRPr="00C1775E">
        <w:rPr>
          <w:b/>
          <w:sz w:val="24"/>
        </w:rPr>
        <w:t xml:space="preserve">. </w:t>
      </w:r>
      <w:r w:rsidR="00EC3227" w:rsidRPr="00C1775E">
        <w:rPr>
          <w:sz w:val="24"/>
        </w:rPr>
        <w:t xml:space="preserve">In vitro cytotoxicity of </w:t>
      </w:r>
      <w:proofErr w:type="spellStart"/>
      <w:r w:rsidR="00EC3227" w:rsidRPr="00C1775E">
        <w:rPr>
          <w:sz w:val="24"/>
        </w:rPr>
        <w:t>HaCaT</w:t>
      </w:r>
      <w:proofErr w:type="spellEnd"/>
      <w:r w:rsidR="00EC3227" w:rsidRPr="00C1775E">
        <w:rPr>
          <w:sz w:val="24"/>
        </w:rPr>
        <w:t xml:space="preserve"> cells determined by MTT assay. Cells were treated with RN-Lip and (A) free RET or (B) free NA with equivalent RET or NA concentration. Data are presented as mean ± SD, n = 3.</w:t>
      </w:r>
    </w:p>
    <w:p w14:paraId="41266600" w14:textId="77777777" w:rsidR="006257B0" w:rsidRPr="00C1775E" w:rsidRDefault="006257B0" w:rsidP="00C1775E">
      <w:pPr>
        <w:rPr>
          <w:sz w:val="24"/>
        </w:rPr>
      </w:pPr>
    </w:p>
    <w:p w14:paraId="41266601" w14:textId="77777777" w:rsidR="006257B0" w:rsidRPr="00C1775E" w:rsidRDefault="006257B0" w:rsidP="00C1775E">
      <w:pPr>
        <w:rPr>
          <w:sz w:val="24"/>
        </w:rPr>
      </w:pPr>
    </w:p>
    <w:p w14:paraId="41266602" w14:textId="77777777" w:rsidR="006257B0" w:rsidRPr="00C1775E" w:rsidRDefault="00EC3227" w:rsidP="00C1775E">
      <w:pPr>
        <w:rPr>
          <w:sz w:val="24"/>
        </w:rPr>
      </w:pPr>
      <w:r w:rsidRPr="00C1775E">
        <w:rPr>
          <w:sz w:val="24"/>
        </w:rPr>
        <w:br w:type="page"/>
      </w:r>
    </w:p>
    <w:p w14:paraId="41266603" w14:textId="77777777" w:rsidR="006257B0" w:rsidRPr="00C1775E" w:rsidRDefault="00EC3227" w:rsidP="00C1775E">
      <w:pPr>
        <w:rPr>
          <w:sz w:val="24"/>
        </w:rPr>
      </w:pPr>
      <w:r w:rsidRPr="00C1775E">
        <w:rPr>
          <w:noProof/>
          <w:sz w:val="24"/>
        </w:rPr>
        <w:lastRenderedPageBreak/>
        <w:drawing>
          <wp:inline distT="0" distB="0" distL="114300" distR="114300" wp14:anchorId="4126661C" wp14:editId="4126661D">
            <wp:extent cx="5267960" cy="2178685"/>
            <wp:effectExtent l="0" t="0" r="8890" b="12065"/>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10"/>
                    <a:stretch>
                      <a:fillRect/>
                    </a:stretch>
                  </pic:blipFill>
                  <pic:spPr>
                    <a:xfrm>
                      <a:off x="0" y="0"/>
                      <a:ext cx="5267960" cy="2178685"/>
                    </a:xfrm>
                    <a:prstGeom prst="rect">
                      <a:avLst/>
                    </a:prstGeom>
                    <a:noFill/>
                    <a:ln>
                      <a:noFill/>
                    </a:ln>
                  </pic:spPr>
                </pic:pic>
              </a:graphicData>
            </a:graphic>
          </wp:inline>
        </w:drawing>
      </w:r>
    </w:p>
    <w:p w14:paraId="41266604" w14:textId="764302A1" w:rsidR="006257B0" w:rsidRPr="00C1775E" w:rsidRDefault="00520FEB" w:rsidP="00C1775E">
      <w:pPr>
        <w:rPr>
          <w:sz w:val="24"/>
        </w:rPr>
      </w:pPr>
      <w:r>
        <w:rPr>
          <w:rFonts w:hint="eastAsia"/>
          <w:b/>
          <w:sz w:val="24"/>
        </w:rPr>
        <w:t>Fig.</w:t>
      </w:r>
      <w:bookmarkStart w:id="1" w:name="_Hlk203580876"/>
      <w:r w:rsidR="00EC3227" w:rsidRPr="00C1775E">
        <w:rPr>
          <w:b/>
          <w:sz w:val="24"/>
        </w:rPr>
        <w:t xml:space="preserve"> S</w:t>
      </w:r>
      <w:r w:rsidR="00C1775E">
        <w:rPr>
          <w:b/>
          <w:sz w:val="24"/>
        </w:rPr>
        <w:t>4</w:t>
      </w:r>
      <w:r w:rsidR="00EC3227" w:rsidRPr="00C1775E">
        <w:rPr>
          <w:b/>
          <w:sz w:val="24"/>
        </w:rPr>
        <w:t xml:space="preserve">. </w:t>
      </w:r>
      <w:r w:rsidR="00EC3227" w:rsidRPr="00C1775E">
        <w:rPr>
          <w:sz w:val="24"/>
        </w:rPr>
        <w:t>In vitro cytotoxicity of B16F10 cells determined by MTT assay. Cells were treated with RN-Lip and (A) free RET or (B) free NA with equivalent RET or NA concentration. Data are presented as mean ± SD, n = 3.</w:t>
      </w:r>
      <w:bookmarkEnd w:id="1"/>
    </w:p>
    <w:p w14:paraId="41266605" w14:textId="77777777" w:rsidR="006257B0" w:rsidRPr="00C1775E" w:rsidRDefault="00EC3227" w:rsidP="00C1775E">
      <w:pPr>
        <w:rPr>
          <w:sz w:val="24"/>
        </w:rPr>
      </w:pPr>
      <w:r w:rsidRPr="00C1775E">
        <w:rPr>
          <w:sz w:val="24"/>
        </w:rPr>
        <w:br w:type="page"/>
      </w:r>
    </w:p>
    <w:p w14:paraId="41266606" w14:textId="77777777" w:rsidR="006257B0" w:rsidRPr="00C1775E" w:rsidRDefault="00EC3227" w:rsidP="00C1775E">
      <w:pPr>
        <w:rPr>
          <w:sz w:val="24"/>
        </w:rPr>
      </w:pPr>
      <w:r w:rsidRPr="00C1775E">
        <w:rPr>
          <w:noProof/>
          <w:sz w:val="24"/>
        </w:rPr>
        <w:lastRenderedPageBreak/>
        <w:drawing>
          <wp:inline distT="0" distB="0" distL="114300" distR="114300" wp14:anchorId="4126661E" wp14:editId="4126661F">
            <wp:extent cx="5271135" cy="2187575"/>
            <wp:effectExtent l="0" t="0" r="5715" b="3175"/>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icPr>
                  <pic:blipFill>
                    <a:blip r:embed="rId11"/>
                    <a:stretch>
                      <a:fillRect/>
                    </a:stretch>
                  </pic:blipFill>
                  <pic:spPr>
                    <a:xfrm>
                      <a:off x="0" y="0"/>
                      <a:ext cx="5271135" cy="2187575"/>
                    </a:xfrm>
                    <a:prstGeom prst="rect">
                      <a:avLst/>
                    </a:prstGeom>
                    <a:noFill/>
                    <a:ln>
                      <a:noFill/>
                    </a:ln>
                  </pic:spPr>
                </pic:pic>
              </a:graphicData>
            </a:graphic>
          </wp:inline>
        </w:drawing>
      </w:r>
    </w:p>
    <w:p w14:paraId="41266607" w14:textId="49F67B6E" w:rsidR="006257B0" w:rsidRPr="00C1775E" w:rsidRDefault="00520FEB" w:rsidP="00C1775E">
      <w:pPr>
        <w:rPr>
          <w:sz w:val="24"/>
        </w:rPr>
      </w:pPr>
      <w:r>
        <w:rPr>
          <w:rFonts w:hint="eastAsia"/>
          <w:b/>
          <w:sz w:val="24"/>
        </w:rPr>
        <w:t>Fig.</w:t>
      </w:r>
      <w:r w:rsidR="00EC3227" w:rsidRPr="00C1775E">
        <w:rPr>
          <w:b/>
          <w:sz w:val="24"/>
        </w:rPr>
        <w:t xml:space="preserve"> S</w:t>
      </w:r>
      <w:r w:rsidR="00C1775E">
        <w:rPr>
          <w:b/>
          <w:sz w:val="24"/>
        </w:rPr>
        <w:t>5</w:t>
      </w:r>
      <w:r w:rsidR="00EC3227" w:rsidRPr="00C1775E">
        <w:rPr>
          <w:b/>
          <w:sz w:val="24"/>
        </w:rPr>
        <w:t>.</w:t>
      </w:r>
      <w:r w:rsidR="00EC3227" w:rsidRPr="00C1775E">
        <w:rPr>
          <w:sz w:val="24"/>
        </w:rPr>
        <w:t xml:space="preserve"> In vitro cytotoxicity of BJ cells determined by MTT assay. Cells were treated with RN-Lip and (A) free RET or (B) free NA with equivalent RET or NA concentration. Data are presented as mean ± SD, n = 3.</w:t>
      </w:r>
    </w:p>
    <w:p w14:paraId="41266608" w14:textId="77777777" w:rsidR="006257B0" w:rsidRPr="00C1775E" w:rsidRDefault="00EC3227" w:rsidP="00C1775E">
      <w:pPr>
        <w:rPr>
          <w:sz w:val="24"/>
        </w:rPr>
      </w:pPr>
      <w:r w:rsidRPr="00C1775E">
        <w:rPr>
          <w:sz w:val="24"/>
        </w:rPr>
        <w:br w:type="page"/>
      </w:r>
    </w:p>
    <w:p w14:paraId="41266609" w14:textId="77777777" w:rsidR="006257B0" w:rsidRPr="00C1775E" w:rsidRDefault="00EC3227" w:rsidP="00C1775E">
      <w:pPr>
        <w:rPr>
          <w:sz w:val="24"/>
        </w:rPr>
      </w:pPr>
      <w:r w:rsidRPr="00C1775E">
        <w:rPr>
          <w:noProof/>
          <w:sz w:val="24"/>
        </w:rPr>
        <w:lastRenderedPageBreak/>
        <w:drawing>
          <wp:inline distT="0" distB="0" distL="0" distR="0" wp14:anchorId="41266620" wp14:editId="41266621">
            <wp:extent cx="4088130" cy="4464050"/>
            <wp:effectExtent l="0" t="0" r="762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2"/>
                    <a:stretch>
                      <a:fillRect/>
                    </a:stretch>
                  </pic:blipFill>
                  <pic:spPr>
                    <a:xfrm>
                      <a:off x="0" y="0"/>
                      <a:ext cx="4088130" cy="4464050"/>
                    </a:xfrm>
                    <a:prstGeom prst="rect">
                      <a:avLst/>
                    </a:prstGeom>
                  </pic:spPr>
                </pic:pic>
              </a:graphicData>
            </a:graphic>
          </wp:inline>
        </w:drawing>
      </w:r>
    </w:p>
    <w:p w14:paraId="4126660A" w14:textId="22987DB0" w:rsidR="006257B0" w:rsidRPr="00C1775E" w:rsidRDefault="00520FEB" w:rsidP="00C1775E">
      <w:pPr>
        <w:rPr>
          <w:sz w:val="24"/>
        </w:rPr>
      </w:pPr>
      <w:r>
        <w:rPr>
          <w:rFonts w:hint="eastAsia"/>
          <w:b/>
          <w:sz w:val="24"/>
        </w:rPr>
        <w:t>Fig.</w:t>
      </w:r>
      <w:r w:rsidR="00EC3227" w:rsidRPr="00C1775E">
        <w:rPr>
          <w:b/>
          <w:sz w:val="24"/>
        </w:rPr>
        <w:t xml:space="preserve"> </w:t>
      </w:r>
      <w:r w:rsidR="00EC3227" w:rsidRPr="00C1775E">
        <w:rPr>
          <w:rFonts w:hint="eastAsia"/>
          <w:b/>
          <w:sz w:val="24"/>
        </w:rPr>
        <w:t>S</w:t>
      </w:r>
      <w:r w:rsidR="00C1775E">
        <w:rPr>
          <w:b/>
          <w:sz w:val="24"/>
        </w:rPr>
        <w:t>6</w:t>
      </w:r>
      <w:r w:rsidR="00EC3227" w:rsidRPr="00C1775E">
        <w:rPr>
          <w:b/>
          <w:sz w:val="24"/>
        </w:rPr>
        <w:t>.</w:t>
      </w:r>
      <w:r w:rsidR="00EC3227" w:rsidRPr="00C1775E">
        <w:rPr>
          <w:rFonts w:hint="eastAsia"/>
          <w:sz w:val="24"/>
        </w:rPr>
        <w:t xml:space="preserve"> </w:t>
      </w:r>
      <w:r w:rsidR="00EC3227" w:rsidRPr="00C1775E">
        <w:rPr>
          <w:sz w:val="24"/>
        </w:rPr>
        <w:t xml:space="preserve">Cellular uptake. Representative CLSM images of </w:t>
      </w:r>
      <w:proofErr w:type="spellStart"/>
      <w:r w:rsidR="00EC3227" w:rsidRPr="00C1775E">
        <w:rPr>
          <w:sz w:val="24"/>
        </w:rPr>
        <w:t>RhoB</w:t>
      </w:r>
      <w:proofErr w:type="spellEnd"/>
      <w:r w:rsidR="00EC3227" w:rsidRPr="00C1775E">
        <w:rPr>
          <w:sz w:val="24"/>
        </w:rPr>
        <w:t xml:space="preserve"> intracellular distribution in </w:t>
      </w:r>
      <w:proofErr w:type="spellStart"/>
      <w:r w:rsidR="00EC3227" w:rsidRPr="00C1775E">
        <w:rPr>
          <w:rFonts w:hint="eastAsia"/>
          <w:sz w:val="24"/>
        </w:rPr>
        <w:t>Ha</w:t>
      </w:r>
      <w:r w:rsidR="00EC3227" w:rsidRPr="00C1775E">
        <w:rPr>
          <w:sz w:val="24"/>
        </w:rPr>
        <w:t>C</w:t>
      </w:r>
      <w:r w:rsidR="00EC3227" w:rsidRPr="00C1775E">
        <w:rPr>
          <w:rFonts w:hint="eastAsia"/>
          <w:sz w:val="24"/>
        </w:rPr>
        <w:t>aT</w:t>
      </w:r>
      <w:proofErr w:type="spellEnd"/>
      <w:r w:rsidR="00EC3227" w:rsidRPr="00C1775E">
        <w:rPr>
          <w:sz w:val="24"/>
        </w:rPr>
        <w:t xml:space="preserve"> cells treated with </w:t>
      </w:r>
      <w:proofErr w:type="spellStart"/>
      <w:r w:rsidR="00EC3227" w:rsidRPr="00C1775E">
        <w:rPr>
          <w:sz w:val="24"/>
        </w:rPr>
        <w:t>RhoB</w:t>
      </w:r>
      <w:proofErr w:type="spellEnd"/>
      <w:r w:rsidR="00EC3227" w:rsidRPr="00C1775E">
        <w:rPr>
          <w:sz w:val="24"/>
        </w:rPr>
        <w:t xml:space="preserve"> solution or Lip-</w:t>
      </w:r>
      <w:proofErr w:type="spellStart"/>
      <w:r w:rsidR="00EC3227" w:rsidRPr="00C1775E">
        <w:rPr>
          <w:sz w:val="24"/>
        </w:rPr>
        <w:t>RhoB</w:t>
      </w:r>
      <w:proofErr w:type="spellEnd"/>
      <w:r w:rsidR="00EC3227" w:rsidRPr="00C1775E">
        <w:rPr>
          <w:rFonts w:hint="eastAsia"/>
          <w:sz w:val="24"/>
        </w:rPr>
        <w:t>.</w:t>
      </w:r>
    </w:p>
    <w:p w14:paraId="4126660B" w14:textId="77777777" w:rsidR="006257B0" w:rsidRPr="00C1775E" w:rsidRDefault="00EC3227" w:rsidP="00C1775E">
      <w:pPr>
        <w:rPr>
          <w:sz w:val="24"/>
        </w:rPr>
      </w:pPr>
      <w:r w:rsidRPr="00C1775E">
        <w:rPr>
          <w:sz w:val="24"/>
        </w:rPr>
        <w:br w:type="page"/>
      </w:r>
    </w:p>
    <w:p w14:paraId="4126660C" w14:textId="77777777" w:rsidR="006257B0" w:rsidRPr="00C1775E" w:rsidRDefault="006257B0" w:rsidP="00C1775E">
      <w:pPr>
        <w:rPr>
          <w:sz w:val="24"/>
        </w:rPr>
      </w:pPr>
    </w:p>
    <w:p w14:paraId="4126660D" w14:textId="77777777" w:rsidR="006257B0" w:rsidRPr="00C1775E" w:rsidRDefault="00EC3227" w:rsidP="00C1775E">
      <w:pPr>
        <w:rPr>
          <w:sz w:val="24"/>
        </w:rPr>
      </w:pPr>
      <w:r w:rsidRPr="00C1775E">
        <w:rPr>
          <w:noProof/>
          <w:sz w:val="24"/>
        </w:rPr>
        <w:drawing>
          <wp:inline distT="0" distB="0" distL="0" distR="0" wp14:anchorId="41266622" wp14:editId="41266623">
            <wp:extent cx="5274310" cy="2235835"/>
            <wp:effectExtent l="0" t="0" r="2540" b="0"/>
            <wp:docPr id="207564782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5647823" name="图片 1"/>
                    <pic:cNvPicPr>
                      <a:picLocks noChangeAspect="1"/>
                    </pic:cNvPicPr>
                  </pic:nvPicPr>
                  <pic:blipFill>
                    <a:blip r:embed="rId13"/>
                    <a:stretch>
                      <a:fillRect/>
                    </a:stretch>
                  </pic:blipFill>
                  <pic:spPr>
                    <a:xfrm>
                      <a:off x="0" y="0"/>
                      <a:ext cx="5274310" cy="2235835"/>
                    </a:xfrm>
                    <a:prstGeom prst="rect">
                      <a:avLst/>
                    </a:prstGeom>
                  </pic:spPr>
                </pic:pic>
              </a:graphicData>
            </a:graphic>
          </wp:inline>
        </w:drawing>
      </w:r>
    </w:p>
    <w:p w14:paraId="4126660E" w14:textId="77777777" w:rsidR="006257B0" w:rsidRPr="00C1775E" w:rsidRDefault="006257B0" w:rsidP="00C1775E">
      <w:pPr>
        <w:rPr>
          <w:sz w:val="24"/>
        </w:rPr>
      </w:pPr>
    </w:p>
    <w:p w14:paraId="4126660F" w14:textId="46491E80" w:rsidR="006257B0" w:rsidRPr="00C1775E" w:rsidRDefault="00520FEB" w:rsidP="00C1775E">
      <w:pPr>
        <w:rPr>
          <w:sz w:val="24"/>
        </w:rPr>
      </w:pPr>
      <w:r>
        <w:rPr>
          <w:rFonts w:hint="eastAsia"/>
          <w:b/>
          <w:sz w:val="24"/>
        </w:rPr>
        <w:t>Fig.</w:t>
      </w:r>
      <w:r w:rsidR="00EC3227" w:rsidRPr="00C1775E">
        <w:rPr>
          <w:b/>
          <w:sz w:val="24"/>
        </w:rPr>
        <w:t xml:space="preserve"> </w:t>
      </w:r>
      <w:r w:rsidR="00EC3227" w:rsidRPr="00C1775E">
        <w:rPr>
          <w:rFonts w:hint="eastAsia"/>
          <w:b/>
          <w:sz w:val="24"/>
        </w:rPr>
        <w:t>S</w:t>
      </w:r>
      <w:r w:rsidR="00C1775E">
        <w:rPr>
          <w:b/>
          <w:sz w:val="24"/>
        </w:rPr>
        <w:t>7</w:t>
      </w:r>
      <w:r w:rsidR="00EC3227" w:rsidRPr="00C1775E">
        <w:rPr>
          <w:sz w:val="24"/>
        </w:rPr>
        <w:t xml:space="preserve">. (A) The content of melanin and (B) tyrosinase acidity in B16F10 cells after 24 treatment with free active ingredients solution. Except for the control group, B16F10 cells in all groups were treated with 100 </w:t>
      </w:r>
      <w:proofErr w:type="spellStart"/>
      <w:r w:rsidR="00EC3227" w:rsidRPr="00C1775E">
        <w:rPr>
          <w:sz w:val="24"/>
        </w:rPr>
        <w:t>nM</w:t>
      </w:r>
      <w:proofErr w:type="spellEnd"/>
      <w:r w:rsidR="00EC3227" w:rsidRPr="00C1775E">
        <w:rPr>
          <w:sz w:val="24"/>
        </w:rPr>
        <w:t xml:space="preserve"> α-MSH. </w:t>
      </w:r>
      <w:bookmarkStart w:id="2" w:name="OLE_LINK54"/>
      <w:bookmarkStart w:id="3" w:name="OLE_LINK55"/>
      <w:r w:rsidR="00EC3227" w:rsidRPr="00C1775E">
        <w:rPr>
          <w:sz w:val="24"/>
        </w:rPr>
        <w:t xml:space="preserve">Free NA and RN kept equivalent NA concentration (200 </w:t>
      </w:r>
      <w:proofErr w:type="spellStart"/>
      <w:r w:rsidR="00EC3227" w:rsidRPr="00C1775E">
        <w:rPr>
          <w:sz w:val="24"/>
        </w:rPr>
        <w:t>μg</w:t>
      </w:r>
      <w:proofErr w:type="spellEnd"/>
      <w:r w:rsidR="00EC3227" w:rsidRPr="00C1775E">
        <w:rPr>
          <w:sz w:val="24"/>
        </w:rPr>
        <w:t>/mL), and free RET and RN kept equivalent RET concentration (</w:t>
      </w:r>
      <w:r w:rsidR="00EC3227" w:rsidRPr="00C1775E">
        <w:rPr>
          <w:rFonts w:hint="eastAsia"/>
          <w:sz w:val="24"/>
        </w:rPr>
        <w:t xml:space="preserve">10 </w:t>
      </w:r>
      <w:proofErr w:type="spellStart"/>
      <w:r w:rsidR="00EC3227" w:rsidRPr="00C1775E">
        <w:rPr>
          <w:sz w:val="24"/>
        </w:rPr>
        <w:t>μM</w:t>
      </w:r>
      <w:proofErr w:type="spellEnd"/>
      <w:r w:rsidR="00EC3227" w:rsidRPr="00C1775E">
        <w:rPr>
          <w:sz w:val="24"/>
        </w:rPr>
        <w:t>). Data are presented as mean ± SD, n = 3. *</w:t>
      </w:r>
      <w:r w:rsidR="00EC3227" w:rsidRPr="00C1775E">
        <w:rPr>
          <w:i/>
          <w:sz w:val="24"/>
        </w:rPr>
        <w:t>p</w:t>
      </w:r>
      <w:r w:rsidR="00EC3227" w:rsidRPr="00C1775E">
        <w:rPr>
          <w:sz w:val="24"/>
        </w:rPr>
        <w:t xml:space="preserve"> &lt; 0.05, **</w:t>
      </w:r>
      <w:r w:rsidR="00EC3227" w:rsidRPr="00C1775E">
        <w:rPr>
          <w:i/>
          <w:sz w:val="24"/>
        </w:rPr>
        <w:t>p</w:t>
      </w:r>
      <w:r w:rsidR="00EC3227" w:rsidRPr="00C1775E">
        <w:rPr>
          <w:sz w:val="24"/>
        </w:rPr>
        <w:t xml:space="preserve"> &lt; 0.01.</w:t>
      </w:r>
      <w:bookmarkEnd w:id="2"/>
      <w:bookmarkEnd w:id="3"/>
    </w:p>
    <w:p w14:paraId="41266610" w14:textId="77777777" w:rsidR="006257B0" w:rsidRPr="00C1775E" w:rsidRDefault="006257B0" w:rsidP="00C1775E">
      <w:pPr>
        <w:rPr>
          <w:sz w:val="24"/>
        </w:rPr>
      </w:pPr>
    </w:p>
    <w:p w14:paraId="41266611" w14:textId="77777777" w:rsidR="006257B0" w:rsidRPr="00C1775E" w:rsidRDefault="00EC3227" w:rsidP="00C1775E">
      <w:pPr>
        <w:rPr>
          <w:sz w:val="24"/>
        </w:rPr>
      </w:pPr>
      <w:r w:rsidRPr="00C1775E">
        <w:rPr>
          <w:sz w:val="24"/>
        </w:rPr>
        <w:br w:type="page"/>
      </w:r>
    </w:p>
    <w:p w14:paraId="41266612" w14:textId="77777777" w:rsidR="006257B0" w:rsidRPr="00C1775E" w:rsidRDefault="006257B0" w:rsidP="00C1775E">
      <w:pPr>
        <w:rPr>
          <w:sz w:val="24"/>
        </w:rPr>
      </w:pPr>
    </w:p>
    <w:p w14:paraId="41266613" w14:textId="77777777" w:rsidR="006257B0" w:rsidRPr="00C1775E" w:rsidRDefault="00EC3227" w:rsidP="00C1775E">
      <w:pPr>
        <w:rPr>
          <w:sz w:val="24"/>
        </w:rPr>
      </w:pPr>
      <w:r w:rsidRPr="00C1775E">
        <w:rPr>
          <w:noProof/>
          <w:sz w:val="24"/>
        </w:rPr>
        <w:drawing>
          <wp:inline distT="0" distB="0" distL="0" distR="0" wp14:anchorId="41266624" wp14:editId="41266625">
            <wp:extent cx="5274310" cy="2202815"/>
            <wp:effectExtent l="0" t="0" r="2540" b="6985"/>
            <wp:docPr id="135862681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8626819" name="图片 1"/>
                    <pic:cNvPicPr>
                      <a:picLocks noChangeAspect="1"/>
                    </pic:cNvPicPr>
                  </pic:nvPicPr>
                  <pic:blipFill>
                    <a:blip r:embed="rId14"/>
                    <a:stretch>
                      <a:fillRect/>
                    </a:stretch>
                  </pic:blipFill>
                  <pic:spPr>
                    <a:xfrm>
                      <a:off x="0" y="0"/>
                      <a:ext cx="5274310" cy="2202815"/>
                    </a:xfrm>
                    <a:prstGeom prst="rect">
                      <a:avLst/>
                    </a:prstGeom>
                  </pic:spPr>
                </pic:pic>
              </a:graphicData>
            </a:graphic>
          </wp:inline>
        </w:drawing>
      </w:r>
    </w:p>
    <w:p w14:paraId="41266614" w14:textId="41228C4F" w:rsidR="006257B0" w:rsidRPr="00C1775E" w:rsidRDefault="00520FEB" w:rsidP="00C1775E">
      <w:pPr>
        <w:rPr>
          <w:sz w:val="24"/>
        </w:rPr>
      </w:pPr>
      <w:r>
        <w:rPr>
          <w:rFonts w:hint="eastAsia"/>
          <w:b/>
          <w:sz w:val="24"/>
        </w:rPr>
        <w:t>Fig.</w:t>
      </w:r>
      <w:r w:rsidR="00EC3227" w:rsidRPr="00C1775E">
        <w:rPr>
          <w:b/>
          <w:sz w:val="24"/>
        </w:rPr>
        <w:t xml:space="preserve"> </w:t>
      </w:r>
      <w:r w:rsidR="00EC3227" w:rsidRPr="00C1775E">
        <w:rPr>
          <w:rFonts w:hint="eastAsia"/>
          <w:b/>
          <w:sz w:val="24"/>
        </w:rPr>
        <w:t>S</w:t>
      </w:r>
      <w:r w:rsidR="00C1775E">
        <w:rPr>
          <w:b/>
          <w:sz w:val="24"/>
        </w:rPr>
        <w:t>8</w:t>
      </w:r>
      <w:r w:rsidR="00EC3227" w:rsidRPr="00C1775E">
        <w:rPr>
          <w:b/>
          <w:sz w:val="24"/>
        </w:rPr>
        <w:t>.</w:t>
      </w:r>
      <w:r w:rsidR="00EC3227" w:rsidRPr="00C1775E">
        <w:rPr>
          <w:rFonts w:hint="eastAsia"/>
          <w:sz w:val="24"/>
        </w:rPr>
        <w:t xml:space="preserve"> </w:t>
      </w:r>
      <w:r w:rsidR="00EC3227" w:rsidRPr="00C1775E">
        <w:rPr>
          <w:sz w:val="24"/>
        </w:rPr>
        <w:t xml:space="preserve">Cellular antioxidation effect. (A) cell viability and (B) relative MFI showing intracellular ROS level of </w:t>
      </w:r>
      <w:proofErr w:type="spellStart"/>
      <w:r w:rsidR="00EC3227" w:rsidRPr="00C1775E">
        <w:rPr>
          <w:sz w:val="24"/>
        </w:rPr>
        <w:t>HaCaT</w:t>
      </w:r>
      <w:proofErr w:type="spellEnd"/>
      <w:r w:rsidR="00EC3227" w:rsidRPr="00C1775E">
        <w:rPr>
          <w:sz w:val="24"/>
        </w:rPr>
        <w:t xml:space="preserve"> cells treated with free active ingredients solution. Except the control group, cells in all the other groups were damaged by 800 µM H</w:t>
      </w:r>
      <w:r w:rsidR="00EC3227" w:rsidRPr="00C1775E">
        <w:rPr>
          <w:sz w:val="24"/>
          <w:vertAlign w:val="subscript"/>
        </w:rPr>
        <w:t>2</w:t>
      </w:r>
      <w:r w:rsidR="00EC3227" w:rsidRPr="00C1775E">
        <w:rPr>
          <w:sz w:val="24"/>
        </w:rPr>
        <w:t>O</w:t>
      </w:r>
      <w:r w:rsidR="00EC3227" w:rsidRPr="00C1775E">
        <w:rPr>
          <w:sz w:val="24"/>
          <w:vertAlign w:val="subscript"/>
        </w:rPr>
        <w:t>2</w:t>
      </w:r>
      <w:r w:rsidR="00EC3227" w:rsidRPr="00C1775E">
        <w:rPr>
          <w:sz w:val="24"/>
        </w:rPr>
        <w:t xml:space="preserve">. Free NA and RN kept equivalent NA concentration (200 </w:t>
      </w:r>
      <w:proofErr w:type="spellStart"/>
      <w:r w:rsidR="00EC3227" w:rsidRPr="00C1775E">
        <w:rPr>
          <w:sz w:val="24"/>
        </w:rPr>
        <w:t>μg</w:t>
      </w:r>
      <w:proofErr w:type="spellEnd"/>
      <w:r w:rsidR="00EC3227" w:rsidRPr="00C1775E">
        <w:rPr>
          <w:sz w:val="24"/>
        </w:rPr>
        <w:t>/mL), and free RET and RN kept equivalent RET concentration (</w:t>
      </w:r>
      <w:r w:rsidR="00EC3227" w:rsidRPr="00C1775E">
        <w:rPr>
          <w:rFonts w:hint="eastAsia"/>
          <w:sz w:val="24"/>
        </w:rPr>
        <w:t xml:space="preserve">10 </w:t>
      </w:r>
      <w:proofErr w:type="spellStart"/>
      <w:r w:rsidR="00EC3227" w:rsidRPr="00C1775E">
        <w:rPr>
          <w:sz w:val="24"/>
        </w:rPr>
        <w:t>μM</w:t>
      </w:r>
      <w:proofErr w:type="spellEnd"/>
      <w:r w:rsidR="00EC3227" w:rsidRPr="00C1775E">
        <w:rPr>
          <w:sz w:val="24"/>
        </w:rPr>
        <w:t>). Data are presented as mean ± SD, n = 3. *</w:t>
      </w:r>
      <w:r w:rsidR="00EC3227" w:rsidRPr="00C1775E">
        <w:rPr>
          <w:i/>
          <w:sz w:val="24"/>
        </w:rPr>
        <w:t>p</w:t>
      </w:r>
      <w:r w:rsidR="00EC3227" w:rsidRPr="00C1775E">
        <w:rPr>
          <w:sz w:val="24"/>
        </w:rPr>
        <w:t xml:space="preserve"> &lt; 0.05, **</w:t>
      </w:r>
      <w:r w:rsidR="00EC3227" w:rsidRPr="00C1775E">
        <w:rPr>
          <w:i/>
          <w:sz w:val="24"/>
        </w:rPr>
        <w:t>p</w:t>
      </w:r>
      <w:r w:rsidR="00EC3227" w:rsidRPr="00C1775E">
        <w:rPr>
          <w:sz w:val="24"/>
        </w:rPr>
        <w:t xml:space="preserve"> &lt; 0.01.</w:t>
      </w:r>
    </w:p>
    <w:p w14:paraId="41266615" w14:textId="77777777" w:rsidR="006257B0" w:rsidRPr="00C1775E" w:rsidRDefault="006257B0" w:rsidP="00C1775E">
      <w:pPr>
        <w:rPr>
          <w:sz w:val="24"/>
        </w:rPr>
      </w:pPr>
    </w:p>
    <w:sectPr w:rsidR="006257B0" w:rsidRPr="00C1775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B64A37" w14:textId="77777777" w:rsidR="00A14B01" w:rsidRDefault="00A14B01" w:rsidP="00C1775E">
      <w:r>
        <w:separator/>
      </w:r>
    </w:p>
  </w:endnote>
  <w:endnote w:type="continuationSeparator" w:id="0">
    <w:p w14:paraId="756C45AF" w14:textId="77777777" w:rsidR="00A14B01" w:rsidRDefault="00A14B01" w:rsidP="00C177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w:altName w:val="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41B765" w14:textId="77777777" w:rsidR="00A14B01" w:rsidRDefault="00A14B01" w:rsidP="00C1775E">
      <w:r>
        <w:separator/>
      </w:r>
    </w:p>
  </w:footnote>
  <w:footnote w:type="continuationSeparator" w:id="0">
    <w:p w14:paraId="44229CB1" w14:textId="77777777" w:rsidR="00A14B01" w:rsidRDefault="00A14B01" w:rsidP="00C177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7147CC"/>
    <w:multiLevelType w:val="multilevel"/>
    <w:tmpl w:val="367147CC"/>
    <w:lvl w:ilvl="0">
      <w:start w:val="1"/>
      <w:numFmt w:val="lowerLetter"/>
      <w:lvlText w:val="%1."/>
      <w:lvlJc w:val="left"/>
      <w:pPr>
        <w:ind w:left="565" w:hanging="563"/>
      </w:pPr>
      <w:rPr>
        <w:rFonts w:hint="default"/>
      </w:rPr>
    </w:lvl>
    <w:lvl w:ilvl="1">
      <w:start w:val="1"/>
      <w:numFmt w:val="lowerLetter"/>
      <w:lvlText w:val="%2)"/>
      <w:lvlJc w:val="left"/>
      <w:pPr>
        <w:ind w:left="842" w:hanging="420"/>
      </w:pPr>
    </w:lvl>
    <w:lvl w:ilvl="2">
      <w:start w:val="1"/>
      <w:numFmt w:val="lowerRoman"/>
      <w:lvlText w:val="%3."/>
      <w:lvlJc w:val="right"/>
      <w:pPr>
        <w:ind w:left="1262" w:hanging="420"/>
      </w:pPr>
    </w:lvl>
    <w:lvl w:ilvl="3">
      <w:start w:val="1"/>
      <w:numFmt w:val="decimal"/>
      <w:lvlText w:val="%4."/>
      <w:lvlJc w:val="left"/>
      <w:pPr>
        <w:ind w:left="1682" w:hanging="420"/>
      </w:pPr>
    </w:lvl>
    <w:lvl w:ilvl="4">
      <w:start w:val="1"/>
      <w:numFmt w:val="lowerLetter"/>
      <w:lvlText w:val="%5)"/>
      <w:lvlJc w:val="left"/>
      <w:pPr>
        <w:ind w:left="2102" w:hanging="420"/>
      </w:pPr>
    </w:lvl>
    <w:lvl w:ilvl="5">
      <w:start w:val="1"/>
      <w:numFmt w:val="lowerRoman"/>
      <w:lvlText w:val="%6."/>
      <w:lvlJc w:val="right"/>
      <w:pPr>
        <w:ind w:left="2522" w:hanging="420"/>
      </w:pPr>
    </w:lvl>
    <w:lvl w:ilvl="6">
      <w:start w:val="1"/>
      <w:numFmt w:val="decimal"/>
      <w:lvlText w:val="%7."/>
      <w:lvlJc w:val="left"/>
      <w:pPr>
        <w:ind w:left="2942" w:hanging="420"/>
      </w:pPr>
    </w:lvl>
    <w:lvl w:ilvl="7">
      <w:start w:val="1"/>
      <w:numFmt w:val="lowerLetter"/>
      <w:lvlText w:val="%8)"/>
      <w:lvlJc w:val="left"/>
      <w:pPr>
        <w:ind w:left="3362" w:hanging="420"/>
      </w:pPr>
    </w:lvl>
    <w:lvl w:ilvl="8">
      <w:start w:val="1"/>
      <w:numFmt w:val="lowerRoman"/>
      <w:lvlText w:val="%9."/>
      <w:lvlJc w:val="right"/>
      <w:pPr>
        <w:ind w:left="3782" w:hanging="420"/>
      </w:pPr>
    </w:lvl>
  </w:abstractNum>
  <w:abstractNum w:abstractNumId="1" w15:restartNumberingAfterBreak="0">
    <w:nsid w:val="71AC15E9"/>
    <w:multiLevelType w:val="hybridMultilevel"/>
    <w:tmpl w:val="7D6E6D5C"/>
    <w:lvl w:ilvl="0" w:tplc="A4747DE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7"/>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zAzOWQ1ZmZkYTM4YTE5NWIyYjRlMGQxMDQwNmYwMmUifQ=="/>
  </w:docVars>
  <w:rsids>
    <w:rsidRoot w:val="315036C9"/>
    <w:rsid w:val="00002B7D"/>
    <w:rsid w:val="0001127D"/>
    <w:rsid w:val="00035093"/>
    <w:rsid w:val="000368D7"/>
    <w:rsid w:val="00075CC9"/>
    <w:rsid w:val="000921CD"/>
    <w:rsid w:val="00141003"/>
    <w:rsid w:val="001F1400"/>
    <w:rsid w:val="00297C31"/>
    <w:rsid w:val="003B3D9B"/>
    <w:rsid w:val="00420243"/>
    <w:rsid w:val="00432CA1"/>
    <w:rsid w:val="004B5C84"/>
    <w:rsid w:val="004E72C5"/>
    <w:rsid w:val="00520FEB"/>
    <w:rsid w:val="00522786"/>
    <w:rsid w:val="005358E4"/>
    <w:rsid w:val="00541F56"/>
    <w:rsid w:val="00570C82"/>
    <w:rsid w:val="00597F32"/>
    <w:rsid w:val="0060481A"/>
    <w:rsid w:val="006257B0"/>
    <w:rsid w:val="00631ADE"/>
    <w:rsid w:val="00657086"/>
    <w:rsid w:val="00766AC2"/>
    <w:rsid w:val="0079512B"/>
    <w:rsid w:val="008759B4"/>
    <w:rsid w:val="008A0492"/>
    <w:rsid w:val="008F004B"/>
    <w:rsid w:val="00927230"/>
    <w:rsid w:val="009820E2"/>
    <w:rsid w:val="00997971"/>
    <w:rsid w:val="009B4E98"/>
    <w:rsid w:val="00A14B01"/>
    <w:rsid w:val="00AD68CC"/>
    <w:rsid w:val="00C1775E"/>
    <w:rsid w:val="00C65EA1"/>
    <w:rsid w:val="00C85DC9"/>
    <w:rsid w:val="00C905B6"/>
    <w:rsid w:val="00CD3BB5"/>
    <w:rsid w:val="00D84820"/>
    <w:rsid w:val="00E059AB"/>
    <w:rsid w:val="00E57A93"/>
    <w:rsid w:val="00E70233"/>
    <w:rsid w:val="00E916B6"/>
    <w:rsid w:val="00EC3227"/>
    <w:rsid w:val="00ED61E4"/>
    <w:rsid w:val="00F87770"/>
    <w:rsid w:val="00FA3F0F"/>
    <w:rsid w:val="00FF3833"/>
    <w:rsid w:val="2A3A5E52"/>
    <w:rsid w:val="315036C9"/>
    <w:rsid w:val="58CA6DBA"/>
    <w:rsid w:val="709A46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2665F5"/>
  <w15:docId w15:val="{B7B6BC3F-95F6-4EF7-99AA-ED90B395E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autoRedefine/>
    <w:qFormat/>
    <w:rsid w:val="00C1775E"/>
    <w:pPr>
      <w:widowControl w:val="0"/>
      <w:spacing w:before="240"/>
      <w:jc w:val="both"/>
    </w:pPr>
    <w:rPr>
      <w:rFonts w:ascii="Times New Roman" w:hAnsi="Times New Roman" w:cs="Times New Roman"/>
      <w:bCs/>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alloon Text"/>
    <w:basedOn w:val="a"/>
    <w:link w:val="a6"/>
    <w:pPr>
      <w:spacing w:before="0"/>
    </w:pPr>
    <w:rPr>
      <w:sz w:val="18"/>
      <w:szCs w:val="18"/>
    </w:rPr>
  </w:style>
  <w:style w:type="paragraph" w:styleId="a7">
    <w:name w:val="footer"/>
    <w:basedOn w:val="a"/>
    <w:link w:val="a8"/>
    <w:qFormat/>
    <w:pPr>
      <w:tabs>
        <w:tab w:val="center" w:pos="4153"/>
        <w:tab w:val="right" w:pos="8306"/>
      </w:tabs>
      <w:snapToGrid w:val="0"/>
      <w:jc w:val="left"/>
    </w:pPr>
    <w:rPr>
      <w:sz w:val="18"/>
      <w:szCs w:val="18"/>
    </w:rPr>
  </w:style>
  <w:style w:type="paragraph" w:styleId="a9">
    <w:name w:val="header"/>
    <w:basedOn w:val="a"/>
    <w:link w:val="aa"/>
    <w:qFormat/>
    <w:pPr>
      <w:tabs>
        <w:tab w:val="center" w:pos="4153"/>
        <w:tab w:val="right" w:pos="8306"/>
      </w:tabs>
      <w:snapToGrid w:val="0"/>
      <w:jc w:val="center"/>
    </w:pPr>
    <w:rPr>
      <w:sz w:val="18"/>
      <w:szCs w:val="18"/>
    </w:rPr>
  </w:style>
  <w:style w:type="paragraph" w:styleId="ab">
    <w:name w:val="Normal (Web)"/>
    <w:basedOn w:val="a"/>
    <w:uiPriority w:val="99"/>
    <w:unhideWhenUsed/>
    <w:qFormat/>
    <w:pPr>
      <w:widowControl/>
      <w:spacing w:before="100" w:beforeAutospacing="1" w:after="100" w:afterAutospacing="1"/>
      <w:jc w:val="left"/>
    </w:pPr>
    <w:rPr>
      <w:rFonts w:ascii="宋体" w:eastAsia="宋体" w:hAnsi="宋体" w:cs="宋体"/>
      <w:kern w:val="0"/>
      <w:sz w:val="24"/>
    </w:rPr>
  </w:style>
  <w:style w:type="paragraph" w:styleId="ac">
    <w:name w:val="annotation subject"/>
    <w:basedOn w:val="a3"/>
    <w:next w:val="a3"/>
    <w:link w:val="ad"/>
    <w:rPr>
      <w:b/>
    </w:rPr>
  </w:style>
  <w:style w:type="character" w:styleId="ae">
    <w:name w:val="Hyperlink"/>
    <w:basedOn w:val="a0"/>
    <w:uiPriority w:val="99"/>
    <w:unhideWhenUsed/>
    <w:qFormat/>
    <w:rPr>
      <w:color w:val="0000FF"/>
      <w:u w:val="single"/>
    </w:rPr>
  </w:style>
  <w:style w:type="character" w:styleId="af">
    <w:name w:val="annotation reference"/>
    <w:basedOn w:val="a0"/>
    <w:rPr>
      <w:sz w:val="21"/>
      <w:szCs w:val="21"/>
    </w:rPr>
  </w:style>
  <w:style w:type="character" w:customStyle="1" w:styleId="aa">
    <w:name w:val="页眉 字符"/>
    <w:basedOn w:val="a0"/>
    <w:link w:val="a9"/>
    <w:qFormat/>
    <w:rPr>
      <w:kern w:val="2"/>
      <w:sz w:val="18"/>
      <w:szCs w:val="18"/>
    </w:rPr>
  </w:style>
  <w:style w:type="character" w:customStyle="1" w:styleId="a8">
    <w:name w:val="页脚 字符"/>
    <w:basedOn w:val="a0"/>
    <w:link w:val="a7"/>
    <w:qFormat/>
    <w:rPr>
      <w:kern w:val="2"/>
      <w:sz w:val="18"/>
      <w:szCs w:val="18"/>
    </w:rPr>
  </w:style>
  <w:style w:type="character" w:customStyle="1" w:styleId="anchor-text">
    <w:name w:val="anchor-text"/>
    <w:basedOn w:val="a0"/>
    <w:qFormat/>
  </w:style>
  <w:style w:type="character" w:customStyle="1" w:styleId="a4">
    <w:name w:val="批注文字 字符"/>
    <w:basedOn w:val="a0"/>
    <w:link w:val="a3"/>
    <w:rPr>
      <w:rFonts w:ascii="Times New Roman" w:hAnsi="Times New Roman" w:cs="Times New Roman"/>
      <w:bCs/>
      <w:kern w:val="2"/>
      <w:sz w:val="21"/>
      <w:szCs w:val="24"/>
    </w:rPr>
  </w:style>
  <w:style w:type="character" w:customStyle="1" w:styleId="ad">
    <w:name w:val="批注主题 字符"/>
    <w:basedOn w:val="a4"/>
    <w:link w:val="ac"/>
    <w:qFormat/>
    <w:rPr>
      <w:rFonts w:ascii="Times New Roman" w:hAnsi="Times New Roman" w:cs="Times New Roman"/>
      <w:b/>
      <w:bCs/>
      <w:kern w:val="2"/>
      <w:sz w:val="21"/>
      <w:szCs w:val="24"/>
    </w:rPr>
  </w:style>
  <w:style w:type="character" w:customStyle="1" w:styleId="a6">
    <w:name w:val="批注框文本 字符"/>
    <w:basedOn w:val="a0"/>
    <w:link w:val="a5"/>
    <w:rPr>
      <w:rFonts w:ascii="Times New Roman" w:hAnsi="Times New Roman" w:cs="Times New Roman"/>
      <w:bCs/>
      <w:kern w:val="2"/>
      <w:sz w:val="18"/>
      <w:szCs w:val="18"/>
    </w:rPr>
  </w:style>
  <w:style w:type="paragraph" w:customStyle="1" w:styleId="AIReceivedDate">
    <w:name w:val="AI_Received_Date"/>
    <w:basedOn w:val="a"/>
    <w:next w:val="a"/>
    <w:qFormat/>
    <w:rsid w:val="00766AC2"/>
    <w:pPr>
      <w:widowControl/>
      <w:spacing w:before="0" w:after="240" w:line="480" w:lineRule="auto"/>
    </w:pPr>
    <w:rPr>
      <w:rFonts w:ascii="Times" w:hAnsi="Times"/>
      <w:b/>
      <w:bCs w:val="0"/>
      <w:kern w:val="0"/>
      <w:sz w:val="24"/>
      <w:szCs w:val="20"/>
      <w:lang w:eastAsia="en-US"/>
    </w:rPr>
  </w:style>
  <w:style w:type="paragraph" w:styleId="af0">
    <w:name w:val="List Paragraph"/>
    <w:basedOn w:val="a"/>
    <w:uiPriority w:val="99"/>
    <w:rsid w:val="00766AC2"/>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8</Pages>
  <Words>370</Words>
  <Characters>1803</Characters>
  <Application>Microsoft Office Word</Application>
  <DocSecurity>0</DocSecurity>
  <Lines>15</Lines>
  <Paragraphs>4</Paragraphs>
  <ScaleCrop>false</ScaleCrop>
  <Company/>
  <LinksUpToDate>false</LinksUpToDate>
  <CharactersWithSpaces>2169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后来</dc:creator>
  <cp:lastModifiedBy>Siyuan</cp:lastModifiedBy>
  <cp:revision>8</cp:revision>
  <dcterms:created xsi:type="dcterms:W3CDTF">2025-08-01T05:31:00Z</dcterms:created>
  <dcterms:modified xsi:type="dcterms:W3CDTF">2025-08-11T06:09:00Z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67EA751AD3D240DE8FC48D1420BEAD98_11</vt:lpwstr>
  </property>
  <property fmtid="{D5CDD505-2E9C-101B-9397-08002B2CF9AE}" pid="4" name="KSOTemplateDocerSaveRecord">
    <vt:lpwstr>eyJoZGlkIjoiZWQwMTZmY2RiZTU0YTQ4MDJlMGRkMGQ0Y2Q5NmUzZDMiLCJ1c2VySWQiOiI3MzM4MTI0NTMifQ==</vt:lpwstr>
  </property>
</Properties>
</file>