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470759" w14:textId="6CFBE084" w:rsidR="00095EC3" w:rsidRDefault="00095EC3" w:rsidP="008277C2">
      <w:pPr>
        <w:pStyle w:val="Title"/>
        <w:rPr>
          <w:sz w:val="40"/>
          <w:szCs w:val="40"/>
        </w:rPr>
      </w:pPr>
      <w:bookmarkStart w:id="0" w:name="_Hlk192604315"/>
      <w:r w:rsidRPr="007E4DC1">
        <w:rPr>
          <w:sz w:val="40"/>
          <w:szCs w:val="40"/>
        </w:rPr>
        <w:t>Simulating interferon-</w:t>
      </w:r>
      <w:r w:rsidR="009825F8" w:rsidRPr="007E4DC1">
        <w:rPr>
          <w:sz w:val="40"/>
          <w:szCs w:val="40"/>
        </w:rPr>
        <w:t>γ assay</w:t>
      </w:r>
      <w:r w:rsidRPr="007E4DC1">
        <w:rPr>
          <w:sz w:val="40"/>
          <w:szCs w:val="40"/>
        </w:rPr>
        <w:t xml:space="preserve"> testing patterns </w:t>
      </w:r>
      <w:r w:rsidR="00DE1296" w:rsidRPr="007E4DC1">
        <w:rPr>
          <w:sz w:val="40"/>
          <w:szCs w:val="40"/>
        </w:rPr>
        <w:t>to detect</w:t>
      </w:r>
      <w:r w:rsidR="00885CC3" w:rsidRPr="007E4DC1">
        <w:rPr>
          <w:sz w:val="40"/>
          <w:szCs w:val="40"/>
        </w:rPr>
        <w:t xml:space="preserve"> </w:t>
      </w:r>
      <w:r w:rsidRPr="007E4DC1">
        <w:rPr>
          <w:sz w:val="40"/>
          <w:szCs w:val="40"/>
        </w:rPr>
        <w:t xml:space="preserve">bovine tuberculosis </w:t>
      </w:r>
      <w:r w:rsidR="00DE1296" w:rsidRPr="007E4DC1">
        <w:rPr>
          <w:sz w:val="40"/>
          <w:szCs w:val="40"/>
        </w:rPr>
        <w:t>in Irish cattle herds</w:t>
      </w:r>
    </w:p>
    <w:p w14:paraId="07C53C94" w14:textId="77777777" w:rsidR="00D019D9" w:rsidRPr="00D019D9" w:rsidRDefault="00D019D9" w:rsidP="00D019D9"/>
    <w:bookmarkEnd w:id="0" w:displacedByCustomXml="next"/>
    <w:sdt>
      <w:sdtPr>
        <w:id w:val="-1432435970"/>
        <w:docPartObj>
          <w:docPartGallery w:val="Table of Contents"/>
          <w:docPartUnique/>
        </w:docPartObj>
      </w:sdtPr>
      <w:sdtEndPr>
        <w:rPr>
          <w:rFonts w:eastAsiaTheme="minorHAnsi" w:cstheme="minorBidi"/>
          <w:b/>
          <w:bCs/>
          <w:noProof/>
          <w:kern w:val="2"/>
          <w:sz w:val="24"/>
          <w:szCs w:val="22"/>
          <w:lang w:val="en-IE"/>
          <w14:ligatures w14:val="standardContextual"/>
        </w:rPr>
      </w:sdtEndPr>
      <w:sdtContent>
        <w:p w14:paraId="702E15C5" w14:textId="188F8789" w:rsidR="00D019D9" w:rsidRDefault="00D019D9">
          <w:pPr>
            <w:pStyle w:val="TOCHeading"/>
          </w:pPr>
          <w:r>
            <w:t>Contents</w:t>
          </w:r>
        </w:p>
        <w:p w14:paraId="0DA22DA5" w14:textId="481F0296" w:rsidR="00D019D9" w:rsidRDefault="00D019D9">
          <w:pPr>
            <w:pStyle w:val="TOC1"/>
            <w:tabs>
              <w:tab w:val="right" w:leader="dot" w:pos="9016"/>
            </w:tabs>
            <w:rPr>
              <w:rFonts w:asciiTheme="minorHAnsi" w:eastAsiaTheme="minorEastAsia" w:hAnsiTheme="minorHAnsi"/>
              <w:noProof/>
              <w:szCs w:val="24"/>
              <w:lang w:eastAsia="en-IE"/>
            </w:rPr>
          </w:pPr>
          <w:r>
            <w:fldChar w:fldCharType="begin"/>
          </w:r>
          <w:r>
            <w:instrText xml:space="preserve"> TOC \o "1-1" \h \z \u \t "Heading 3,3" </w:instrText>
          </w:r>
          <w:r>
            <w:fldChar w:fldCharType="separate"/>
          </w:r>
          <w:hyperlink w:anchor="_Toc194674077" w:history="1">
            <w:r w:rsidRPr="00795D3B">
              <w:rPr>
                <w:rStyle w:val="Hyperlink"/>
                <w:noProof/>
              </w:rPr>
              <w:t>Supplementary tables</w:t>
            </w:r>
            <w:r>
              <w:rPr>
                <w:noProof/>
                <w:webHidden/>
              </w:rPr>
              <w:tab/>
            </w:r>
            <w:r>
              <w:rPr>
                <w:noProof/>
                <w:webHidden/>
              </w:rPr>
              <w:fldChar w:fldCharType="begin"/>
            </w:r>
            <w:r>
              <w:rPr>
                <w:noProof/>
                <w:webHidden/>
              </w:rPr>
              <w:instrText xml:space="preserve"> PAGEREF _Toc194674077 \h </w:instrText>
            </w:r>
            <w:r>
              <w:rPr>
                <w:noProof/>
                <w:webHidden/>
              </w:rPr>
            </w:r>
            <w:r>
              <w:rPr>
                <w:noProof/>
                <w:webHidden/>
              </w:rPr>
              <w:fldChar w:fldCharType="separate"/>
            </w:r>
            <w:r>
              <w:rPr>
                <w:noProof/>
                <w:webHidden/>
              </w:rPr>
              <w:t>1</w:t>
            </w:r>
            <w:r>
              <w:rPr>
                <w:noProof/>
                <w:webHidden/>
              </w:rPr>
              <w:fldChar w:fldCharType="end"/>
            </w:r>
          </w:hyperlink>
        </w:p>
        <w:p w14:paraId="21BDDB79" w14:textId="10B5E26C" w:rsidR="00D019D9" w:rsidRDefault="00D019D9">
          <w:pPr>
            <w:pStyle w:val="TOC1"/>
            <w:tabs>
              <w:tab w:val="right" w:leader="dot" w:pos="9016"/>
            </w:tabs>
            <w:rPr>
              <w:rFonts w:asciiTheme="minorHAnsi" w:eastAsiaTheme="minorEastAsia" w:hAnsiTheme="minorHAnsi"/>
              <w:noProof/>
              <w:szCs w:val="24"/>
              <w:lang w:eastAsia="en-IE"/>
            </w:rPr>
          </w:pPr>
          <w:hyperlink w:anchor="_Toc194674078" w:history="1">
            <w:r w:rsidRPr="00795D3B">
              <w:rPr>
                <w:rStyle w:val="Hyperlink"/>
                <w:noProof/>
              </w:rPr>
              <w:t>Supplementary figures</w:t>
            </w:r>
            <w:r>
              <w:rPr>
                <w:noProof/>
                <w:webHidden/>
              </w:rPr>
              <w:tab/>
            </w:r>
            <w:r>
              <w:rPr>
                <w:noProof/>
                <w:webHidden/>
              </w:rPr>
              <w:fldChar w:fldCharType="begin"/>
            </w:r>
            <w:r>
              <w:rPr>
                <w:noProof/>
                <w:webHidden/>
              </w:rPr>
              <w:instrText xml:space="preserve"> PAGEREF _Toc194674078 \h </w:instrText>
            </w:r>
            <w:r>
              <w:rPr>
                <w:noProof/>
                <w:webHidden/>
              </w:rPr>
            </w:r>
            <w:r>
              <w:rPr>
                <w:noProof/>
                <w:webHidden/>
              </w:rPr>
              <w:fldChar w:fldCharType="separate"/>
            </w:r>
            <w:r>
              <w:rPr>
                <w:noProof/>
                <w:webHidden/>
              </w:rPr>
              <w:t>8</w:t>
            </w:r>
            <w:r>
              <w:rPr>
                <w:noProof/>
                <w:webHidden/>
              </w:rPr>
              <w:fldChar w:fldCharType="end"/>
            </w:r>
          </w:hyperlink>
        </w:p>
        <w:p w14:paraId="0B998435" w14:textId="11486BCE" w:rsidR="00D019D9" w:rsidRDefault="00D019D9">
          <w:pPr>
            <w:pStyle w:val="TOC1"/>
            <w:tabs>
              <w:tab w:val="right" w:leader="dot" w:pos="9016"/>
            </w:tabs>
            <w:rPr>
              <w:rFonts w:asciiTheme="minorHAnsi" w:eastAsiaTheme="minorEastAsia" w:hAnsiTheme="minorHAnsi"/>
              <w:noProof/>
              <w:szCs w:val="24"/>
              <w:lang w:eastAsia="en-IE"/>
            </w:rPr>
          </w:pPr>
          <w:hyperlink w:anchor="_Toc194674079" w:history="1">
            <w:r w:rsidRPr="00795D3B">
              <w:rPr>
                <w:rStyle w:val="Hyperlink"/>
                <w:noProof/>
              </w:rPr>
              <w:t>Supplementary methods</w:t>
            </w:r>
            <w:r>
              <w:rPr>
                <w:noProof/>
                <w:webHidden/>
              </w:rPr>
              <w:tab/>
            </w:r>
            <w:r>
              <w:rPr>
                <w:noProof/>
                <w:webHidden/>
              </w:rPr>
              <w:fldChar w:fldCharType="begin"/>
            </w:r>
            <w:r>
              <w:rPr>
                <w:noProof/>
                <w:webHidden/>
              </w:rPr>
              <w:instrText xml:space="preserve"> PAGEREF _Toc194674079 \h </w:instrText>
            </w:r>
            <w:r>
              <w:rPr>
                <w:noProof/>
                <w:webHidden/>
              </w:rPr>
            </w:r>
            <w:r>
              <w:rPr>
                <w:noProof/>
                <w:webHidden/>
              </w:rPr>
              <w:fldChar w:fldCharType="separate"/>
            </w:r>
            <w:r>
              <w:rPr>
                <w:noProof/>
                <w:webHidden/>
              </w:rPr>
              <w:t>17</w:t>
            </w:r>
            <w:r>
              <w:rPr>
                <w:noProof/>
                <w:webHidden/>
              </w:rPr>
              <w:fldChar w:fldCharType="end"/>
            </w:r>
          </w:hyperlink>
        </w:p>
        <w:p w14:paraId="330609C6" w14:textId="1B71912A" w:rsidR="00D019D9" w:rsidRDefault="00D019D9">
          <w:r>
            <w:fldChar w:fldCharType="end"/>
          </w:r>
        </w:p>
      </w:sdtContent>
    </w:sdt>
    <w:p w14:paraId="67A89B6C" w14:textId="34B1B39C" w:rsidR="00D019D9" w:rsidRDefault="00D019D9">
      <w:pPr>
        <w:spacing w:line="259" w:lineRule="auto"/>
      </w:pPr>
      <w:r>
        <w:br w:type="page"/>
      </w:r>
    </w:p>
    <w:p w14:paraId="0E73A95C" w14:textId="4A5F615D" w:rsidR="00F459DE" w:rsidRPr="005B0BDD" w:rsidRDefault="006C56C4" w:rsidP="00AB4E36">
      <w:pPr>
        <w:pStyle w:val="Heading1"/>
      </w:pPr>
      <w:bookmarkStart w:id="1" w:name="_Toc194674077"/>
      <w:r w:rsidRPr="006C56C4">
        <w:lastRenderedPageBreak/>
        <w:t>Supplementary</w:t>
      </w:r>
      <w:r w:rsidR="009066A3">
        <w:t xml:space="preserve"> tables</w:t>
      </w:r>
      <w:bookmarkEnd w:id="1"/>
    </w:p>
    <w:p w14:paraId="0634F443" w14:textId="2DBCC0CC" w:rsidR="00042C9C" w:rsidRDefault="00AB4E36" w:rsidP="00F62AB4">
      <w:pPr>
        <w:jc w:val="both"/>
        <w:rPr>
          <w:b/>
          <w:bCs/>
        </w:rPr>
      </w:pPr>
      <w:r w:rsidRPr="00F62AB4">
        <w:rPr>
          <w:b/>
          <w:bCs/>
        </w:rPr>
        <w:t>Supplementary t</w:t>
      </w:r>
      <w:r w:rsidR="00F459DE" w:rsidRPr="00F62AB4">
        <w:rPr>
          <w:b/>
          <w:bCs/>
        </w:rPr>
        <w:t xml:space="preserve">able 1: Summary of diagnostic </w:t>
      </w:r>
      <w:r w:rsidR="00240232" w:rsidRPr="00F62AB4">
        <w:rPr>
          <w:b/>
          <w:bCs/>
        </w:rPr>
        <w:t>interferon-γ</w:t>
      </w:r>
      <w:r w:rsidR="00F459DE" w:rsidRPr="00F62AB4">
        <w:rPr>
          <w:b/>
          <w:bCs/>
        </w:rPr>
        <w:t xml:space="preserve"> testing patterns in Ireland between start 2005 and end 2022. % all herds + means % herds with any type of </w:t>
      </w:r>
      <w:proofErr w:type="spellStart"/>
      <w:r w:rsidR="00F459DE" w:rsidRPr="00F62AB4">
        <w:rPr>
          <w:b/>
          <w:bCs/>
        </w:rPr>
        <w:t>bTB</w:t>
      </w:r>
      <w:proofErr w:type="spellEnd"/>
      <w:r w:rsidR="00F459DE" w:rsidRPr="00F62AB4">
        <w:rPr>
          <w:b/>
          <w:bCs/>
        </w:rPr>
        <w:t xml:space="preserve"> case detection positive (skin / </w:t>
      </w:r>
      <w:r w:rsidR="00240232" w:rsidRPr="00F62AB4">
        <w:rPr>
          <w:b/>
          <w:bCs/>
        </w:rPr>
        <w:t>interferon-γ</w:t>
      </w:r>
      <w:r w:rsidR="00F459DE" w:rsidRPr="00F62AB4">
        <w:rPr>
          <w:b/>
          <w:bCs/>
        </w:rPr>
        <w:t xml:space="preserve"> / slaughterhouse)</w:t>
      </w:r>
      <w:r w:rsidR="00EA1C66">
        <w:rPr>
          <w:b/>
          <w:bCs/>
        </w:rPr>
        <w:t>.</w:t>
      </w:r>
    </w:p>
    <w:tbl>
      <w:tblPr>
        <w:tblW w:w="7938" w:type="dxa"/>
        <w:jc w:val="center"/>
        <w:tblLayout w:type="fixed"/>
        <w:tblLook w:val="0420" w:firstRow="1" w:lastRow="0" w:firstColumn="0" w:lastColumn="0" w:noHBand="0" w:noVBand="1"/>
      </w:tblPr>
      <w:tblGrid>
        <w:gridCol w:w="1134"/>
        <w:gridCol w:w="1134"/>
        <w:gridCol w:w="1134"/>
        <w:gridCol w:w="1134"/>
        <w:gridCol w:w="1134"/>
        <w:gridCol w:w="1134"/>
        <w:gridCol w:w="1134"/>
      </w:tblGrid>
      <w:tr w:rsidR="00F459DE" w14:paraId="457AC0A8" w14:textId="77777777" w:rsidTr="00BD499C">
        <w:trPr>
          <w:tblHeader/>
          <w:jc w:val="center"/>
        </w:trPr>
        <w:tc>
          <w:tcPr>
            <w:tcW w:w="113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88B520B"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b/>
                <w:color w:val="000000"/>
              </w:rPr>
              <w:t>Year</w:t>
            </w:r>
          </w:p>
        </w:tc>
        <w:tc>
          <w:tcPr>
            <w:tcW w:w="113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3D74BD2" w14:textId="1A90A110"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b/>
                <w:color w:val="000000"/>
              </w:rPr>
              <w:t xml:space="preserve">N cattle </w:t>
            </w:r>
            <w:r w:rsidR="00240232">
              <w:rPr>
                <w:rFonts w:ascii="Arial" w:eastAsia="Arial" w:hAnsi="Arial" w:cs="Arial"/>
                <w:b/>
                <w:color w:val="000000"/>
              </w:rPr>
              <w:t>interferon-γ</w:t>
            </w:r>
            <w:r>
              <w:rPr>
                <w:rFonts w:ascii="Arial" w:eastAsia="Arial" w:hAnsi="Arial" w:cs="Arial"/>
                <w:b/>
                <w:color w:val="000000"/>
              </w:rPr>
              <w:t xml:space="preserve"> tested</w:t>
            </w:r>
          </w:p>
        </w:tc>
        <w:tc>
          <w:tcPr>
            <w:tcW w:w="113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58494F4" w14:textId="72E2B671"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b/>
                <w:color w:val="000000"/>
              </w:rPr>
              <w:t xml:space="preserve">% </w:t>
            </w:r>
            <w:r w:rsidR="00240232">
              <w:rPr>
                <w:rFonts w:ascii="Arial" w:eastAsia="Arial" w:hAnsi="Arial" w:cs="Arial"/>
                <w:b/>
                <w:color w:val="000000"/>
              </w:rPr>
              <w:t>interferon-γ</w:t>
            </w:r>
            <w:r>
              <w:rPr>
                <w:rFonts w:ascii="Arial" w:eastAsia="Arial" w:hAnsi="Arial" w:cs="Arial"/>
                <w:b/>
                <w:color w:val="000000"/>
              </w:rPr>
              <w:t xml:space="preserve"> tested cattle +</w:t>
            </w:r>
          </w:p>
        </w:tc>
        <w:tc>
          <w:tcPr>
            <w:tcW w:w="113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A530A10" w14:textId="44F7868D"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b/>
                <w:color w:val="000000"/>
              </w:rPr>
              <w:t xml:space="preserve">N herds </w:t>
            </w:r>
            <w:r w:rsidR="00240232">
              <w:rPr>
                <w:rFonts w:ascii="Arial" w:eastAsia="Arial" w:hAnsi="Arial" w:cs="Arial"/>
                <w:b/>
                <w:color w:val="000000"/>
              </w:rPr>
              <w:t>interferon-γ</w:t>
            </w:r>
            <w:r>
              <w:rPr>
                <w:rFonts w:ascii="Arial" w:eastAsia="Arial" w:hAnsi="Arial" w:cs="Arial"/>
                <w:b/>
                <w:color w:val="000000"/>
              </w:rPr>
              <w:t xml:space="preserve"> tested</w:t>
            </w:r>
          </w:p>
        </w:tc>
        <w:tc>
          <w:tcPr>
            <w:tcW w:w="113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EB5F535" w14:textId="5E06F278"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b/>
                <w:color w:val="000000"/>
              </w:rPr>
              <w:t xml:space="preserve">% </w:t>
            </w:r>
            <w:r w:rsidR="00240232">
              <w:rPr>
                <w:rFonts w:ascii="Arial" w:eastAsia="Arial" w:hAnsi="Arial" w:cs="Arial"/>
                <w:b/>
                <w:color w:val="000000"/>
              </w:rPr>
              <w:t>interferon-γ</w:t>
            </w:r>
            <w:r>
              <w:rPr>
                <w:rFonts w:ascii="Arial" w:eastAsia="Arial" w:hAnsi="Arial" w:cs="Arial"/>
                <w:b/>
                <w:color w:val="000000"/>
              </w:rPr>
              <w:t xml:space="preserve"> tested herds +</w:t>
            </w:r>
          </w:p>
        </w:tc>
        <w:tc>
          <w:tcPr>
            <w:tcW w:w="113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58CD396"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b/>
                <w:color w:val="000000"/>
              </w:rPr>
              <w:t>N all herds*</w:t>
            </w:r>
          </w:p>
        </w:tc>
        <w:tc>
          <w:tcPr>
            <w:tcW w:w="113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69DF989"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b/>
                <w:color w:val="000000"/>
              </w:rPr>
              <w:t>% all herds +</w:t>
            </w:r>
          </w:p>
        </w:tc>
      </w:tr>
      <w:tr w:rsidR="00F459DE" w14:paraId="518EDAAA" w14:textId="77777777" w:rsidTr="00BD499C">
        <w:trPr>
          <w:jc w:val="center"/>
        </w:trPr>
        <w:tc>
          <w:tcPr>
            <w:tcW w:w="1134"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13DB63D"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2005</w:t>
            </w:r>
          </w:p>
        </w:tc>
        <w:tc>
          <w:tcPr>
            <w:tcW w:w="1134"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7850766"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3,866</w:t>
            </w:r>
          </w:p>
        </w:tc>
        <w:tc>
          <w:tcPr>
            <w:tcW w:w="1134"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579813D"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11.7</w:t>
            </w:r>
          </w:p>
        </w:tc>
        <w:tc>
          <w:tcPr>
            <w:tcW w:w="1134"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15FC8F0"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96</w:t>
            </w:r>
          </w:p>
        </w:tc>
        <w:tc>
          <w:tcPr>
            <w:tcW w:w="1134"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2AC9FD8"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82.3</w:t>
            </w:r>
          </w:p>
        </w:tc>
        <w:tc>
          <w:tcPr>
            <w:tcW w:w="1134"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37CD04D"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121,375</w:t>
            </w:r>
          </w:p>
        </w:tc>
        <w:tc>
          <w:tcPr>
            <w:tcW w:w="1134"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64FE19B"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6.0</w:t>
            </w:r>
          </w:p>
        </w:tc>
      </w:tr>
      <w:tr w:rsidR="00F459DE" w14:paraId="1FA05DA6"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067800D"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2006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DA859D3"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6,719</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E8ACB18"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13.6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D9E3096"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144</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8BAAE4D"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78.5</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CBDA893"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119,676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2F8D8C3"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5.7</w:t>
            </w:r>
          </w:p>
        </w:tc>
      </w:tr>
      <w:tr w:rsidR="00F459DE" w14:paraId="77509EA5"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635749C"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2007</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BC76435"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12,491</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B5C0F6F"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13.6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5C8E86C"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284</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7893B91"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87.3</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6BF1CB0"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117,761</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CBC853F"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6.4</w:t>
            </w:r>
          </w:p>
        </w:tc>
      </w:tr>
      <w:tr w:rsidR="00F459DE" w14:paraId="1E6DA994"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AE31B32"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2008</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59745BA"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9,706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75AAE16"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20.8</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CD560B4"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259</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0EBA3A6"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83.0</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AF1CB01"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116,819</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905CBF0"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6.3</w:t>
            </w:r>
          </w:p>
        </w:tc>
      </w:tr>
      <w:tr w:rsidR="00F459DE" w14:paraId="79103FD8"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00F621D"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2009</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933DA17"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4,638</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5425907"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22.2</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D5E55FC"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103</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7156282"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82.5</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A711DC0"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115,833</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08F006E"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5.4</w:t>
            </w:r>
          </w:p>
        </w:tc>
      </w:tr>
      <w:tr w:rsidR="00F459DE" w14:paraId="6222B2A5"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F6E3109"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2010</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15C11F1"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5,486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4292525"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27.0</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982A0B5"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137</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35C164B"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87.6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ED03394"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114,562</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457AA07"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5.0</w:t>
            </w:r>
          </w:p>
        </w:tc>
      </w:tr>
      <w:tr w:rsidR="00F459DE" w14:paraId="55B2545C"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82C578E"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2011</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827C6D8"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3,668</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904014A"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24.9</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9B27642"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98</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E6F9DEA"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83.7</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B09EEFA"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114,785</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721C5E9"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4.5</w:t>
            </w:r>
          </w:p>
        </w:tc>
      </w:tr>
      <w:tr w:rsidR="00F459DE" w14:paraId="1BB6D5A0"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55B29A9"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2012</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55A02E1"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4,437</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92D13FA"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27.8</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1645E67"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132</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2863D35"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88.6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2E6DF09"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114,551</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E075E3C"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4.5</w:t>
            </w:r>
          </w:p>
        </w:tc>
      </w:tr>
      <w:tr w:rsidR="00F459DE" w14:paraId="5B05780B"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02E2CF2"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2013</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67F273E"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4,706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7113B82"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25.2</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B24B6BA"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130</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A82E8DF"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83.8</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B2C6AAE"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114,335</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20593D6"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4.1</w:t>
            </w:r>
          </w:p>
        </w:tc>
      </w:tr>
      <w:tr w:rsidR="00F459DE" w14:paraId="5C2B71C8"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BDB2F36"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2014</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2AF1611"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8,424</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1EE4FEF"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24.5</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E7D61C9"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214</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B1D2D51"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84.6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9605956"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113,220</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0501B13"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3.9</w:t>
            </w:r>
          </w:p>
        </w:tc>
      </w:tr>
      <w:tr w:rsidR="00F459DE" w14:paraId="72A27A0D"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9B8E33F"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2015</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4F29658"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22,049</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97E791F"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15.1</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3F97B38"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454</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4F8EED5"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80.8</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CEF32E6"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113,612</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F80935F"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3.6</w:t>
            </w:r>
          </w:p>
        </w:tc>
      </w:tr>
      <w:tr w:rsidR="00F459DE" w14:paraId="63C7DB6E"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E313D0E"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2016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2003780"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32,190</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D5DF52D"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14.2</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893AAB9"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526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40939EB"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87.6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0FFEDD9"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112,953</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55472E1"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3.5</w:t>
            </w:r>
          </w:p>
        </w:tc>
      </w:tr>
      <w:tr w:rsidR="00F459DE" w14:paraId="79DBC53B"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53A05EC"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2017</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E01E4FC"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33,881</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9BA5E81"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12.9</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DC8553B"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606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97A6E28"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84.0</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8E0D770"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112,373</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4B5B488"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3.7</w:t>
            </w:r>
          </w:p>
        </w:tc>
      </w:tr>
      <w:tr w:rsidR="00F459DE" w14:paraId="6549F557"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F2A6423"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2018</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8508EB9"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41,809</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5801A5C"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12.0</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E801C60"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669</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3CD90BB"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82.2</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036012B"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110,805</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2D7A10B"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3.8</w:t>
            </w:r>
          </w:p>
        </w:tc>
      </w:tr>
      <w:tr w:rsidR="00F459DE" w14:paraId="5B03933A"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155FC58"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2019</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ABEB1D5"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41,444</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0B90781"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8.1</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561B283"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695</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00A0C7A"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75.1</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C8D89B2"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109,486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CE868A6"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4.0</w:t>
            </w:r>
          </w:p>
        </w:tc>
      </w:tr>
      <w:tr w:rsidR="00F459DE" w14:paraId="0DA87F9A"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333F9A1"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2020</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BFC5BFE"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59,212</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B621C8E"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7.9</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DEE420A"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838</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86833EE"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79.6</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09CF114"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108,548</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FD947E9"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4.7</w:t>
            </w:r>
          </w:p>
        </w:tc>
      </w:tr>
      <w:tr w:rsidR="00F459DE" w14:paraId="774B5444" w14:textId="77777777" w:rsidTr="00BD499C">
        <w:trPr>
          <w:jc w:val="center"/>
        </w:trPr>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433F524"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2021</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850106A"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55,533</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2927E0A"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9.0</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8F9FCB4"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853</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96072A3"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80.8</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41AAA9C"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108,044</w:t>
            </w:r>
          </w:p>
        </w:tc>
        <w:tc>
          <w:tcPr>
            <w:tcW w:w="1134"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E1002E1"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4.7</w:t>
            </w:r>
          </w:p>
        </w:tc>
      </w:tr>
      <w:tr w:rsidR="00F459DE" w14:paraId="7EDABA20" w14:textId="77777777" w:rsidTr="00BD499C">
        <w:trPr>
          <w:jc w:val="center"/>
        </w:trPr>
        <w:tc>
          <w:tcPr>
            <w:tcW w:w="1134"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FECAF83"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Arial" w:eastAsia="Arial" w:hAnsi="Arial" w:cs="Arial"/>
                <w:color w:val="000000"/>
              </w:rPr>
              <w:t>2022</w:t>
            </w:r>
          </w:p>
        </w:tc>
        <w:tc>
          <w:tcPr>
            <w:tcW w:w="1134"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6160357"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66,478</w:t>
            </w:r>
          </w:p>
        </w:tc>
        <w:tc>
          <w:tcPr>
            <w:tcW w:w="1134"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58AF6C6"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8.9</w:t>
            </w:r>
          </w:p>
        </w:tc>
        <w:tc>
          <w:tcPr>
            <w:tcW w:w="1134"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F29DF6C"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895</w:t>
            </w:r>
          </w:p>
        </w:tc>
        <w:tc>
          <w:tcPr>
            <w:tcW w:w="1134"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46D15BD"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84.2</w:t>
            </w:r>
          </w:p>
        </w:tc>
        <w:tc>
          <w:tcPr>
            <w:tcW w:w="1134"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7E7D5E4"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106,348</w:t>
            </w:r>
          </w:p>
        </w:tc>
        <w:tc>
          <w:tcPr>
            <w:tcW w:w="1134"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4056AB0" w14:textId="77777777" w:rsidR="00F459DE" w:rsidRDefault="00F459DE" w:rsidP="00042C9C">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Arial" w:eastAsia="Arial" w:hAnsi="Arial" w:cs="Arial"/>
                <w:color w:val="000000"/>
              </w:rPr>
              <w:t>4.7</w:t>
            </w:r>
          </w:p>
        </w:tc>
      </w:tr>
    </w:tbl>
    <w:p w14:paraId="282355D0" w14:textId="77777777" w:rsidR="00F459DE" w:rsidRDefault="00F459DE" w:rsidP="00F459DE"/>
    <w:p w14:paraId="0C509D55" w14:textId="7FA88513" w:rsidR="00F2035A" w:rsidRDefault="00F2035A" w:rsidP="00F2035A">
      <w:pPr>
        <w:rPr>
          <w:b/>
          <w:bCs/>
        </w:rPr>
      </w:pPr>
      <w:r w:rsidRPr="00563923">
        <w:rPr>
          <w:b/>
          <w:bCs/>
        </w:rPr>
        <w:lastRenderedPageBreak/>
        <w:t xml:space="preserve">Supplementary table </w:t>
      </w:r>
      <w:r w:rsidR="00AB4E36">
        <w:rPr>
          <w:b/>
          <w:bCs/>
        </w:rPr>
        <w:t>2</w:t>
      </w:r>
      <w:r w:rsidRPr="00563923">
        <w:rPr>
          <w:b/>
          <w:bCs/>
        </w:rPr>
        <w:t xml:space="preserve">:  </w:t>
      </w:r>
      <w:r w:rsidR="00A025AA">
        <w:rPr>
          <w:b/>
          <w:bCs/>
        </w:rPr>
        <w:t xml:space="preserve">Proportions of eligible skin tests followed by </w:t>
      </w:r>
      <w:r w:rsidR="00240232">
        <w:rPr>
          <w:b/>
          <w:bCs/>
        </w:rPr>
        <w:t>interferon-γ</w:t>
      </w:r>
      <w:r w:rsidR="00A025AA">
        <w:rPr>
          <w:b/>
          <w:bCs/>
        </w:rPr>
        <w:t xml:space="preserve"> tests by county, in the study population of breakdowns ending between 2015 and 2020.</w:t>
      </w:r>
    </w:p>
    <w:tbl>
      <w:tblPr>
        <w:tblStyle w:val="TableGrid"/>
        <w:tblW w:w="8637" w:type="dxa"/>
        <w:tblLook w:val="04A0" w:firstRow="1" w:lastRow="0" w:firstColumn="1" w:lastColumn="0" w:noHBand="0" w:noVBand="1"/>
      </w:tblPr>
      <w:tblGrid>
        <w:gridCol w:w="2879"/>
        <w:gridCol w:w="2879"/>
        <w:gridCol w:w="2879"/>
      </w:tblGrid>
      <w:tr w:rsidR="005D00F7" w:rsidRPr="005D00F7" w14:paraId="111F2F06" w14:textId="77777777" w:rsidTr="005776C8">
        <w:trPr>
          <w:trHeight w:val="1035"/>
        </w:trPr>
        <w:tc>
          <w:tcPr>
            <w:tcW w:w="2879" w:type="dxa"/>
            <w:hideMark/>
          </w:tcPr>
          <w:p w14:paraId="3C749683" w14:textId="77777777" w:rsidR="005D00F7" w:rsidRPr="005D00F7" w:rsidRDefault="005D00F7" w:rsidP="005D00F7">
            <w:pPr>
              <w:spacing w:line="240" w:lineRule="auto"/>
              <w:rPr>
                <w:rFonts w:ascii="Calibri" w:eastAsia="Times New Roman" w:hAnsi="Calibri" w:cs="Calibri"/>
                <w:b/>
                <w:bCs/>
                <w:color w:val="000000"/>
                <w:kern w:val="0"/>
                <w:sz w:val="20"/>
                <w:szCs w:val="20"/>
                <w:lang w:eastAsia="en-IE"/>
                <w14:ligatures w14:val="none"/>
              </w:rPr>
            </w:pPr>
            <w:bookmarkStart w:id="2" w:name="_Hlk184901854"/>
            <w:r w:rsidRPr="005D00F7">
              <w:rPr>
                <w:rFonts w:ascii="Calibri" w:eastAsia="Times New Roman" w:hAnsi="Calibri" w:cs="Calibri"/>
                <w:b/>
                <w:bCs/>
                <w:color w:val="000000"/>
                <w:kern w:val="0"/>
                <w:sz w:val="20"/>
                <w:szCs w:val="20"/>
                <w:lang w:val="en-US" w:eastAsia="en-IE"/>
                <w14:ligatures w14:val="none"/>
              </w:rPr>
              <w:t>County</w:t>
            </w:r>
          </w:p>
        </w:tc>
        <w:tc>
          <w:tcPr>
            <w:tcW w:w="2879" w:type="dxa"/>
            <w:hideMark/>
          </w:tcPr>
          <w:p w14:paraId="5FBEF169" w14:textId="77777777" w:rsidR="005D00F7" w:rsidRPr="005D00F7" w:rsidRDefault="005D00F7" w:rsidP="005D00F7">
            <w:pPr>
              <w:spacing w:line="240" w:lineRule="auto"/>
              <w:jc w:val="center"/>
              <w:rPr>
                <w:rFonts w:ascii="Calibri" w:eastAsia="Times New Roman" w:hAnsi="Calibri" w:cs="Calibri"/>
                <w:b/>
                <w:bCs/>
                <w:color w:val="000000"/>
                <w:kern w:val="0"/>
                <w:sz w:val="20"/>
                <w:szCs w:val="20"/>
                <w:lang w:eastAsia="en-IE"/>
                <w14:ligatures w14:val="none"/>
              </w:rPr>
            </w:pPr>
            <w:r w:rsidRPr="005D00F7">
              <w:rPr>
                <w:rFonts w:ascii="Calibri" w:eastAsia="Times New Roman" w:hAnsi="Calibri" w:cs="Calibri"/>
                <w:b/>
                <w:bCs/>
                <w:color w:val="000000"/>
                <w:kern w:val="0"/>
                <w:sz w:val="20"/>
                <w:szCs w:val="20"/>
                <w:lang w:val="en-US" w:eastAsia="en-IE"/>
                <w14:ligatures w14:val="none"/>
              </w:rPr>
              <w:t xml:space="preserve">Eligible skin test not </w:t>
            </w:r>
          </w:p>
          <w:p w14:paraId="3B403079" w14:textId="77777777" w:rsidR="005D00F7" w:rsidRPr="005D00F7" w:rsidRDefault="005D00F7" w:rsidP="005D00F7">
            <w:pPr>
              <w:spacing w:line="240" w:lineRule="auto"/>
              <w:jc w:val="center"/>
              <w:rPr>
                <w:rFonts w:ascii="Calibri" w:eastAsia="Times New Roman" w:hAnsi="Calibri" w:cs="Calibri"/>
                <w:b/>
                <w:bCs/>
                <w:color w:val="000000"/>
                <w:kern w:val="0"/>
                <w:sz w:val="20"/>
                <w:szCs w:val="20"/>
                <w:lang w:eastAsia="en-IE"/>
                <w14:ligatures w14:val="none"/>
              </w:rPr>
            </w:pPr>
            <w:r w:rsidRPr="005D00F7">
              <w:rPr>
                <w:rFonts w:ascii="Calibri" w:eastAsia="Times New Roman" w:hAnsi="Calibri" w:cs="Calibri"/>
                <w:b/>
                <w:bCs/>
                <w:color w:val="000000"/>
                <w:kern w:val="0"/>
                <w:sz w:val="20"/>
                <w:szCs w:val="20"/>
                <w:lang w:val="en-US" w:eastAsia="en-IE"/>
                <w14:ligatures w14:val="none"/>
              </w:rPr>
              <w:t>followed by GIF test, N = 2,196</w:t>
            </w:r>
            <w:r w:rsidRPr="005D00F7">
              <w:rPr>
                <w:rFonts w:ascii="Calibri" w:eastAsia="Times New Roman" w:hAnsi="Calibri" w:cs="Calibri"/>
                <w:b/>
                <w:bCs/>
                <w:i/>
                <w:iCs/>
                <w:color w:val="000000"/>
                <w:kern w:val="0"/>
                <w:sz w:val="20"/>
                <w:szCs w:val="20"/>
                <w:vertAlign w:val="superscript"/>
                <w:lang w:val="en-US" w:eastAsia="en-IE"/>
                <w14:ligatures w14:val="none"/>
              </w:rPr>
              <w:t>1</w:t>
            </w:r>
          </w:p>
        </w:tc>
        <w:tc>
          <w:tcPr>
            <w:tcW w:w="2879" w:type="dxa"/>
            <w:hideMark/>
          </w:tcPr>
          <w:p w14:paraId="289057F1" w14:textId="77777777" w:rsidR="005D00F7" w:rsidRPr="005D00F7" w:rsidRDefault="005D00F7" w:rsidP="005D00F7">
            <w:pPr>
              <w:spacing w:line="240" w:lineRule="auto"/>
              <w:jc w:val="center"/>
              <w:rPr>
                <w:rFonts w:ascii="Calibri" w:eastAsia="Times New Roman" w:hAnsi="Calibri" w:cs="Calibri"/>
                <w:b/>
                <w:bCs/>
                <w:color w:val="000000"/>
                <w:kern w:val="0"/>
                <w:sz w:val="20"/>
                <w:szCs w:val="20"/>
                <w:lang w:eastAsia="en-IE"/>
                <w14:ligatures w14:val="none"/>
              </w:rPr>
            </w:pPr>
            <w:r w:rsidRPr="005D00F7">
              <w:rPr>
                <w:rFonts w:ascii="Calibri" w:eastAsia="Times New Roman" w:hAnsi="Calibri" w:cs="Calibri"/>
                <w:b/>
                <w:bCs/>
                <w:color w:val="000000"/>
                <w:kern w:val="0"/>
                <w:sz w:val="20"/>
                <w:szCs w:val="20"/>
                <w:lang w:val="en-US" w:eastAsia="en-IE"/>
                <w14:ligatures w14:val="none"/>
              </w:rPr>
              <w:t xml:space="preserve">Eligible skin test followed </w:t>
            </w:r>
          </w:p>
          <w:p w14:paraId="448A850D" w14:textId="77777777" w:rsidR="005D00F7" w:rsidRPr="005D00F7" w:rsidRDefault="005D00F7" w:rsidP="005D00F7">
            <w:pPr>
              <w:spacing w:line="240" w:lineRule="auto"/>
              <w:jc w:val="center"/>
              <w:rPr>
                <w:rFonts w:ascii="Calibri" w:eastAsia="Times New Roman" w:hAnsi="Calibri" w:cs="Calibri"/>
                <w:b/>
                <w:bCs/>
                <w:color w:val="000000"/>
                <w:kern w:val="0"/>
                <w:sz w:val="20"/>
                <w:szCs w:val="20"/>
                <w:lang w:eastAsia="en-IE"/>
                <w14:ligatures w14:val="none"/>
              </w:rPr>
            </w:pPr>
            <w:r w:rsidRPr="005D00F7">
              <w:rPr>
                <w:rFonts w:ascii="Calibri" w:eastAsia="Times New Roman" w:hAnsi="Calibri" w:cs="Calibri"/>
                <w:b/>
                <w:bCs/>
                <w:color w:val="000000"/>
                <w:kern w:val="0"/>
                <w:sz w:val="20"/>
                <w:szCs w:val="20"/>
                <w:lang w:val="en-US" w:eastAsia="en-IE"/>
                <w14:ligatures w14:val="none"/>
              </w:rPr>
              <w:t>by GIF test, N = 1,511</w:t>
            </w:r>
            <w:r w:rsidRPr="005D00F7">
              <w:rPr>
                <w:rFonts w:ascii="Calibri" w:eastAsia="Times New Roman" w:hAnsi="Calibri" w:cs="Calibri"/>
                <w:b/>
                <w:bCs/>
                <w:i/>
                <w:iCs/>
                <w:color w:val="000000"/>
                <w:kern w:val="0"/>
                <w:sz w:val="20"/>
                <w:szCs w:val="20"/>
                <w:vertAlign w:val="superscript"/>
                <w:lang w:val="en-US" w:eastAsia="en-IE"/>
                <w14:ligatures w14:val="none"/>
              </w:rPr>
              <w:t>1</w:t>
            </w:r>
          </w:p>
        </w:tc>
      </w:tr>
      <w:tr w:rsidR="005D00F7" w:rsidRPr="005D00F7" w14:paraId="220A260E" w14:textId="77777777" w:rsidTr="005776C8">
        <w:trPr>
          <w:trHeight w:val="57"/>
        </w:trPr>
        <w:tc>
          <w:tcPr>
            <w:tcW w:w="2879" w:type="dxa"/>
            <w:hideMark/>
          </w:tcPr>
          <w:p w14:paraId="745BB0D9"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Carlow</w:t>
            </w:r>
          </w:p>
        </w:tc>
        <w:tc>
          <w:tcPr>
            <w:tcW w:w="2879" w:type="dxa"/>
            <w:hideMark/>
          </w:tcPr>
          <w:p w14:paraId="7C9C7375"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10 (67%)</w:t>
            </w:r>
          </w:p>
        </w:tc>
        <w:tc>
          <w:tcPr>
            <w:tcW w:w="2879" w:type="dxa"/>
            <w:hideMark/>
          </w:tcPr>
          <w:p w14:paraId="19064ECF"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5 (33%)</w:t>
            </w:r>
          </w:p>
        </w:tc>
      </w:tr>
      <w:tr w:rsidR="005D00F7" w:rsidRPr="005D00F7" w14:paraId="6E9B3FEE" w14:textId="77777777" w:rsidTr="005776C8">
        <w:trPr>
          <w:trHeight w:val="57"/>
        </w:trPr>
        <w:tc>
          <w:tcPr>
            <w:tcW w:w="2879" w:type="dxa"/>
            <w:hideMark/>
          </w:tcPr>
          <w:p w14:paraId="7A62AC2B"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Cavan</w:t>
            </w:r>
          </w:p>
        </w:tc>
        <w:tc>
          <w:tcPr>
            <w:tcW w:w="2879" w:type="dxa"/>
            <w:hideMark/>
          </w:tcPr>
          <w:p w14:paraId="3673D998"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91 (46%)</w:t>
            </w:r>
          </w:p>
        </w:tc>
        <w:tc>
          <w:tcPr>
            <w:tcW w:w="2879" w:type="dxa"/>
            <w:hideMark/>
          </w:tcPr>
          <w:p w14:paraId="156F6C52"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107 (54%)</w:t>
            </w:r>
          </w:p>
        </w:tc>
      </w:tr>
      <w:tr w:rsidR="005D00F7" w:rsidRPr="005D00F7" w14:paraId="47C9B4F2" w14:textId="77777777" w:rsidTr="005776C8">
        <w:trPr>
          <w:trHeight w:val="57"/>
        </w:trPr>
        <w:tc>
          <w:tcPr>
            <w:tcW w:w="2879" w:type="dxa"/>
            <w:hideMark/>
          </w:tcPr>
          <w:p w14:paraId="54F08BDD"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Clare</w:t>
            </w:r>
          </w:p>
        </w:tc>
        <w:tc>
          <w:tcPr>
            <w:tcW w:w="2879" w:type="dxa"/>
            <w:hideMark/>
          </w:tcPr>
          <w:p w14:paraId="2B32879C"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128 (49%)</w:t>
            </w:r>
          </w:p>
        </w:tc>
        <w:tc>
          <w:tcPr>
            <w:tcW w:w="2879" w:type="dxa"/>
            <w:hideMark/>
          </w:tcPr>
          <w:p w14:paraId="4C893BD8"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132 (51%)</w:t>
            </w:r>
          </w:p>
        </w:tc>
      </w:tr>
      <w:tr w:rsidR="005D00F7" w:rsidRPr="005D00F7" w14:paraId="0DFFCC5B" w14:textId="77777777" w:rsidTr="005776C8">
        <w:trPr>
          <w:trHeight w:val="57"/>
        </w:trPr>
        <w:tc>
          <w:tcPr>
            <w:tcW w:w="2879" w:type="dxa"/>
            <w:hideMark/>
          </w:tcPr>
          <w:p w14:paraId="202F7BD6"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Cork</w:t>
            </w:r>
          </w:p>
        </w:tc>
        <w:tc>
          <w:tcPr>
            <w:tcW w:w="2879" w:type="dxa"/>
            <w:hideMark/>
          </w:tcPr>
          <w:p w14:paraId="58AE8500"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344 (59%)</w:t>
            </w:r>
          </w:p>
        </w:tc>
        <w:tc>
          <w:tcPr>
            <w:tcW w:w="2879" w:type="dxa"/>
            <w:hideMark/>
          </w:tcPr>
          <w:p w14:paraId="3A313D0C"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235 (41%)</w:t>
            </w:r>
          </w:p>
        </w:tc>
      </w:tr>
      <w:tr w:rsidR="005D00F7" w:rsidRPr="005D00F7" w14:paraId="468A0450" w14:textId="77777777" w:rsidTr="005776C8">
        <w:trPr>
          <w:trHeight w:val="57"/>
        </w:trPr>
        <w:tc>
          <w:tcPr>
            <w:tcW w:w="2879" w:type="dxa"/>
            <w:hideMark/>
          </w:tcPr>
          <w:p w14:paraId="294F6E1E"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Donegal</w:t>
            </w:r>
          </w:p>
        </w:tc>
        <w:tc>
          <w:tcPr>
            <w:tcW w:w="2879" w:type="dxa"/>
            <w:hideMark/>
          </w:tcPr>
          <w:p w14:paraId="67402B12"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21 (48%)</w:t>
            </w:r>
          </w:p>
        </w:tc>
        <w:tc>
          <w:tcPr>
            <w:tcW w:w="2879" w:type="dxa"/>
            <w:hideMark/>
          </w:tcPr>
          <w:p w14:paraId="23C137E5"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23 (52%)</w:t>
            </w:r>
          </w:p>
        </w:tc>
      </w:tr>
      <w:tr w:rsidR="005D00F7" w:rsidRPr="005D00F7" w14:paraId="2AAFFF2F" w14:textId="77777777" w:rsidTr="005776C8">
        <w:trPr>
          <w:trHeight w:val="57"/>
        </w:trPr>
        <w:tc>
          <w:tcPr>
            <w:tcW w:w="2879" w:type="dxa"/>
            <w:hideMark/>
          </w:tcPr>
          <w:p w14:paraId="37D44CC7"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Dublin</w:t>
            </w:r>
          </w:p>
        </w:tc>
        <w:tc>
          <w:tcPr>
            <w:tcW w:w="2879" w:type="dxa"/>
            <w:hideMark/>
          </w:tcPr>
          <w:p w14:paraId="66922E5B"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7 (64%)</w:t>
            </w:r>
          </w:p>
        </w:tc>
        <w:tc>
          <w:tcPr>
            <w:tcW w:w="2879" w:type="dxa"/>
            <w:hideMark/>
          </w:tcPr>
          <w:p w14:paraId="11093E84"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4 (36%)</w:t>
            </w:r>
          </w:p>
        </w:tc>
      </w:tr>
      <w:tr w:rsidR="005D00F7" w:rsidRPr="005D00F7" w14:paraId="387F7E6F" w14:textId="77777777" w:rsidTr="005776C8">
        <w:trPr>
          <w:trHeight w:val="57"/>
        </w:trPr>
        <w:tc>
          <w:tcPr>
            <w:tcW w:w="2879" w:type="dxa"/>
            <w:hideMark/>
          </w:tcPr>
          <w:p w14:paraId="3CDD6E83"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Galway</w:t>
            </w:r>
          </w:p>
        </w:tc>
        <w:tc>
          <w:tcPr>
            <w:tcW w:w="2879" w:type="dxa"/>
            <w:hideMark/>
          </w:tcPr>
          <w:p w14:paraId="15E57986"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186 (64%)</w:t>
            </w:r>
          </w:p>
        </w:tc>
        <w:tc>
          <w:tcPr>
            <w:tcW w:w="2879" w:type="dxa"/>
            <w:hideMark/>
          </w:tcPr>
          <w:p w14:paraId="1F73CCAB"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105 (36%)</w:t>
            </w:r>
          </w:p>
        </w:tc>
      </w:tr>
      <w:tr w:rsidR="005D00F7" w:rsidRPr="005D00F7" w14:paraId="3E4B8CAB" w14:textId="77777777" w:rsidTr="005776C8">
        <w:trPr>
          <w:trHeight w:val="57"/>
        </w:trPr>
        <w:tc>
          <w:tcPr>
            <w:tcW w:w="2879" w:type="dxa"/>
            <w:hideMark/>
          </w:tcPr>
          <w:p w14:paraId="0E2238A7"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Kerry</w:t>
            </w:r>
          </w:p>
        </w:tc>
        <w:tc>
          <w:tcPr>
            <w:tcW w:w="2879" w:type="dxa"/>
            <w:hideMark/>
          </w:tcPr>
          <w:p w14:paraId="51E4075A"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108 (50%)</w:t>
            </w:r>
          </w:p>
        </w:tc>
        <w:tc>
          <w:tcPr>
            <w:tcW w:w="2879" w:type="dxa"/>
            <w:hideMark/>
          </w:tcPr>
          <w:p w14:paraId="33FAF9BD"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110 (50%)</w:t>
            </w:r>
          </w:p>
        </w:tc>
      </w:tr>
      <w:tr w:rsidR="005D00F7" w:rsidRPr="005D00F7" w14:paraId="2766A77D" w14:textId="77777777" w:rsidTr="005776C8">
        <w:trPr>
          <w:trHeight w:val="57"/>
        </w:trPr>
        <w:tc>
          <w:tcPr>
            <w:tcW w:w="2879" w:type="dxa"/>
            <w:hideMark/>
          </w:tcPr>
          <w:p w14:paraId="7360611F"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Kildare</w:t>
            </w:r>
          </w:p>
        </w:tc>
        <w:tc>
          <w:tcPr>
            <w:tcW w:w="2879" w:type="dxa"/>
            <w:hideMark/>
          </w:tcPr>
          <w:p w14:paraId="537ADCC5"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17 (61%)</w:t>
            </w:r>
          </w:p>
        </w:tc>
        <w:tc>
          <w:tcPr>
            <w:tcW w:w="2879" w:type="dxa"/>
            <w:hideMark/>
          </w:tcPr>
          <w:p w14:paraId="2B744ACF"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11 (39%)</w:t>
            </w:r>
          </w:p>
        </w:tc>
      </w:tr>
      <w:tr w:rsidR="005D00F7" w:rsidRPr="005D00F7" w14:paraId="64E40D1B" w14:textId="77777777" w:rsidTr="005776C8">
        <w:trPr>
          <w:trHeight w:val="57"/>
        </w:trPr>
        <w:tc>
          <w:tcPr>
            <w:tcW w:w="2879" w:type="dxa"/>
            <w:hideMark/>
          </w:tcPr>
          <w:p w14:paraId="28343A68"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Kilkenny</w:t>
            </w:r>
          </w:p>
        </w:tc>
        <w:tc>
          <w:tcPr>
            <w:tcW w:w="2879" w:type="dxa"/>
            <w:hideMark/>
          </w:tcPr>
          <w:p w14:paraId="76B17302"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87 (73%)</w:t>
            </w:r>
          </w:p>
        </w:tc>
        <w:tc>
          <w:tcPr>
            <w:tcW w:w="2879" w:type="dxa"/>
            <w:hideMark/>
          </w:tcPr>
          <w:p w14:paraId="1095FBA8"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32 (27%)</w:t>
            </w:r>
          </w:p>
        </w:tc>
      </w:tr>
      <w:tr w:rsidR="005D00F7" w:rsidRPr="005D00F7" w14:paraId="4DE75A06" w14:textId="77777777" w:rsidTr="005776C8">
        <w:trPr>
          <w:trHeight w:val="57"/>
        </w:trPr>
        <w:tc>
          <w:tcPr>
            <w:tcW w:w="2879" w:type="dxa"/>
            <w:hideMark/>
          </w:tcPr>
          <w:p w14:paraId="1BD7C40A"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Laois</w:t>
            </w:r>
          </w:p>
        </w:tc>
        <w:tc>
          <w:tcPr>
            <w:tcW w:w="2879" w:type="dxa"/>
            <w:hideMark/>
          </w:tcPr>
          <w:p w14:paraId="3F887771"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52 (51%)</w:t>
            </w:r>
          </w:p>
        </w:tc>
        <w:tc>
          <w:tcPr>
            <w:tcW w:w="2879" w:type="dxa"/>
            <w:hideMark/>
          </w:tcPr>
          <w:p w14:paraId="715B12A6"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50 (49%)</w:t>
            </w:r>
          </w:p>
        </w:tc>
      </w:tr>
      <w:tr w:rsidR="005D00F7" w:rsidRPr="005D00F7" w14:paraId="686FCBDA" w14:textId="77777777" w:rsidTr="005776C8">
        <w:trPr>
          <w:trHeight w:val="57"/>
        </w:trPr>
        <w:tc>
          <w:tcPr>
            <w:tcW w:w="2879" w:type="dxa"/>
            <w:hideMark/>
          </w:tcPr>
          <w:p w14:paraId="3F756B6D"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Leitrim</w:t>
            </w:r>
          </w:p>
        </w:tc>
        <w:tc>
          <w:tcPr>
            <w:tcW w:w="2879" w:type="dxa"/>
            <w:hideMark/>
          </w:tcPr>
          <w:p w14:paraId="16A706DF"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18 (42%)</w:t>
            </w:r>
          </w:p>
        </w:tc>
        <w:tc>
          <w:tcPr>
            <w:tcW w:w="2879" w:type="dxa"/>
            <w:hideMark/>
          </w:tcPr>
          <w:p w14:paraId="20BF5D6C"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25 (58%)</w:t>
            </w:r>
          </w:p>
        </w:tc>
      </w:tr>
      <w:tr w:rsidR="005D00F7" w:rsidRPr="005D00F7" w14:paraId="4EDEA195" w14:textId="77777777" w:rsidTr="005776C8">
        <w:trPr>
          <w:trHeight w:val="57"/>
        </w:trPr>
        <w:tc>
          <w:tcPr>
            <w:tcW w:w="2879" w:type="dxa"/>
            <w:hideMark/>
          </w:tcPr>
          <w:p w14:paraId="23EC5F4F"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Limerick</w:t>
            </w:r>
          </w:p>
        </w:tc>
        <w:tc>
          <w:tcPr>
            <w:tcW w:w="2879" w:type="dxa"/>
            <w:hideMark/>
          </w:tcPr>
          <w:p w14:paraId="3E112FDE"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79 (72%)</w:t>
            </w:r>
          </w:p>
        </w:tc>
        <w:tc>
          <w:tcPr>
            <w:tcW w:w="2879" w:type="dxa"/>
            <w:hideMark/>
          </w:tcPr>
          <w:p w14:paraId="34662D25"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31 (28%)</w:t>
            </w:r>
          </w:p>
        </w:tc>
      </w:tr>
      <w:tr w:rsidR="005D00F7" w:rsidRPr="005D00F7" w14:paraId="651A6927" w14:textId="77777777" w:rsidTr="005776C8">
        <w:trPr>
          <w:trHeight w:val="57"/>
        </w:trPr>
        <w:tc>
          <w:tcPr>
            <w:tcW w:w="2879" w:type="dxa"/>
            <w:hideMark/>
          </w:tcPr>
          <w:p w14:paraId="4DE9B35C"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Longford</w:t>
            </w:r>
          </w:p>
        </w:tc>
        <w:tc>
          <w:tcPr>
            <w:tcW w:w="2879" w:type="dxa"/>
            <w:hideMark/>
          </w:tcPr>
          <w:p w14:paraId="1992AF49"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7 (23%)</w:t>
            </w:r>
          </w:p>
        </w:tc>
        <w:tc>
          <w:tcPr>
            <w:tcW w:w="2879" w:type="dxa"/>
            <w:hideMark/>
          </w:tcPr>
          <w:p w14:paraId="2B5B3559"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24 (77%)</w:t>
            </w:r>
          </w:p>
        </w:tc>
      </w:tr>
      <w:tr w:rsidR="005D00F7" w:rsidRPr="005D00F7" w14:paraId="64B96336" w14:textId="77777777" w:rsidTr="005776C8">
        <w:trPr>
          <w:trHeight w:val="57"/>
        </w:trPr>
        <w:tc>
          <w:tcPr>
            <w:tcW w:w="2879" w:type="dxa"/>
            <w:hideMark/>
          </w:tcPr>
          <w:p w14:paraId="4140E47F"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Louth</w:t>
            </w:r>
          </w:p>
        </w:tc>
        <w:tc>
          <w:tcPr>
            <w:tcW w:w="2879" w:type="dxa"/>
            <w:hideMark/>
          </w:tcPr>
          <w:p w14:paraId="718AA21E"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23 (61%)</w:t>
            </w:r>
          </w:p>
        </w:tc>
        <w:tc>
          <w:tcPr>
            <w:tcW w:w="2879" w:type="dxa"/>
            <w:hideMark/>
          </w:tcPr>
          <w:p w14:paraId="6E7A4BC3"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15 (39%)</w:t>
            </w:r>
          </w:p>
        </w:tc>
      </w:tr>
      <w:tr w:rsidR="005D00F7" w:rsidRPr="005D00F7" w14:paraId="5A8E2C4D" w14:textId="77777777" w:rsidTr="005776C8">
        <w:trPr>
          <w:trHeight w:val="57"/>
        </w:trPr>
        <w:tc>
          <w:tcPr>
            <w:tcW w:w="2879" w:type="dxa"/>
            <w:hideMark/>
          </w:tcPr>
          <w:p w14:paraId="371FF3B2"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Mayo</w:t>
            </w:r>
          </w:p>
        </w:tc>
        <w:tc>
          <w:tcPr>
            <w:tcW w:w="2879" w:type="dxa"/>
            <w:hideMark/>
          </w:tcPr>
          <w:p w14:paraId="5FD4CEC6"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40 (47%)</w:t>
            </w:r>
          </w:p>
        </w:tc>
        <w:tc>
          <w:tcPr>
            <w:tcW w:w="2879" w:type="dxa"/>
            <w:hideMark/>
          </w:tcPr>
          <w:p w14:paraId="020D7D57"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45 (53%)</w:t>
            </w:r>
          </w:p>
        </w:tc>
      </w:tr>
      <w:tr w:rsidR="005D00F7" w:rsidRPr="005D00F7" w14:paraId="696AA90D" w14:textId="77777777" w:rsidTr="005776C8">
        <w:trPr>
          <w:trHeight w:val="57"/>
        </w:trPr>
        <w:tc>
          <w:tcPr>
            <w:tcW w:w="2879" w:type="dxa"/>
            <w:hideMark/>
          </w:tcPr>
          <w:p w14:paraId="1B465A92"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Meath</w:t>
            </w:r>
          </w:p>
        </w:tc>
        <w:tc>
          <w:tcPr>
            <w:tcW w:w="2879" w:type="dxa"/>
            <w:hideMark/>
          </w:tcPr>
          <w:p w14:paraId="750D604A"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101 (63%)</w:t>
            </w:r>
          </w:p>
        </w:tc>
        <w:tc>
          <w:tcPr>
            <w:tcW w:w="2879" w:type="dxa"/>
            <w:hideMark/>
          </w:tcPr>
          <w:p w14:paraId="1D33DB24"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59 (37%)</w:t>
            </w:r>
          </w:p>
        </w:tc>
      </w:tr>
      <w:tr w:rsidR="005D00F7" w:rsidRPr="005D00F7" w14:paraId="27220F02" w14:textId="77777777" w:rsidTr="005776C8">
        <w:trPr>
          <w:trHeight w:val="57"/>
        </w:trPr>
        <w:tc>
          <w:tcPr>
            <w:tcW w:w="2879" w:type="dxa"/>
            <w:hideMark/>
          </w:tcPr>
          <w:p w14:paraId="3BE441AC"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Monaghan</w:t>
            </w:r>
          </w:p>
        </w:tc>
        <w:tc>
          <w:tcPr>
            <w:tcW w:w="2879" w:type="dxa"/>
            <w:hideMark/>
          </w:tcPr>
          <w:p w14:paraId="3EB8372E"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189 (69%)</w:t>
            </w:r>
          </w:p>
        </w:tc>
        <w:tc>
          <w:tcPr>
            <w:tcW w:w="2879" w:type="dxa"/>
            <w:hideMark/>
          </w:tcPr>
          <w:p w14:paraId="3C29B56E"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83 (31%)</w:t>
            </w:r>
          </w:p>
        </w:tc>
      </w:tr>
      <w:tr w:rsidR="005D00F7" w:rsidRPr="005D00F7" w14:paraId="111DE8B0" w14:textId="77777777" w:rsidTr="005776C8">
        <w:trPr>
          <w:trHeight w:val="57"/>
        </w:trPr>
        <w:tc>
          <w:tcPr>
            <w:tcW w:w="2879" w:type="dxa"/>
            <w:hideMark/>
          </w:tcPr>
          <w:p w14:paraId="60A69598"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Offaly</w:t>
            </w:r>
          </w:p>
        </w:tc>
        <w:tc>
          <w:tcPr>
            <w:tcW w:w="2879" w:type="dxa"/>
            <w:hideMark/>
          </w:tcPr>
          <w:p w14:paraId="71C5C833"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87 (66%)</w:t>
            </w:r>
          </w:p>
        </w:tc>
        <w:tc>
          <w:tcPr>
            <w:tcW w:w="2879" w:type="dxa"/>
            <w:hideMark/>
          </w:tcPr>
          <w:p w14:paraId="4B9E4084"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44 (34%)</w:t>
            </w:r>
          </w:p>
        </w:tc>
      </w:tr>
      <w:tr w:rsidR="005D00F7" w:rsidRPr="005D00F7" w14:paraId="283FB861" w14:textId="77777777" w:rsidTr="005776C8">
        <w:trPr>
          <w:trHeight w:val="57"/>
        </w:trPr>
        <w:tc>
          <w:tcPr>
            <w:tcW w:w="2879" w:type="dxa"/>
            <w:hideMark/>
          </w:tcPr>
          <w:p w14:paraId="43746E85"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Roscommon</w:t>
            </w:r>
          </w:p>
        </w:tc>
        <w:tc>
          <w:tcPr>
            <w:tcW w:w="2879" w:type="dxa"/>
            <w:hideMark/>
          </w:tcPr>
          <w:p w14:paraId="64C0C233"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36 (43%)</w:t>
            </w:r>
          </w:p>
        </w:tc>
        <w:tc>
          <w:tcPr>
            <w:tcW w:w="2879" w:type="dxa"/>
            <w:hideMark/>
          </w:tcPr>
          <w:p w14:paraId="51E70F38"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48 (57%)</w:t>
            </w:r>
          </w:p>
        </w:tc>
      </w:tr>
      <w:tr w:rsidR="005D00F7" w:rsidRPr="005D00F7" w14:paraId="3E4EA27E" w14:textId="77777777" w:rsidTr="005776C8">
        <w:trPr>
          <w:trHeight w:val="57"/>
        </w:trPr>
        <w:tc>
          <w:tcPr>
            <w:tcW w:w="2879" w:type="dxa"/>
            <w:hideMark/>
          </w:tcPr>
          <w:p w14:paraId="2F911D55"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Sligo</w:t>
            </w:r>
          </w:p>
        </w:tc>
        <w:tc>
          <w:tcPr>
            <w:tcW w:w="2879" w:type="dxa"/>
            <w:hideMark/>
          </w:tcPr>
          <w:p w14:paraId="6D1F1347"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23 (29%)</w:t>
            </w:r>
          </w:p>
        </w:tc>
        <w:tc>
          <w:tcPr>
            <w:tcW w:w="2879" w:type="dxa"/>
            <w:hideMark/>
          </w:tcPr>
          <w:p w14:paraId="5C337CFB"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55 (71%)</w:t>
            </w:r>
          </w:p>
        </w:tc>
      </w:tr>
      <w:tr w:rsidR="005D00F7" w:rsidRPr="005D00F7" w14:paraId="68C60793" w14:textId="77777777" w:rsidTr="005776C8">
        <w:trPr>
          <w:trHeight w:val="57"/>
        </w:trPr>
        <w:tc>
          <w:tcPr>
            <w:tcW w:w="2879" w:type="dxa"/>
            <w:hideMark/>
          </w:tcPr>
          <w:p w14:paraId="69BC9888"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Tipperary</w:t>
            </w:r>
          </w:p>
        </w:tc>
        <w:tc>
          <w:tcPr>
            <w:tcW w:w="2879" w:type="dxa"/>
            <w:hideMark/>
          </w:tcPr>
          <w:p w14:paraId="033494AB"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184 (68%)</w:t>
            </w:r>
          </w:p>
        </w:tc>
        <w:tc>
          <w:tcPr>
            <w:tcW w:w="2879" w:type="dxa"/>
            <w:hideMark/>
          </w:tcPr>
          <w:p w14:paraId="13380FE2"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88 (32%)</w:t>
            </w:r>
          </w:p>
        </w:tc>
      </w:tr>
      <w:tr w:rsidR="005D00F7" w:rsidRPr="005D00F7" w14:paraId="0FFB6C8A" w14:textId="77777777" w:rsidTr="005776C8">
        <w:trPr>
          <w:trHeight w:val="57"/>
        </w:trPr>
        <w:tc>
          <w:tcPr>
            <w:tcW w:w="2879" w:type="dxa"/>
            <w:hideMark/>
          </w:tcPr>
          <w:p w14:paraId="101D8545"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Waterford</w:t>
            </w:r>
          </w:p>
        </w:tc>
        <w:tc>
          <w:tcPr>
            <w:tcW w:w="2879" w:type="dxa"/>
            <w:hideMark/>
          </w:tcPr>
          <w:p w14:paraId="578E6D00"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28 (60%)</w:t>
            </w:r>
          </w:p>
        </w:tc>
        <w:tc>
          <w:tcPr>
            <w:tcW w:w="2879" w:type="dxa"/>
            <w:hideMark/>
          </w:tcPr>
          <w:p w14:paraId="0DF8770A"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19 (40%)</w:t>
            </w:r>
          </w:p>
        </w:tc>
      </w:tr>
      <w:tr w:rsidR="005D00F7" w:rsidRPr="005D00F7" w14:paraId="3C34CCCF" w14:textId="77777777" w:rsidTr="005776C8">
        <w:trPr>
          <w:trHeight w:val="57"/>
        </w:trPr>
        <w:tc>
          <w:tcPr>
            <w:tcW w:w="2879" w:type="dxa"/>
            <w:hideMark/>
          </w:tcPr>
          <w:p w14:paraId="3B7F9C8F"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Westmeath</w:t>
            </w:r>
          </w:p>
        </w:tc>
        <w:tc>
          <w:tcPr>
            <w:tcW w:w="2879" w:type="dxa"/>
            <w:hideMark/>
          </w:tcPr>
          <w:p w14:paraId="29A5FD28"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173 (71%)</w:t>
            </w:r>
          </w:p>
        </w:tc>
        <w:tc>
          <w:tcPr>
            <w:tcW w:w="2879" w:type="dxa"/>
            <w:hideMark/>
          </w:tcPr>
          <w:p w14:paraId="5FEDADE3"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72 (29%)</w:t>
            </w:r>
          </w:p>
        </w:tc>
      </w:tr>
      <w:tr w:rsidR="005D00F7" w:rsidRPr="005D00F7" w14:paraId="4C2FCA5B" w14:textId="77777777" w:rsidTr="005776C8">
        <w:trPr>
          <w:trHeight w:val="57"/>
        </w:trPr>
        <w:tc>
          <w:tcPr>
            <w:tcW w:w="2879" w:type="dxa"/>
            <w:hideMark/>
          </w:tcPr>
          <w:p w14:paraId="50A1F7E4"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Wexford</w:t>
            </w:r>
          </w:p>
        </w:tc>
        <w:tc>
          <w:tcPr>
            <w:tcW w:w="2879" w:type="dxa"/>
            <w:hideMark/>
          </w:tcPr>
          <w:p w14:paraId="70AFC5BC"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80 (68%)</w:t>
            </w:r>
          </w:p>
        </w:tc>
        <w:tc>
          <w:tcPr>
            <w:tcW w:w="2879" w:type="dxa"/>
            <w:hideMark/>
          </w:tcPr>
          <w:p w14:paraId="2241AA52"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38 (32%)</w:t>
            </w:r>
          </w:p>
        </w:tc>
      </w:tr>
      <w:tr w:rsidR="005D00F7" w:rsidRPr="005D00F7" w14:paraId="48C053D3" w14:textId="77777777" w:rsidTr="005776C8">
        <w:trPr>
          <w:trHeight w:val="57"/>
        </w:trPr>
        <w:tc>
          <w:tcPr>
            <w:tcW w:w="2879" w:type="dxa"/>
            <w:hideMark/>
          </w:tcPr>
          <w:p w14:paraId="6072D23C" w14:textId="77777777" w:rsidR="005D00F7" w:rsidRPr="005D00F7" w:rsidRDefault="005D00F7" w:rsidP="005D00F7">
            <w:pPr>
              <w:spacing w:line="240" w:lineRule="auto"/>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    Wicklow</w:t>
            </w:r>
          </w:p>
        </w:tc>
        <w:tc>
          <w:tcPr>
            <w:tcW w:w="2879" w:type="dxa"/>
            <w:hideMark/>
          </w:tcPr>
          <w:p w14:paraId="2FF82515"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77 (60%)</w:t>
            </w:r>
          </w:p>
        </w:tc>
        <w:tc>
          <w:tcPr>
            <w:tcW w:w="2879" w:type="dxa"/>
            <w:hideMark/>
          </w:tcPr>
          <w:p w14:paraId="5DB375F0" w14:textId="77777777" w:rsidR="005D00F7" w:rsidRPr="005D00F7" w:rsidRDefault="005D00F7" w:rsidP="005D00F7">
            <w:pPr>
              <w:spacing w:line="240" w:lineRule="auto"/>
              <w:jc w:val="center"/>
              <w:rPr>
                <w:rFonts w:ascii="Calibri" w:eastAsia="Times New Roman" w:hAnsi="Calibri" w:cs="Calibri"/>
                <w:color w:val="000000"/>
                <w:kern w:val="0"/>
                <w:sz w:val="20"/>
                <w:szCs w:val="20"/>
                <w:lang w:eastAsia="en-IE"/>
                <w14:ligatures w14:val="none"/>
              </w:rPr>
            </w:pPr>
            <w:r w:rsidRPr="005D00F7">
              <w:rPr>
                <w:rFonts w:ascii="Calibri" w:eastAsia="Times New Roman" w:hAnsi="Calibri" w:cs="Calibri"/>
                <w:color w:val="000000"/>
                <w:kern w:val="0"/>
                <w:sz w:val="20"/>
                <w:szCs w:val="20"/>
                <w:lang w:val="en-US" w:eastAsia="en-IE"/>
                <w14:ligatures w14:val="none"/>
              </w:rPr>
              <w:t>51 (40%)</w:t>
            </w:r>
          </w:p>
        </w:tc>
      </w:tr>
      <w:tr w:rsidR="005D00F7" w:rsidRPr="005D00F7" w14:paraId="1E370CC0" w14:textId="77777777" w:rsidTr="005776C8">
        <w:trPr>
          <w:trHeight w:val="300"/>
        </w:trPr>
        <w:tc>
          <w:tcPr>
            <w:tcW w:w="8637" w:type="dxa"/>
            <w:gridSpan w:val="3"/>
            <w:hideMark/>
          </w:tcPr>
          <w:p w14:paraId="155CA51D" w14:textId="77777777" w:rsidR="005D00F7" w:rsidRPr="005D00F7" w:rsidRDefault="005D00F7" w:rsidP="005D00F7">
            <w:pPr>
              <w:spacing w:line="240" w:lineRule="auto"/>
              <w:rPr>
                <w:rFonts w:ascii="Calibri" w:eastAsia="Times New Roman" w:hAnsi="Calibri" w:cs="Calibri"/>
                <w:i/>
                <w:iCs/>
                <w:color w:val="000000"/>
                <w:kern w:val="0"/>
                <w:sz w:val="20"/>
                <w:szCs w:val="20"/>
                <w:lang w:eastAsia="en-IE"/>
                <w14:ligatures w14:val="none"/>
              </w:rPr>
            </w:pPr>
            <w:r w:rsidRPr="005D00F7">
              <w:rPr>
                <w:rFonts w:ascii="Calibri" w:eastAsia="Times New Roman" w:hAnsi="Calibri" w:cs="Calibri"/>
                <w:i/>
                <w:iCs/>
                <w:color w:val="000000"/>
                <w:kern w:val="0"/>
                <w:sz w:val="20"/>
                <w:szCs w:val="20"/>
                <w:vertAlign w:val="superscript"/>
                <w:lang w:val="en-US" w:eastAsia="en-IE"/>
                <w14:ligatures w14:val="none"/>
              </w:rPr>
              <w:t>1</w:t>
            </w:r>
            <w:r w:rsidRPr="005D00F7">
              <w:rPr>
                <w:rFonts w:ascii="Calibri" w:eastAsia="Times New Roman" w:hAnsi="Calibri" w:cs="Calibri"/>
                <w:color w:val="000000"/>
                <w:kern w:val="0"/>
                <w:sz w:val="20"/>
                <w:szCs w:val="20"/>
                <w:lang w:val="en-US" w:eastAsia="en-IE"/>
                <w14:ligatures w14:val="none"/>
              </w:rPr>
              <w:t>n (%)</w:t>
            </w:r>
          </w:p>
        </w:tc>
      </w:tr>
      <w:bookmarkEnd w:id="2"/>
    </w:tbl>
    <w:p w14:paraId="3BBC88E4" w14:textId="2E3E20BA" w:rsidR="003402AD" w:rsidRPr="005D00F7" w:rsidRDefault="003402AD" w:rsidP="005D00F7">
      <w:pPr>
        <w:spacing w:before="100" w:after="100" w:line="240" w:lineRule="auto"/>
        <w:ind w:left="100" w:right="100"/>
        <w:rPr>
          <w:rFonts w:ascii="Arial" w:eastAsia="Arial" w:hAnsi="Arial" w:cs="Arial"/>
          <w:color w:val="000000"/>
        </w:rPr>
      </w:pPr>
    </w:p>
    <w:p w14:paraId="207A41F6" w14:textId="77777777" w:rsidR="003402AD" w:rsidRDefault="003402AD">
      <w:pPr>
        <w:rPr>
          <w:b/>
          <w:bCs/>
        </w:rPr>
      </w:pPr>
      <w:r>
        <w:rPr>
          <w:b/>
          <w:bCs/>
        </w:rPr>
        <w:br w:type="page"/>
      </w:r>
    </w:p>
    <w:p w14:paraId="4971CFCF" w14:textId="77777777" w:rsidR="009066A3" w:rsidRDefault="009066A3" w:rsidP="007E7D62">
      <w:pPr>
        <w:rPr>
          <w:b/>
          <w:bCs/>
        </w:rPr>
      </w:pPr>
    </w:p>
    <w:p w14:paraId="7DD18984" w14:textId="7A35F5E1" w:rsidR="003402AD" w:rsidRDefault="003402AD" w:rsidP="003402AD">
      <w:pPr>
        <w:rPr>
          <w:b/>
          <w:bCs/>
        </w:rPr>
      </w:pPr>
      <w:r>
        <w:rPr>
          <w:b/>
          <w:bCs/>
        </w:rPr>
        <w:t xml:space="preserve">Supplementary table </w:t>
      </w:r>
      <w:r w:rsidR="00AB4E36">
        <w:rPr>
          <w:b/>
          <w:bCs/>
        </w:rPr>
        <w:t>3</w:t>
      </w:r>
      <w:r w:rsidR="00107CC5">
        <w:rPr>
          <w:b/>
          <w:bCs/>
        </w:rPr>
        <w:t>:</w:t>
      </w:r>
      <w:r>
        <w:rPr>
          <w:b/>
          <w:bCs/>
        </w:rPr>
        <w:t xml:space="preserve"> Comparison of three final logistic regression models. AIC = Akaike’s information criterion.  ECI = estimated calibration index. We selected the model with the lowest ECI.</w:t>
      </w:r>
    </w:p>
    <w:tbl>
      <w:tblPr>
        <w:tblStyle w:val="TableGrid"/>
        <w:tblW w:w="9390" w:type="dxa"/>
        <w:tblLook w:val="04A0" w:firstRow="1" w:lastRow="0" w:firstColumn="1" w:lastColumn="0" w:noHBand="0" w:noVBand="1"/>
      </w:tblPr>
      <w:tblGrid>
        <w:gridCol w:w="5147"/>
        <w:gridCol w:w="1168"/>
        <w:gridCol w:w="1456"/>
        <w:gridCol w:w="1654"/>
        <w:gridCol w:w="39"/>
      </w:tblGrid>
      <w:tr w:rsidR="003402AD" w:rsidRPr="00DB081C" w14:paraId="4EF6E4FE" w14:textId="77777777" w:rsidTr="00D019D9">
        <w:trPr>
          <w:trHeight w:val="300"/>
        </w:trPr>
        <w:tc>
          <w:tcPr>
            <w:tcW w:w="5147" w:type="dxa"/>
            <w:noWrap/>
            <w:hideMark/>
          </w:tcPr>
          <w:p w14:paraId="6A958489" w14:textId="77777777" w:rsidR="003402AD" w:rsidRPr="00D019D9" w:rsidRDefault="003402AD" w:rsidP="00DB081C">
            <w:pPr>
              <w:spacing w:before="100" w:after="100" w:line="240" w:lineRule="auto"/>
              <w:ind w:left="100" w:right="100"/>
              <w:rPr>
                <w:rFonts w:ascii="Arial" w:eastAsia="Arial" w:hAnsi="Arial" w:cs="Arial"/>
                <w:b/>
                <w:bCs/>
                <w:color w:val="000000"/>
              </w:rPr>
            </w:pPr>
            <w:r w:rsidRPr="00D019D9">
              <w:rPr>
                <w:rFonts w:ascii="Arial" w:eastAsia="Arial" w:hAnsi="Arial" w:cs="Arial"/>
                <w:b/>
                <w:bCs/>
                <w:color w:val="000000"/>
              </w:rPr>
              <w:t>Model</w:t>
            </w:r>
          </w:p>
        </w:tc>
        <w:tc>
          <w:tcPr>
            <w:tcW w:w="1168" w:type="dxa"/>
            <w:noWrap/>
            <w:hideMark/>
          </w:tcPr>
          <w:p w14:paraId="050A7814" w14:textId="77777777" w:rsidR="003402AD" w:rsidRPr="00D019D9" w:rsidRDefault="003402AD" w:rsidP="00DB081C">
            <w:pPr>
              <w:spacing w:before="100" w:after="100" w:line="240" w:lineRule="auto"/>
              <w:ind w:left="100" w:right="100"/>
              <w:rPr>
                <w:rFonts w:ascii="Arial" w:eastAsia="Arial" w:hAnsi="Arial" w:cs="Arial"/>
                <w:b/>
                <w:bCs/>
                <w:color w:val="000000"/>
                <w:sz w:val="22"/>
              </w:rPr>
            </w:pPr>
            <w:r w:rsidRPr="00D019D9">
              <w:rPr>
                <w:rFonts w:ascii="Arial" w:eastAsia="Arial" w:hAnsi="Arial" w:cs="Arial"/>
                <w:b/>
                <w:bCs/>
                <w:color w:val="000000"/>
                <w:sz w:val="22"/>
              </w:rPr>
              <w:t>AIC</w:t>
            </w:r>
          </w:p>
        </w:tc>
        <w:tc>
          <w:tcPr>
            <w:tcW w:w="1382" w:type="dxa"/>
            <w:noWrap/>
            <w:hideMark/>
          </w:tcPr>
          <w:p w14:paraId="7DAD57DA" w14:textId="77777777" w:rsidR="003402AD" w:rsidRPr="00D019D9" w:rsidRDefault="003402AD" w:rsidP="00DB081C">
            <w:pPr>
              <w:spacing w:before="100" w:after="100" w:line="240" w:lineRule="auto"/>
              <w:ind w:left="100" w:right="100"/>
              <w:rPr>
                <w:rFonts w:ascii="Arial" w:eastAsia="Arial" w:hAnsi="Arial" w:cs="Arial"/>
                <w:b/>
                <w:bCs/>
                <w:color w:val="000000"/>
                <w:sz w:val="22"/>
              </w:rPr>
            </w:pPr>
            <w:r w:rsidRPr="00D019D9">
              <w:rPr>
                <w:rFonts w:ascii="Arial" w:eastAsia="Arial" w:hAnsi="Arial" w:cs="Arial"/>
                <w:b/>
                <w:bCs/>
                <w:color w:val="000000"/>
                <w:sz w:val="22"/>
              </w:rPr>
              <w:t>Corrected ECI</w:t>
            </w:r>
          </w:p>
        </w:tc>
        <w:tc>
          <w:tcPr>
            <w:tcW w:w="1693" w:type="dxa"/>
            <w:gridSpan w:val="2"/>
            <w:noWrap/>
            <w:hideMark/>
          </w:tcPr>
          <w:p w14:paraId="7E10360F" w14:textId="77777777" w:rsidR="003402AD" w:rsidRPr="00D019D9" w:rsidRDefault="003402AD" w:rsidP="00DB081C">
            <w:pPr>
              <w:spacing w:before="100" w:after="100" w:line="240" w:lineRule="auto"/>
              <w:ind w:left="100" w:right="100"/>
              <w:rPr>
                <w:rFonts w:ascii="Arial" w:eastAsia="Arial" w:hAnsi="Arial" w:cs="Arial"/>
                <w:b/>
                <w:bCs/>
                <w:color w:val="000000"/>
                <w:sz w:val="22"/>
              </w:rPr>
            </w:pPr>
            <w:r w:rsidRPr="00D019D9">
              <w:rPr>
                <w:rFonts w:ascii="Arial" w:eastAsia="Arial" w:hAnsi="Arial" w:cs="Arial"/>
                <w:b/>
                <w:bCs/>
                <w:color w:val="000000"/>
                <w:sz w:val="22"/>
              </w:rPr>
              <w:t xml:space="preserve">Corrected </w:t>
            </w:r>
            <w:proofErr w:type="spellStart"/>
            <w:r w:rsidRPr="00D019D9">
              <w:rPr>
                <w:rFonts w:ascii="Arial" w:eastAsia="Arial" w:hAnsi="Arial" w:cs="Arial"/>
                <w:b/>
                <w:bCs/>
                <w:color w:val="000000"/>
                <w:sz w:val="22"/>
              </w:rPr>
              <w:t>Somer’s</w:t>
            </w:r>
            <w:proofErr w:type="spellEnd"/>
            <w:r w:rsidRPr="00D019D9">
              <w:rPr>
                <w:rFonts w:ascii="Arial" w:eastAsia="Arial" w:hAnsi="Arial" w:cs="Arial"/>
                <w:b/>
                <w:bCs/>
                <w:color w:val="000000"/>
                <w:sz w:val="22"/>
              </w:rPr>
              <w:t xml:space="preserve"> D</w:t>
            </w:r>
          </w:p>
        </w:tc>
      </w:tr>
      <w:tr w:rsidR="003402AD" w:rsidRPr="00DB081C" w14:paraId="0EF920C2" w14:textId="77777777" w:rsidTr="00D019D9">
        <w:trPr>
          <w:gridAfter w:val="1"/>
          <w:wAfter w:w="39" w:type="dxa"/>
          <w:trHeight w:val="300"/>
        </w:trPr>
        <w:tc>
          <w:tcPr>
            <w:tcW w:w="5147" w:type="dxa"/>
            <w:noWrap/>
          </w:tcPr>
          <w:p w14:paraId="70BBD4BD" w14:textId="3A1F9B6F" w:rsidR="003402AD" w:rsidRPr="00DB081C" w:rsidRDefault="003402AD" w:rsidP="00DB081C">
            <w:pPr>
              <w:spacing w:before="100" w:after="100" w:line="240" w:lineRule="auto"/>
              <w:ind w:left="100" w:right="100"/>
              <w:rPr>
                <w:rFonts w:ascii="Arial" w:eastAsia="Arial" w:hAnsi="Arial" w:cs="Arial"/>
                <w:color w:val="000000"/>
              </w:rPr>
            </w:pPr>
            <w:r w:rsidRPr="00DB081C">
              <w:rPr>
                <w:rFonts w:ascii="Arial" w:eastAsia="Arial" w:hAnsi="Arial" w:cs="Arial"/>
                <w:color w:val="000000"/>
              </w:rPr>
              <w:t>Year end b</w:t>
            </w:r>
            <w:r w:rsidR="00D019D9">
              <w:rPr>
                <w:rFonts w:ascii="Arial" w:eastAsia="Arial" w:hAnsi="Arial" w:cs="Arial"/>
                <w:color w:val="000000"/>
              </w:rPr>
              <w:t>reak</w:t>
            </w:r>
            <w:r w:rsidRPr="00DB081C">
              <w:rPr>
                <w:rFonts w:ascii="Arial" w:eastAsia="Arial" w:hAnsi="Arial" w:cs="Arial"/>
                <w:color w:val="000000"/>
              </w:rPr>
              <w:t>d</w:t>
            </w:r>
            <w:r w:rsidR="00D019D9">
              <w:rPr>
                <w:rFonts w:ascii="Arial" w:eastAsia="Arial" w:hAnsi="Arial" w:cs="Arial"/>
                <w:color w:val="000000"/>
              </w:rPr>
              <w:t>own</w:t>
            </w:r>
            <w:r w:rsidRPr="00DB081C">
              <w:rPr>
                <w:rFonts w:ascii="Arial" w:eastAsia="Arial" w:hAnsi="Arial" w:cs="Arial"/>
                <w:color w:val="000000"/>
              </w:rPr>
              <w:t xml:space="preserve"> category</w:t>
            </w:r>
            <w:r w:rsidR="00D019D9">
              <w:rPr>
                <w:rFonts w:ascii="Arial" w:eastAsia="Arial" w:hAnsi="Arial" w:cs="Arial"/>
                <w:color w:val="000000"/>
              </w:rPr>
              <w:t xml:space="preserve"> </w:t>
            </w:r>
            <w:r w:rsidRPr="00DB081C">
              <w:rPr>
                <w:rFonts w:ascii="Arial" w:eastAsia="Arial" w:hAnsi="Arial" w:cs="Arial"/>
                <w:color w:val="000000"/>
              </w:rPr>
              <w:t xml:space="preserve">+ county + log herd size + herd type + log skin case count + count previous </w:t>
            </w:r>
            <w:r w:rsidR="00240232" w:rsidRPr="00DB081C">
              <w:rPr>
                <w:rFonts w:ascii="Arial" w:eastAsia="Arial" w:hAnsi="Arial" w:cs="Arial"/>
                <w:color w:val="000000"/>
              </w:rPr>
              <w:t>interferon-γ</w:t>
            </w:r>
            <w:r w:rsidRPr="00DB081C">
              <w:rPr>
                <w:rFonts w:ascii="Arial" w:eastAsia="Arial" w:hAnsi="Arial" w:cs="Arial"/>
                <w:color w:val="000000"/>
              </w:rPr>
              <w:t xml:space="preserve"> test in same b</w:t>
            </w:r>
            <w:r w:rsidR="0084221F">
              <w:rPr>
                <w:rFonts w:ascii="Arial" w:eastAsia="Arial" w:hAnsi="Arial" w:cs="Arial"/>
                <w:color w:val="000000"/>
              </w:rPr>
              <w:t>reakdown</w:t>
            </w:r>
          </w:p>
        </w:tc>
        <w:tc>
          <w:tcPr>
            <w:tcW w:w="1168" w:type="dxa"/>
            <w:noWrap/>
          </w:tcPr>
          <w:p w14:paraId="70DD4926" w14:textId="77777777" w:rsidR="003402AD" w:rsidRPr="00DB081C" w:rsidRDefault="003402AD" w:rsidP="00DB081C">
            <w:pPr>
              <w:spacing w:before="100" w:after="100" w:line="240" w:lineRule="auto"/>
              <w:ind w:left="100" w:right="100"/>
              <w:rPr>
                <w:rFonts w:ascii="Arial" w:eastAsia="Arial" w:hAnsi="Arial" w:cs="Arial"/>
                <w:color w:val="000000"/>
              </w:rPr>
            </w:pPr>
            <w:r w:rsidRPr="00DB081C">
              <w:rPr>
                <w:rFonts w:ascii="Arial" w:eastAsia="Arial" w:hAnsi="Arial" w:cs="Arial"/>
                <w:color w:val="000000"/>
              </w:rPr>
              <w:t>3939</w:t>
            </w:r>
          </w:p>
        </w:tc>
        <w:tc>
          <w:tcPr>
            <w:tcW w:w="1382" w:type="dxa"/>
            <w:noWrap/>
          </w:tcPr>
          <w:p w14:paraId="744C259F" w14:textId="77777777" w:rsidR="003402AD" w:rsidRPr="00DB081C" w:rsidRDefault="003402AD" w:rsidP="00DB081C">
            <w:pPr>
              <w:spacing w:before="100" w:after="100" w:line="240" w:lineRule="auto"/>
              <w:ind w:left="100" w:right="100"/>
              <w:rPr>
                <w:rFonts w:ascii="Arial" w:eastAsia="Arial" w:hAnsi="Arial" w:cs="Arial"/>
                <w:color w:val="000000"/>
              </w:rPr>
            </w:pPr>
            <w:r w:rsidRPr="00DB081C">
              <w:rPr>
                <w:rFonts w:ascii="Arial" w:eastAsia="Arial" w:hAnsi="Arial" w:cs="Arial"/>
                <w:color w:val="000000"/>
              </w:rPr>
              <w:t>0.11</w:t>
            </w:r>
          </w:p>
        </w:tc>
        <w:tc>
          <w:tcPr>
            <w:tcW w:w="1654" w:type="dxa"/>
            <w:noWrap/>
          </w:tcPr>
          <w:p w14:paraId="284C377B" w14:textId="77777777" w:rsidR="003402AD" w:rsidRPr="00DB081C" w:rsidRDefault="003402AD" w:rsidP="00DB081C">
            <w:pPr>
              <w:spacing w:before="100" w:after="100" w:line="240" w:lineRule="auto"/>
              <w:ind w:left="100" w:right="100"/>
              <w:rPr>
                <w:rFonts w:ascii="Arial" w:eastAsia="Arial" w:hAnsi="Arial" w:cs="Arial"/>
                <w:color w:val="000000"/>
              </w:rPr>
            </w:pPr>
            <w:r w:rsidRPr="00DB081C">
              <w:rPr>
                <w:rFonts w:ascii="Arial" w:eastAsia="Arial" w:hAnsi="Arial" w:cs="Arial"/>
                <w:color w:val="000000"/>
              </w:rPr>
              <w:t>0.61</w:t>
            </w:r>
          </w:p>
        </w:tc>
      </w:tr>
      <w:tr w:rsidR="003402AD" w:rsidRPr="00DB081C" w14:paraId="79709B78" w14:textId="77777777" w:rsidTr="00D019D9">
        <w:trPr>
          <w:gridAfter w:val="1"/>
          <w:wAfter w:w="39" w:type="dxa"/>
          <w:trHeight w:val="300"/>
        </w:trPr>
        <w:tc>
          <w:tcPr>
            <w:tcW w:w="5147" w:type="dxa"/>
            <w:noWrap/>
          </w:tcPr>
          <w:p w14:paraId="066A795D" w14:textId="72C37709" w:rsidR="003402AD" w:rsidRPr="00DB081C" w:rsidRDefault="003402AD" w:rsidP="00DB081C">
            <w:pPr>
              <w:spacing w:before="100" w:after="100" w:line="240" w:lineRule="auto"/>
              <w:ind w:left="100" w:right="100"/>
              <w:rPr>
                <w:rFonts w:ascii="Arial" w:eastAsia="Arial" w:hAnsi="Arial" w:cs="Arial"/>
                <w:color w:val="000000"/>
              </w:rPr>
            </w:pPr>
            <w:r w:rsidRPr="00DB081C">
              <w:rPr>
                <w:rFonts w:ascii="Arial" w:eastAsia="Arial" w:hAnsi="Arial" w:cs="Arial"/>
                <w:color w:val="000000"/>
              </w:rPr>
              <w:t>Year end b</w:t>
            </w:r>
            <w:r w:rsidR="00D019D9">
              <w:rPr>
                <w:rFonts w:ascii="Arial" w:eastAsia="Arial" w:hAnsi="Arial" w:cs="Arial"/>
                <w:color w:val="000000"/>
              </w:rPr>
              <w:t>reak</w:t>
            </w:r>
            <w:r w:rsidRPr="00DB081C">
              <w:rPr>
                <w:rFonts w:ascii="Arial" w:eastAsia="Arial" w:hAnsi="Arial" w:cs="Arial"/>
                <w:color w:val="000000"/>
              </w:rPr>
              <w:t>d</w:t>
            </w:r>
            <w:r w:rsidR="00D019D9">
              <w:rPr>
                <w:rFonts w:ascii="Arial" w:eastAsia="Arial" w:hAnsi="Arial" w:cs="Arial"/>
                <w:color w:val="000000"/>
              </w:rPr>
              <w:t>own</w:t>
            </w:r>
            <w:r w:rsidRPr="00DB081C">
              <w:rPr>
                <w:rFonts w:ascii="Arial" w:eastAsia="Arial" w:hAnsi="Arial" w:cs="Arial"/>
                <w:color w:val="000000"/>
              </w:rPr>
              <w:t xml:space="preserve"> category + county + herd size category + herd type + binned skin case count + count previous </w:t>
            </w:r>
            <w:r w:rsidR="00240232" w:rsidRPr="00DB081C">
              <w:rPr>
                <w:rFonts w:ascii="Arial" w:eastAsia="Arial" w:hAnsi="Arial" w:cs="Arial"/>
                <w:color w:val="000000"/>
              </w:rPr>
              <w:t>interferon-γ</w:t>
            </w:r>
            <w:r w:rsidRPr="00DB081C">
              <w:rPr>
                <w:rFonts w:ascii="Arial" w:eastAsia="Arial" w:hAnsi="Arial" w:cs="Arial"/>
                <w:color w:val="000000"/>
              </w:rPr>
              <w:t xml:space="preserve"> test in same b</w:t>
            </w:r>
            <w:r w:rsidR="0084221F">
              <w:rPr>
                <w:rFonts w:ascii="Arial" w:eastAsia="Arial" w:hAnsi="Arial" w:cs="Arial"/>
                <w:color w:val="000000"/>
              </w:rPr>
              <w:t>reakdown</w:t>
            </w:r>
          </w:p>
        </w:tc>
        <w:tc>
          <w:tcPr>
            <w:tcW w:w="1168" w:type="dxa"/>
            <w:noWrap/>
          </w:tcPr>
          <w:p w14:paraId="3DBE91D1" w14:textId="77777777" w:rsidR="003402AD" w:rsidRPr="00DB081C" w:rsidRDefault="003402AD" w:rsidP="00DB081C">
            <w:pPr>
              <w:spacing w:before="100" w:after="100" w:line="240" w:lineRule="auto"/>
              <w:ind w:left="100" w:right="100"/>
              <w:rPr>
                <w:rFonts w:ascii="Arial" w:eastAsia="Arial" w:hAnsi="Arial" w:cs="Arial"/>
                <w:color w:val="000000"/>
              </w:rPr>
            </w:pPr>
            <w:r w:rsidRPr="00DB081C">
              <w:rPr>
                <w:rFonts w:ascii="Arial" w:eastAsia="Arial" w:hAnsi="Arial" w:cs="Arial"/>
                <w:color w:val="000000"/>
              </w:rPr>
              <w:t>3982</w:t>
            </w:r>
          </w:p>
        </w:tc>
        <w:tc>
          <w:tcPr>
            <w:tcW w:w="1382" w:type="dxa"/>
            <w:noWrap/>
          </w:tcPr>
          <w:p w14:paraId="52ECDF22" w14:textId="77777777" w:rsidR="003402AD" w:rsidRPr="00DB081C" w:rsidRDefault="003402AD" w:rsidP="00DB081C">
            <w:pPr>
              <w:spacing w:before="100" w:after="100" w:line="240" w:lineRule="auto"/>
              <w:ind w:left="100" w:right="100"/>
              <w:rPr>
                <w:rFonts w:ascii="Arial" w:eastAsia="Arial" w:hAnsi="Arial" w:cs="Arial"/>
                <w:color w:val="000000"/>
              </w:rPr>
            </w:pPr>
            <w:r w:rsidRPr="00DB081C">
              <w:rPr>
                <w:rFonts w:ascii="Arial" w:eastAsia="Arial" w:hAnsi="Arial" w:cs="Arial"/>
                <w:color w:val="000000"/>
              </w:rPr>
              <w:t>0.03</w:t>
            </w:r>
          </w:p>
        </w:tc>
        <w:tc>
          <w:tcPr>
            <w:tcW w:w="1654" w:type="dxa"/>
            <w:noWrap/>
          </w:tcPr>
          <w:p w14:paraId="6438FDE1" w14:textId="77777777" w:rsidR="003402AD" w:rsidRPr="00DB081C" w:rsidRDefault="003402AD" w:rsidP="00DB081C">
            <w:pPr>
              <w:spacing w:before="100" w:after="100" w:line="240" w:lineRule="auto"/>
              <w:ind w:left="100" w:right="100"/>
              <w:rPr>
                <w:rFonts w:ascii="Arial" w:eastAsia="Arial" w:hAnsi="Arial" w:cs="Arial"/>
                <w:color w:val="000000"/>
              </w:rPr>
            </w:pPr>
            <w:r w:rsidRPr="00DB081C">
              <w:rPr>
                <w:rFonts w:ascii="Arial" w:eastAsia="Arial" w:hAnsi="Arial" w:cs="Arial"/>
                <w:color w:val="000000"/>
              </w:rPr>
              <w:t>0.59</w:t>
            </w:r>
          </w:p>
        </w:tc>
      </w:tr>
      <w:tr w:rsidR="003402AD" w:rsidRPr="00DB081C" w14:paraId="6209960A" w14:textId="77777777" w:rsidTr="00D019D9">
        <w:trPr>
          <w:gridAfter w:val="1"/>
          <w:wAfter w:w="39" w:type="dxa"/>
          <w:trHeight w:val="300"/>
        </w:trPr>
        <w:tc>
          <w:tcPr>
            <w:tcW w:w="5147" w:type="dxa"/>
            <w:noWrap/>
          </w:tcPr>
          <w:p w14:paraId="700938A9" w14:textId="353E9B62" w:rsidR="003402AD" w:rsidRPr="00DB081C" w:rsidRDefault="003402AD" w:rsidP="00DB081C">
            <w:pPr>
              <w:spacing w:before="100" w:after="100" w:line="240" w:lineRule="auto"/>
              <w:ind w:left="100" w:right="100"/>
              <w:rPr>
                <w:rFonts w:ascii="Arial" w:eastAsia="Arial" w:hAnsi="Arial" w:cs="Arial"/>
                <w:color w:val="000000"/>
              </w:rPr>
            </w:pPr>
            <w:r w:rsidRPr="00DB081C">
              <w:rPr>
                <w:rFonts w:ascii="Arial" w:eastAsia="Arial" w:hAnsi="Arial" w:cs="Arial"/>
                <w:color w:val="000000"/>
              </w:rPr>
              <w:t>Year end b</w:t>
            </w:r>
            <w:r w:rsidR="00D019D9">
              <w:rPr>
                <w:rFonts w:ascii="Arial" w:eastAsia="Arial" w:hAnsi="Arial" w:cs="Arial"/>
                <w:color w:val="000000"/>
              </w:rPr>
              <w:t>reak</w:t>
            </w:r>
            <w:r w:rsidRPr="00DB081C">
              <w:rPr>
                <w:rFonts w:ascii="Arial" w:eastAsia="Arial" w:hAnsi="Arial" w:cs="Arial"/>
                <w:color w:val="000000"/>
              </w:rPr>
              <w:t>d</w:t>
            </w:r>
            <w:r w:rsidR="00D019D9">
              <w:rPr>
                <w:rFonts w:ascii="Arial" w:eastAsia="Arial" w:hAnsi="Arial" w:cs="Arial"/>
                <w:color w:val="000000"/>
              </w:rPr>
              <w:t>own</w:t>
            </w:r>
            <w:r w:rsidRPr="00DB081C">
              <w:rPr>
                <w:rFonts w:ascii="Arial" w:eastAsia="Arial" w:hAnsi="Arial" w:cs="Arial"/>
                <w:color w:val="000000"/>
              </w:rPr>
              <w:t xml:space="preserve"> numeric + county + log herd size + breeding herd + square root skin case count + count previous </w:t>
            </w:r>
            <w:r w:rsidR="00240232" w:rsidRPr="00DB081C">
              <w:rPr>
                <w:rFonts w:ascii="Arial" w:eastAsia="Arial" w:hAnsi="Arial" w:cs="Arial"/>
                <w:color w:val="000000"/>
              </w:rPr>
              <w:t>interferon-γ</w:t>
            </w:r>
            <w:r w:rsidRPr="00DB081C">
              <w:rPr>
                <w:rFonts w:ascii="Arial" w:eastAsia="Arial" w:hAnsi="Arial" w:cs="Arial"/>
                <w:color w:val="000000"/>
              </w:rPr>
              <w:t xml:space="preserve"> test in same b</w:t>
            </w:r>
            <w:r w:rsidR="0084221F">
              <w:rPr>
                <w:rFonts w:ascii="Arial" w:eastAsia="Arial" w:hAnsi="Arial" w:cs="Arial"/>
                <w:color w:val="000000"/>
              </w:rPr>
              <w:t>reakdown</w:t>
            </w:r>
          </w:p>
        </w:tc>
        <w:tc>
          <w:tcPr>
            <w:tcW w:w="1168" w:type="dxa"/>
            <w:noWrap/>
          </w:tcPr>
          <w:p w14:paraId="2CCFA528" w14:textId="77777777" w:rsidR="003402AD" w:rsidRPr="00DB081C" w:rsidRDefault="003402AD" w:rsidP="00DB081C">
            <w:pPr>
              <w:spacing w:before="100" w:after="100" w:line="240" w:lineRule="auto"/>
              <w:ind w:left="100" w:right="100"/>
              <w:rPr>
                <w:rFonts w:ascii="Arial" w:eastAsia="Arial" w:hAnsi="Arial" w:cs="Arial"/>
                <w:color w:val="000000"/>
              </w:rPr>
            </w:pPr>
            <w:r w:rsidRPr="00DB081C">
              <w:rPr>
                <w:rFonts w:ascii="Arial" w:eastAsia="Arial" w:hAnsi="Arial" w:cs="Arial"/>
                <w:color w:val="000000"/>
              </w:rPr>
              <w:t>4029</w:t>
            </w:r>
          </w:p>
        </w:tc>
        <w:tc>
          <w:tcPr>
            <w:tcW w:w="1382" w:type="dxa"/>
            <w:noWrap/>
          </w:tcPr>
          <w:p w14:paraId="34FFA974" w14:textId="77777777" w:rsidR="003402AD" w:rsidRPr="00DB081C" w:rsidRDefault="003402AD" w:rsidP="00DB081C">
            <w:pPr>
              <w:spacing w:before="100" w:after="100" w:line="240" w:lineRule="auto"/>
              <w:ind w:left="100" w:right="100"/>
              <w:rPr>
                <w:rFonts w:ascii="Arial" w:eastAsia="Arial" w:hAnsi="Arial" w:cs="Arial"/>
                <w:color w:val="000000"/>
              </w:rPr>
            </w:pPr>
            <w:r w:rsidRPr="00DB081C">
              <w:rPr>
                <w:rFonts w:ascii="Arial" w:eastAsia="Arial" w:hAnsi="Arial" w:cs="Arial"/>
                <w:color w:val="000000"/>
              </w:rPr>
              <w:t>0.01</w:t>
            </w:r>
          </w:p>
        </w:tc>
        <w:tc>
          <w:tcPr>
            <w:tcW w:w="1654" w:type="dxa"/>
            <w:noWrap/>
          </w:tcPr>
          <w:p w14:paraId="4F148A47" w14:textId="77777777" w:rsidR="003402AD" w:rsidRPr="00DB081C" w:rsidRDefault="003402AD" w:rsidP="00DB081C">
            <w:pPr>
              <w:spacing w:before="100" w:after="100" w:line="240" w:lineRule="auto"/>
              <w:ind w:left="100" w:right="100"/>
              <w:rPr>
                <w:rFonts w:ascii="Arial" w:eastAsia="Arial" w:hAnsi="Arial" w:cs="Arial"/>
                <w:color w:val="000000"/>
              </w:rPr>
            </w:pPr>
            <w:r w:rsidRPr="00DB081C">
              <w:rPr>
                <w:rFonts w:ascii="Arial" w:eastAsia="Arial" w:hAnsi="Arial" w:cs="Arial"/>
                <w:color w:val="000000"/>
              </w:rPr>
              <w:t>0.58</w:t>
            </w:r>
          </w:p>
        </w:tc>
      </w:tr>
    </w:tbl>
    <w:p w14:paraId="24CDEC14" w14:textId="77777777" w:rsidR="003402AD" w:rsidRPr="00DB081C" w:rsidRDefault="003402AD"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p>
    <w:p w14:paraId="02B24B49" w14:textId="0CFECF11" w:rsidR="009066A3" w:rsidRDefault="009066A3">
      <w:pPr>
        <w:rPr>
          <w:b/>
          <w:bCs/>
        </w:rPr>
      </w:pPr>
      <w:r>
        <w:rPr>
          <w:b/>
          <w:bCs/>
        </w:rPr>
        <w:br w:type="page"/>
      </w:r>
    </w:p>
    <w:p w14:paraId="7DF96FAC" w14:textId="72481335" w:rsidR="003402AD" w:rsidRDefault="003402AD" w:rsidP="003402AD">
      <w:pPr>
        <w:rPr>
          <w:b/>
          <w:bCs/>
        </w:rPr>
      </w:pPr>
      <w:bookmarkStart w:id="3" w:name="_Hlk191454579"/>
      <w:r>
        <w:rPr>
          <w:b/>
          <w:bCs/>
        </w:rPr>
        <w:lastRenderedPageBreak/>
        <w:t xml:space="preserve"> </w:t>
      </w:r>
    </w:p>
    <w:p w14:paraId="7329DE64" w14:textId="245874A7" w:rsidR="007E7D62" w:rsidRDefault="007E7D62" w:rsidP="007E7D62">
      <w:pPr>
        <w:rPr>
          <w:b/>
          <w:bCs/>
        </w:rPr>
      </w:pPr>
      <w:r>
        <w:rPr>
          <w:b/>
          <w:bCs/>
        </w:rPr>
        <w:t xml:space="preserve">Supplementary table </w:t>
      </w:r>
      <w:r w:rsidR="003402AD">
        <w:rPr>
          <w:b/>
          <w:bCs/>
        </w:rPr>
        <w:t>4:</w:t>
      </w:r>
      <w:r>
        <w:rPr>
          <w:b/>
          <w:bCs/>
        </w:rPr>
        <w:t xml:space="preserve"> Likelihood ratio test result for the</w:t>
      </w:r>
      <w:r w:rsidRPr="00170CA0">
        <w:rPr>
          <w:b/>
          <w:bCs/>
        </w:rPr>
        <w:t xml:space="preserve"> final logistic regression model to explain the probability of an eligible skin test being followed by </w:t>
      </w:r>
      <w:r w:rsidR="00D00F66">
        <w:rPr>
          <w:b/>
          <w:bCs/>
        </w:rPr>
        <w:t>an interferon</w:t>
      </w:r>
      <w:r w:rsidR="00240232">
        <w:rPr>
          <w:b/>
          <w:bCs/>
        </w:rPr>
        <w:t>-γ</w:t>
      </w:r>
      <w:r w:rsidRPr="00170CA0">
        <w:rPr>
          <w:b/>
          <w:bCs/>
        </w:rPr>
        <w:t xml:space="preserve"> test.</w:t>
      </w:r>
    </w:p>
    <w:tbl>
      <w:tblPr>
        <w:tblW w:w="0" w:type="auto"/>
        <w:jc w:val="center"/>
        <w:tblLayout w:type="fixed"/>
        <w:tblLook w:val="0420" w:firstRow="1" w:lastRow="0" w:firstColumn="0" w:lastColumn="0" w:noHBand="0" w:noVBand="1"/>
      </w:tblPr>
      <w:tblGrid>
        <w:gridCol w:w="1865"/>
        <w:gridCol w:w="655"/>
        <w:gridCol w:w="1389"/>
        <w:gridCol w:w="1389"/>
        <w:gridCol w:w="1451"/>
        <w:gridCol w:w="1272"/>
        <w:gridCol w:w="1451"/>
      </w:tblGrid>
      <w:tr w:rsidR="007E7D62" w:rsidRPr="005041EC" w14:paraId="3D5C85B4" w14:textId="77777777" w:rsidTr="00C631E6">
        <w:trPr>
          <w:tblHeader/>
          <w:jc w:val="center"/>
        </w:trPr>
        <w:tc>
          <w:tcPr>
            <w:tcW w:w="1865"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845A993" w14:textId="77777777" w:rsidR="007E7D62" w:rsidRPr="005041E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b/>
                <w:bCs/>
                <w:color w:val="000000"/>
              </w:rPr>
            </w:pPr>
            <w:r w:rsidRPr="005041EC">
              <w:rPr>
                <w:rFonts w:ascii="Arial" w:eastAsia="Arial" w:hAnsi="Arial" w:cs="Arial"/>
                <w:b/>
                <w:bCs/>
                <w:color w:val="000000"/>
              </w:rPr>
              <w:t>Dropped variable</w:t>
            </w:r>
          </w:p>
        </w:tc>
        <w:tc>
          <w:tcPr>
            <w:tcW w:w="655"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3874100" w14:textId="77777777" w:rsidR="007E7D62" w:rsidRPr="005041E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b/>
                <w:bCs/>
                <w:color w:val="000000"/>
              </w:rPr>
            </w:pPr>
            <w:proofErr w:type="spellStart"/>
            <w:r w:rsidRPr="005041EC">
              <w:rPr>
                <w:rFonts w:ascii="Arial" w:eastAsia="Arial" w:hAnsi="Arial" w:cs="Arial"/>
                <w:b/>
                <w:bCs/>
                <w:color w:val="000000"/>
              </w:rPr>
              <w:t>Df</w:t>
            </w:r>
            <w:proofErr w:type="spellEnd"/>
          </w:p>
        </w:tc>
        <w:tc>
          <w:tcPr>
            <w:tcW w:w="1389"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6D5533F" w14:textId="77777777" w:rsidR="007E7D62" w:rsidRPr="005041E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b/>
                <w:bCs/>
                <w:color w:val="000000"/>
              </w:rPr>
            </w:pPr>
            <w:r w:rsidRPr="005041EC">
              <w:rPr>
                <w:rFonts w:ascii="Arial" w:eastAsia="Arial" w:hAnsi="Arial" w:cs="Arial"/>
                <w:b/>
                <w:bCs/>
                <w:color w:val="000000"/>
              </w:rPr>
              <w:t>Deviance</w:t>
            </w:r>
          </w:p>
        </w:tc>
        <w:tc>
          <w:tcPr>
            <w:tcW w:w="1389"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0E78536" w14:textId="77777777" w:rsidR="007E7D62" w:rsidRPr="005041E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b/>
                <w:bCs/>
                <w:color w:val="000000"/>
              </w:rPr>
            </w:pPr>
            <w:r w:rsidRPr="005041EC">
              <w:rPr>
                <w:rFonts w:ascii="Arial" w:eastAsia="Arial" w:hAnsi="Arial" w:cs="Arial"/>
                <w:b/>
                <w:bCs/>
                <w:color w:val="000000"/>
              </w:rPr>
              <w:t>AIC</w:t>
            </w:r>
          </w:p>
        </w:tc>
        <w:tc>
          <w:tcPr>
            <w:tcW w:w="145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CEE1C9E" w14:textId="77777777" w:rsidR="007E7D62" w:rsidRPr="005041E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b/>
                <w:bCs/>
                <w:color w:val="000000"/>
              </w:rPr>
            </w:pPr>
            <w:r w:rsidRPr="005041EC">
              <w:rPr>
                <w:rFonts w:ascii="Arial" w:eastAsia="Arial" w:hAnsi="Arial" w:cs="Arial"/>
                <w:b/>
                <w:bCs/>
                <w:color w:val="000000"/>
              </w:rPr>
              <w:t>LRT Chi</w:t>
            </w:r>
          </w:p>
        </w:tc>
        <w:tc>
          <w:tcPr>
            <w:tcW w:w="127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84FDB13" w14:textId="77777777" w:rsidR="00B8589B"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b/>
                <w:bCs/>
                <w:color w:val="000000"/>
              </w:rPr>
            </w:pPr>
            <w:proofErr w:type="spellStart"/>
            <w:r w:rsidRPr="005041EC">
              <w:rPr>
                <w:rFonts w:ascii="Arial" w:eastAsia="Arial" w:hAnsi="Arial" w:cs="Arial"/>
                <w:b/>
                <w:bCs/>
                <w:color w:val="000000"/>
              </w:rPr>
              <w:t>Pr</w:t>
            </w:r>
            <w:proofErr w:type="spellEnd"/>
          </w:p>
          <w:p w14:paraId="65CCB57C" w14:textId="7E972ABF" w:rsidR="007E7D62" w:rsidRPr="005041E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b/>
                <w:bCs/>
                <w:color w:val="000000"/>
              </w:rPr>
            </w:pPr>
            <w:r w:rsidRPr="005041EC">
              <w:rPr>
                <w:rFonts w:ascii="Arial" w:eastAsia="Arial" w:hAnsi="Arial" w:cs="Arial"/>
                <w:b/>
                <w:bCs/>
                <w:color w:val="000000"/>
              </w:rPr>
              <w:t>(&gt;Chi)</w:t>
            </w:r>
          </w:p>
        </w:tc>
        <w:tc>
          <w:tcPr>
            <w:tcW w:w="145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95B446A" w14:textId="77777777" w:rsidR="007E7D62" w:rsidRPr="005041E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b/>
                <w:bCs/>
                <w:color w:val="000000"/>
              </w:rPr>
            </w:pPr>
            <w:r w:rsidRPr="005041EC">
              <w:rPr>
                <w:rFonts w:ascii="Arial" w:eastAsia="Arial" w:hAnsi="Arial" w:cs="Arial"/>
                <w:b/>
                <w:bCs/>
                <w:color w:val="000000"/>
              </w:rPr>
              <w:t>AIC difference</w:t>
            </w:r>
          </w:p>
        </w:tc>
      </w:tr>
      <w:tr w:rsidR="007E7D62" w14:paraId="795558C6" w14:textId="77777777" w:rsidTr="00C631E6">
        <w:trPr>
          <w:jc w:val="center"/>
        </w:trPr>
        <w:tc>
          <w:tcPr>
            <w:tcW w:w="1865"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1821326"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None</w:t>
            </w:r>
          </w:p>
        </w:tc>
        <w:tc>
          <w:tcPr>
            <w:tcW w:w="655"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6255A98"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p>
        </w:tc>
        <w:tc>
          <w:tcPr>
            <w:tcW w:w="1389"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2113F21"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3,966.878</w:t>
            </w:r>
          </w:p>
        </w:tc>
        <w:tc>
          <w:tcPr>
            <w:tcW w:w="1389"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AAF9A85" w14:textId="47B9ABD0"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4,028.8</w:t>
            </w:r>
            <w:r w:rsidR="00942622">
              <w:rPr>
                <w:rFonts w:ascii="Arial" w:eastAsia="Arial" w:hAnsi="Arial" w:cs="Arial"/>
                <w:color w:val="000000"/>
              </w:rPr>
              <w:t>8</w:t>
            </w:r>
          </w:p>
        </w:tc>
        <w:tc>
          <w:tcPr>
            <w:tcW w:w="1451"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DC7CFBD"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p>
        </w:tc>
        <w:tc>
          <w:tcPr>
            <w:tcW w:w="1272"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5793CF6"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NA</w:t>
            </w:r>
          </w:p>
        </w:tc>
        <w:tc>
          <w:tcPr>
            <w:tcW w:w="1451"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7245ECA"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0.00000</w:t>
            </w:r>
          </w:p>
        </w:tc>
      </w:tr>
      <w:tr w:rsidR="007E7D62" w14:paraId="78AF6EA8" w14:textId="77777777" w:rsidTr="00C631E6">
        <w:trPr>
          <w:jc w:val="center"/>
        </w:trPr>
        <w:tc>
          <w:tcPr>
            <w:tcW w:w="186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A3BABA0"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Year of breakdown end</w:t>
            </w:r>
          </w:p>
        </w:tc>
        <w:tc>
          <w:tcPr>
            <w:tcW w:w="65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E33F12B"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9B7C281"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4,114.394</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9ADBE6E" w14:textId="39013230"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4,174.39</w:t>
            </w:r>
          </w:p>
        </w:tc>
        <w:tc>
          <w:tcPr>
            <w:tcW w:w="145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96F6D8F"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147.51624</w:t>
            </w:r>
          </w:p>
        </w:tc>
        <w:tc>
          <w:tcPr>
            <w:tcW w:w="1272"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2CADA7F"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&lt;0.0001</w:t>
            </w:r>
          </w:p>
        </w:tc>
        <w:tc>
          <w:tcPr>
            <w:tcW w:w="145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B2D01EB" w14:textId="36B895D8"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145.5</w:t>
            </w:r>
            <w:r w:rsidR="00942622">
              <w:rPr>
                <w:rFonts w:ascii="Arial" w:eastAsia="Arial" w:hAnsi="Arial" w:cs="Arial"/>
                <w:color w:val="000000"/>
              </w:rPr>
              <w:t>2</w:t>
            </w:r>
          </w:p>
        </w:tc>
      </w:tr>
      <w:tr w:rsidR="007E7D62" w14:paraId="15572173" w14:textId="77777777" w:rsidTr="00C631E6">
        <w:trPr>
          <w:jc w:val="center"/>
        </w:trPr>
        <w:tc>
          <w:tcPr>
            <w:tcW w:w="186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D351E82"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County</w:t>
            </w:r>
          </w:p>
        </w:tc>
        <w:tc>
          <w:tcPr>
            <w:tcW w:w="65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9E06E9D"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25</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20073F3"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4,111.460</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66CEEF1" w14:textId="7DEF3D4A"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4,123.46</w:t>
            </w:r>
          </w:p>
        </w:tc>
        <w:tc>
          <w:tcPr>
            <w:tcW w:w="145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C178033"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144.58184</w:t>
            </w:r>
          </w:p>
        </w:tc>
        <w:tc>
          <w:tcPr>
            <w:tcW w:w="1272"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C9DE68B"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&lt;0.0001</w:t>
            </w:r>
          </w:p>
        </w:tc>
        <w:tc>
          <w:tcPr>
            <w:tcW w:w="145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0A216F1" w14:textId="599967AD"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94.58</w:t>
            </w:r>
          </w:p>
        </w:tc>
      </w:tr>
      <w:tr w:rsidR="007E7D62" w14:paraId="6500B61A" w14:textId="77777777" w:rsidTr="00C631E6">
        <w:trPr>
          <w:jc w:val="center"/>
        </w:trPr>
        <w:tc>
          <w:tcPr>
            <w:tcW w:w="186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AAB0308"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Log herd size</w:t>
            </w:r>
          </w:p>
        </w:tc>
        <w:tc>
          <w:tcPr>
            <w:tcW w:w="65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DA023F9"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390C7AC"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4,013.697</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448DE84" w14:textId="223CB2EE"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4,073.</w:t>
            </w:r>
            <w:r w:rsidR="00942622">
              <w:rPr>
                <w:rFonts w:ascii="Arial" w:eastAsia="Arial" w:hAnsi="Arial" w:cs="Arial"/>
                <w:color w:val="000000"/>
              </w:rPr>
              <w:t>70</w:t>
            </w:r>
          </w:p>
        </w:tc>
        <w:tc>
          <w:tcPr>
            <w:tcW w:w="145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A8D16F0"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46.81902</w:t>
            </w:r>
          </w:p>
        </w:tc>
        <w:tc>
          <w:tcPr>
            <w:tcW w:w="1272"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1B5DCBE"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&lt;0.0001</w:t>
            </w:r>
          </w:p>
        </w:tc>
        <w:tc>
          <w:tcPr>
            <w:tcW w:w="145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8E219B4" w14:textId="04F7F464"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44.8</w:t>
            </w:r>
            <w:r w:rsidR="00942622">
              <w:rPr>
                <w:rFonts w:ascii="Arial" w:eastAsia="Arial" w:hAnsi="Arial" w:cs="Arial"/>
                <w:color w:val="000000"/>
              </w:rPr>
              <w:t>2</w:t>
            </w:r>
          </w:p>
        </w:tc>
      </w:tr>
      <w:tr w:rsidR="007E7D62" w14:paraId="6E4D12C8" w14:textId="77777777" w:rsidTr="00C631E6">
        <w:trPr>
          <w:jc w:val="center"/>
        </w:trPr>
        <w:tc>
          <w:tcPr>
            <w:tcW w:w="186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756E79F"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Breeding herd</w:t>
            </w:r>
          </w:p>
        </w:tc>
        <w:tc>
          <w:tcPr>
            <w:tcW w:w="65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C00B959"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2D3451B"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4,008.742</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E0ED202" w14:textId="0DA91414"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4,068.74</w:t>
            </w:r>
          </w:p>
        </w:tc>
        <w:tc>
          <w:tcPr>
            <w:tcW w:w="145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99B6F38"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41.86405</w:t>
            </w:r>
          </w:p>
        </w:tc>
        <w:tc>
          <w:tcPr>
            <w:tcW w:w="1272"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B067EAD"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&lt;0.0001</w:t>
            </w:r>
          </w:p>
        </w:tc>
        <w:tc>
          <w:tcPr>
            <w:tcW w:w="145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33689B0" w14:textId="33411CFB"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39.86</w:t>
            </w:r>
          </w:p>
        </w:tc>
      </w:tr>
      <w:tr w:rsidR="007E7D62" w14:paraId="539653C0" w14:textId="77777777" w:rsidTr="00C631E6">
        <w:trPr>
          <w:jc w:val="center"/>
        </w:trPr>
        <w:tc>
          <w:tcPr>
            <w:tcW w:w="186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DD66770"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Square root skin case count</w:t>
            </w:r>
          </w:p>
        </w:tc>
        <w:tc>
          <w:tcPr>
            <w:tcW w:w="65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54AF300"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759337E"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4,505.959</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4196993" w14:textId="09C8A424"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4,565.9</w:t>
            </w:r>
            <w:r w:rsidR="00942622">
              <w:rPr>
                <w:rFonts w:ascii="Arial" w:eastAsia="Arial" w:hAnsi="Arial" w:cs="Arial"/>
                <w:color w:val="000000"/>
              </w:rPr>
              <w:t>6</w:t>
            </w:r>
          </w:p>
        </w:tc>
        <w:tc>
          <w:tcPr>
            <w:tcW w:w="145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DF40F75"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539.08062</w:t>
            </w:r>
          </w:p>
        </w:tc>
        <w:tc>
          <w:tcPr>
            <w:tcW w:w="1272"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701DA4A"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&lt;0.0001</w:t>
            </w:r>
          </w:p>
        </w:tc>
        <w:tc>
          <w:tcPr>
            <w:tcW w:w="145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D201A1A" w14:textId="25227854"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537.08</w:t>
            </w:r>
          </w:p>
        </w:tc>
      </w:tr>
      <w:tr w:rsidR="007E7D62" w14:paraId="4472F342" w14:textId="77777777" w:rsidTr="00C631E6">
        <w:trPr>
          <w:jc w:val="center"/>
        </w:trPr>
        <w:tc>
          <w:tcPr>
            <w:tcW w:w="1865"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917D3C7" w14:textId="686B518C"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 xml:space="preserve">Previous </w:t>
            </w:r>
            <w:r w:rsidR="00053CE8">
              <w:rPr>
                <w:rFonts w:ascii="Arial" w:eastAsia="Arial" w:hAnsi="Arial" w:cs="Arial"/>
                <w:color w:val="000000"/>
              </w:rPr>
              <w:t>Interferon-γ</w:t>
            </w:r>
            <w:r>
              <w:rPr>
                <w:rFonts w:ascii="Arial" w:eastAsia="Arial" w:hAnsi="Arial" w:cs="Arial"/>
                <w:color w:val="000000"/>
              </w:rPr>
              <w:t xml:space="preserve"> test same breakdown</w:t>
            </w:r>
          </w:p>
        </w:tc>
        <w:tc>
          <w:tcPr>
            <w:tcW w:w="655"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22449C4"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w:t>
            </w:r>
          </w:p>
        </w:tc>
        <w:tc>
          <w:tcPr>
            <w:tcW w:w="1389"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52EC131"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4,035.726</w:t>
            </w:r>
          </w:p>
        </w:tc>
        <w:tc>
          <w:tcPr>
            <w:tcW w:w="1389"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DB6383C" w14:textId="1A9967B5"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4,095.7</w:t>
            </w:r>
            <w:r w:rsidR="00942622">
              <w:rPr>
                <w:rFonts w:ascii="Arial" w:eastAsia="Arial" w:hAnsi="Arial" w:cs="Arial"/>
                <w:color w:val="000000"/>
              </w:rPr>
              <w:t>3</w:t>
            </w:r>
          </w:p>
        </w:tc>
        <w:tc>
          <w:tcPr>
            <w:tcW w:w="1451"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29841EB"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68.84802</w:t>
            </w:r>
          </w:p>
        </w:tc>
        <w:tc>
          <w:tcPr>
            <w:tcW w:w="1272"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625B256"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&lt;0.0001</w:t>
            </w:r>
          </w:p>
        </w:tc>
        <w:tc>
          <w:tcPr>
            <w:tcW w:w="1451"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F37382D"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66.84802</w:t>
            </w:r>
          </w:p>
        </w:tc>
      </w:tr>
    </w:tbl>
    <w:p w14:paraId="08EB0DD0" w14:textId="26F0662B" w:rsidR="009066A3" w:rsidRDefault="009066A3" w:rsidP="007E7D62">
      <w:pPr>
        <w:rPr>
          <w:b/>
          <w:bCs/>
        </w:rPr>
      </w:pPr>
    </w:p>
    <w:p w14:paraId="6F8C514A" w14:textId="77777777" w:rsidR="009066A3" w:rsidRDefault="009066A3">
      <w:pPr>
        <w:rPr>
          <w:b/>
          <w:bCs/>
        </w:rPr>
      </w:pPr>
      <w:r>
        <w:rPr>
          <w:b/>
          <w:bCs/>
        </w:rPr>
        <w:br w:type="page"/>
      </w:r>
    </w:p>
    <w:p w14:paraId="62BDD064" w14:textId="77777777" w:rsidR="007E7D62" w:rsidRDefault="007E7D62" w:rsidP="007E7D62">
      <w:pPr>
        <w:rPr>
          <w:b/>
          <w:bCs/>
        </w:rPr>
      </w:pPr>
    </w:p>
    <w:bookmarkEnd w:id="3"/>
    <w:p w14:paraId="139E9E83" w14:textId="77777777" w:rsidR="007E7D62" w:rsidRDefault="007E7D62" w:rsidP="007E7D62">
      <w:pPr>
        <w:rPr>
          <w:b/>
          <w:bCs/>
        </w:rPr>
      </w:pPr>
    </w:p>
    <w:p w14:paraId="4733C7BA" w14:textId="78C9D173" w:rsidR="007E7D62" w:rsidRDefault="007E7D62" w:rsidP="007E7D62">
      <w:r>
        <w:rPr>
          <w:b/>
          <w:bCs/>
        </w:rPr>
        <w:t xml:space="preserve">Supplementary table </w:t>
      </w:r>
      <w:r w:rsidR="00AB4E36">
        <w:rPr>
          <w:b/>
          <w:bCs/>
        </w:rPr>
        <w:t>5</w:t>
      </w:r>
      <w:r>
        <w:rPr>
          <w:b/>
          <w:bCs/>
        </w:rPr>
        <w:t xml:space="preserve">: </w:t>
      </w:r>
      <w:r>
        <w:t xml:space="preserve"> </w:t>
      </w:r>
      <w:r w:rsidRPr="00F01AA8">
        <w:rPr>
          <w:b/>
          <w:bCs/>
        </w:rPr>
        <w:t xml:space="preserve">Likelihood ratio test result for the final </w:t>
      </w:r>
      <w:r>
        <w:rPr>
          <w:b/>
          <w:bCs/>
        </w:rPr>
        <w:t>negative binomial</w:t>
      </w:r>
      <w:r w:rsidRPr="00F01AA8">
        <w:rPr>
          <w:b/>
          <w:bCs/>
        </w:rPr>
        <w:t xml:space="preserve"> regression model to explain the </w:t>
      </w:r>
      <w:r>
        <w:rPr>
          <w:b/>
          <w:bCs/>
        </w:rPr>
        <w:t xml:space="preserve">count of cattle </w:t>
      </w:r>
      <w:r w:rsidR="00240232">
        <w:rPr>
          <w:b/>
          <w:bCs/>
        </w:rPr>
        <w:t>interferon-γ</w:t>
      </w:r>
      <w:r>
        <w:rPr>
          <w:b/>
          <w:bCs/>
        </w:rPr>
        <w:t xml:space="preserve"> tested in </w:t>
      </w:r>
      <w:r w:rsidR="00D00F66">
        <w:rPr>
          <w:b/>
          <w:bCs/>
        </w:rPr>
        <w:t>an interferon</w:t>
      </w:r>
      <w:r w:rsidR="00240232">
        <w:rPr>
          <w:b/>
          <w:bCs/>
        </w:rPr>
        <w:t>-γ</w:t>
      </w:r>
      <w:r>
        <w:rPr>
          <w:b/>
          <w:bCs/>
        </w:rPr>
        <w:t xml:space="preserve"> test.</w:t>
      </w:r>
    </w:p>
    <w:tbl>
      <w:tblPr>
        <w:tblW w:w="0" w:type="auto"/>
        <w:jc w:val="center"/>
        <w:tblLayout w:type="fixed"/>
        <w:tblLook w:val="0420" w:firstRow="1" w:lastRow="0" w:firstColumn="0" w:lastColumn="0" w:noHBand="0" w:noVBand="1"/>
      </w:tblPr>
      <w:tblGrid>
        <w:gridCol w:w="1817"/>
        <w:gridCol w:w="655"/>
        <w:gridCol w:w="1218"/>
        <w:gridCol w:w="1389"/>
        <w:gridCol w:w="961"/>
        <w:gridCol w:w="1048"/>
        <w:gridCol w:w="1405"/>
      </w:tblGrid>
      <w:tr w:rsidR="007E7D62" w14:paraId="76ECDFD6" w14:textId="77777777" w:rsidTr="00C631E6">
        <w:trPr>
          <w:tblHeader/>
          <w:jc w:val="center"/>
        </w:trPr>
        <w:tc>
          <w:tcPr>
            <w:tcW w:w="1817"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88216FE" w14:textId="77777777" w:rsidR="007E7D62" w:rsidRPr="00942622"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b/>
                <w:bCs/>
                <w:color w:val="000000"/>
              </w:rPr>
            </w:pPr>
            <w:r w:rsidRPr="00942622">
              <w:rPr>
                <w:rFonts w:ascii="Arial" w:eastAsia="Arial" w:hAnsi="Arial" w:cs="Arial"/>
                <w:b/>
                <w:bCs/>
                <w:color w:val="000000"/>
              </w:rPr>
              <w:t>Dropped variable</w:t>
            </w:r>
          </w:p>
        </w:tc>
        <w:tc>
          <w:tcPr>
            <w:tcW w:w="655"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1B8E1BF" w14:textId="77777777" w:rsidR="007E7D62" w:rsidRPr="00942622"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b/>
                <w:bCs/>
                <w:color w:val="000000"/>
              </w:rPr>
            </w:pPr>
            <w:proofErr w:type="spellStart"/>
            <w:r w:rsidRPr="00942622">
              <w:rPr>
                <w:rFonts w:ascii="Arial" w:eastAsia="Arial" w:hAnsi="Arial" w:cs="Arial"/>
                <w:b/>
                <w:bCs/>
                <w:color w:val="000000"/>
              </w:rPr>
              <w:t>Df</w:t>
            </w:r>
            <w:proofErr w:type="spellEnd"/>
          </w:p>
        </w:tc>
        <w:tc>
          <w:tcPr>
            <w:tcW w:w="1218"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CB91D33" w14:textId="77777777" w:rsidR="007E7D62" w:rsidRPr="00942622"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b/>
                <w:bCs/>
                <w:color w:val="000000"/>
              </w:rPr>
            </w:pPr>
            <w:proofErr w:type="spellStart"/>
            <w:r w:rsidRPr="00942622">
              <w:rPr>
                <w:rFonts w:ascii="Arial" w:eastAsia="Arial" w:hAnsi="Arial" w:cs="Arial"/>
                <w:b/>
                <w:bCs/>
                <w:color w:val="000000"/>
              </w:rPr>
              <w:t>logLik</w:t>
            </w:r>
            <w:proofErr w:type="spellEnd"/>
          </w:p>
        </w:tc>
        <w:tc>
          <w:tcPr>
            <w:tcW w:w="1389"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4A20BEF" w14:textId="77777777" w:rsidR="007E7D62" w:rsidRPr="00942622"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b/>
                <w:bCs/>
                <w:color w:val="000000"/>
              </w:rPr>
            </w:pPr>
            <w:r w:rsidRPr="00942622">
              <w:rPr>
                <w:rFonts w:ascii="Arial" w:eastAsia="Arial" w:hAnsi="Arial" w:cs="Arial"/>
                <w:b/>
                <w:bCs/>
                <w:color w:val="000000"/>
              </w:rPr>
              <w:t>AIC</w:t>
            </w:r>
          </w:p>
        </w:tc>
        <w:tc>
          <w:tcPr>
            <w:tcW w:w="96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7B0CAEF" w14:textId="77777777" w:rsidR="007E7D62" w:rsidRPr="00942622"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b/>
                <w:bCs/>
                <w:color w:val="000000"/>
              </w:rPr>
            </w:pPr>
            <w:r w:rsidRPr="00942622">
              <w:rPr>
                <w:rFonts w:ascii="Arial" w:eastAsia="Arial" w:hAnsi="Arial" w:cs="Arial"/>
                <w:b/>
                <w:bCs/>
                <w:color w:val="000000"/>
              </w:rPr>
              <w:t>LRT Chi</w:t>
            </w:r>
          </w:p>
        </w:tc>
        <w:tc>
          <w:tcPr>
            <w:tcW w:w="1048"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81E6F0B" w14:textId="77777777" w:rsidR="00942622"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b/>
                <w:bCs/>
                <w:color w:val="000000"/>
              </w:rPr>
            </w:pPr>
            <w:proofErr w:type="spellStart"/>
            <w:r w:rsidRPr="00942622">
              <w:rPr>
                <w:rFonts w:ascii="Arial" w:eastAsia="Arial" w:hAnsi="Arial" w:cs="Arial"/>
                <w:b/>
                <w:bCs/>
                <w:color w:val="000000"/>
              </w:rPr>
              <w:t>Pr</w:t>
            </w:r>
            <w:proofErr w:type="spellEnd"/>
          </w:p>
          <w:p w14:paraId="2465F716" w14:textId="29D05375" w:rsidR="007E7D62" w:rsidRPr="00942622"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b/>
                <w:bCs/>
                <w:color w:val="000000"/>
              </w:rPr>
            </w:pPr>
            <w:r w:rsidRPr="00942622">
              <w:rPr>
                <w:rFonts w:ascii="Arial" w:eastAsia="Arial" w:hAnsi="Arial" w:cs="Arial"/>
                <w:b/>
                <w:bCs/>
                <w:color w:val="000000"/>
              </w:rPr>
              <w:t>(&gt;Chi)</w:t>
            </w:r>
          </w:p>
        </w:tc>
        <w:tc>
          <w:tcPr>
            <w:tcW w:w="1405"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6C4CCAC" w14:textId="77777777" w:rsidR="007E7D62" w:rsidRPr="00942622"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b/>
                <w:bCs/>
                <w:color w:val="000000"/>
              </w:rPr>
            </w:pPr>
            <w:r w:rsidRPr="00942622">
              <w:rPr>
                <w:rFonts w:ascii="Arial" w:eastAsia="Arial" w:hAnsi="Arial" w:cs="Arial"/>
                <w:b/>
                <w:bCs/>
                <w:color w:val="000000"/>
              </w:rPr>
              <w:t>AIC difference</w:t>
            </w:r>
          </w:p>
        </w:tc>
      </w:tr>
      <w:tr w:rsidR="007E7D62" w14:paraId="283A68C8" w14:textId="77777777" w:rsidTr="00C631E6">
        <w:trPr>
          <w:jc w:val="center"/>
        </w:trPr>
        <w:tc>
          <w:tcPr>
            <w:tcW w:w="1817"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8541098"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&lt;none&gt;</w:t>
            </w:r>
          </w:p>
        </w:tc>
        <w:tc>
          <w:tcPr>
            <w:tcW w:w="655"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C0DA129"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p>
        </w:tc>
        <w:tc>
          <w:tcPr>
            <w:tcW w:w="1218"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1EC8B2B"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-7,025.7</w:t>
            </w:r>
          </w:p>
        </w:tc>
        <w:tc>
          <w:tcPr>
            <w:tcW w:w="1389"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AA3D254"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14,099.47</w:t>
            </w:r>
          </w:p>
        </w:tc>
        <w:tc>
          <w:tcPr>
            <w:tcW w:w="961"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9C8B4F5"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p>
        </w:tc>
        <w:tc>
          <w:tcPr>
            <w:tcW w:w="1048"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3D3100A"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NA</w:t>
            </w:r>
          </w:p>
        </w:tc>
        <w:tc>
          <w:tcPr>
            <w:tcW w:w="1405" w:type="dxa"/>
            <w:tcBorders>
              <w:top w:val="single" w:sz="12"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31B4532"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0.0</w:t>
            </w:r>
          </w:p>
        </w:tc>
      </w:tr>
      <w:tr w:rsidR="007E7D62" w14:paraId="5AA1F4BC" w14:textId="77777777" w:rsidTr="00C631E6">
        <w:trPr>
          <w:jc w:val="center"/>
        </w:trPr>
        <w:tc>
          <w:tcPr>
            <w:tcW w:w="1817"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3D27D6C"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Year of breakdown end</w:t>
            </w:r>
          </w:p>
        </w:tc>
        <w:tc>
          <w:tcPr>
            <w:tcW w:w="65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D227DFD"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w:t>
            </w:r>
          </w:p>
        </w:tc>
        <w:tc>
          <w:tcPr>
            <w:tcW w:w="1218"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F482003"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-7,037.6</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D00E969"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14,121.30</w:t>
            </w:r>
          </w:p>
        </w:tc>
        <w:tc>
          <w:tcPr>
            <w:tcW w:w="96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7071E36"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23.8</w:t>
            </w:r>
          </w:p>
        </w:tc>
        <w:tc>
          <w:tcPr>
            <w:tcW w:w="1048"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71ED8E0"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&lt;0.001</w:t>
            </w:r>
          </w:p>
        </w:tc>
        <w:tc>
          <w:tcPr>
            <w:tcW w:w="140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57312B7"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21.8</w:t>
            </w:r>
          </w:p>
        </w:tc>
      </w:tr>
      <w:tr w:rsidR="007E7D62" w14:paraId="5B81E6AA" w14:textId="77777777" w:rsidTr="00C631E6">
        <w:trPr>
          <w:jc w:val="center"/>
        </w:trPr>
        <w:tc>
          <w:tcPr>
            <w:tcW w:w="1817"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236ACB0"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 xml:space="preserve">Regional Veterinary Office </w:t>
            </w:r>
          </w:p>
        </w:tc>
        <w:tc>
          <w:tcPr>
            <w:tcW w:w="65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68B8DFD"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15</w:t>
            </w:r>
          </w:p>
        </w:tc>
        <w:tc>
          <w:tcPr>
            <w:tcW w:w="1218"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42D309A3"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-7,062.5</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5258D2E"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14,142.97</w:t>
            </w:r>
          </w:p>
        </w:tc>
        <w:tc>
          <w:tcPr>
            <w:tcW w:w="96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CA5E4D1"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73.5</w:t>
            </w:r>
          </w:p>
        </w:tc>
        <w:tc>
          <w:tcPr>
            <w:tcW w:w="1048"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3480E3B"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&lt;0.001</w:t>
            </w:r>
          </w:p>
        </w:tc>
        <w:tc>
          <w:tcPr>
            <w:tcW w:w="140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7E569AE9"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43.5</w:t>
            </w:r>
          </w:p>
        </w:tc>
      </w:tr>
      <w:tr w:rsidR="007E7D62" w14:paraId="566892FA" w14:textId="77777777" w:rsidTr="00C631E6">
        <w:trPr>
          <w:jc w:val="center"/>
        </w:trPr>
        <w:tc>
          <w:tcPr>
            <w:tcW w:w="1817"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17AE8A4"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Log herd size</w:t>
            </w:r>
          </w:p>
        </w:tc>
        <w:tc>
          <w:tcPr>
            <w:tcW w:w="65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33BB01A"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w:t>
            </w:r>
          </w:p>
        </w:tc>
        <w:tc>
          <w:tcPr>
            <w:tcW w:w="1218"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3DF84BA"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-7,263.1</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0F39EA6"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14,572.24</w:t>
            </w:r>
          </w:p>
        </w:tc>
        <w:tc>
          <w:tcPr>
            <w:tcW w:w="96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2D1A374C"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474.8</w:t>
            </w:r>
          </w:p>
        </w:tc>
        <w:tc>
          <w:tcPr>
            <w:tcW w:w="1048"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1C83526"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&lt;0.001</w:t>
            </w:r>
          </w:p>
        </w:tc>
        <w:tc>
          <w:tcPr>
            <w:tcW w:w="140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58ABEB23"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472.8</w:t>
            </w:r>
          </w:p>
        </w:tc>
      </w:tr>
      <w:tr w:rsidR="007E7D62" w14:paraId="0F0DFD7A" w14:textId="77777777" w:rsidTr="00C631E6">
        <w:trPr>
          <w:jc w:val="center"/>
        </w:trPr>
        <w:tc>
          <w:tcPr>
            <w:tcW w:w="1817"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4DB64EE"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Herd type</w:t>
            </w:r>
          </w:p>
        </w:tc>
        <w:tc>
          <w:tcPr>
            <w:tcW w:w="65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FBBA559"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4</w:t>
            </w:r>
          </w:p>
        </w:tc>
        <w:tc>
          <w:tcPr>
            <w:tcW w:w="1218"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CC32B97"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-7,031.5</w:t>
            </w:r>
          </w:p>
        </w:tc>
        <w:tc>
          <w:tcPr>
            <w:tcW w:w="1389"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366BF4D5"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14,103.07</w:t>
            </w:r>
          </w:p>
        </w:tc>
        <w:tc>
          <w:tcPr>
            <w:tcW w:w="961"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669C52F6"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11.6</w:t>
            </w:r>
          </w:p>
        </w:tc>
        <w:tc>
          <w:tcPr>
            <w:tcW w:w="1048"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1627A16E"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0.021</w:t>
            </w:r>
          </w:p>
        </w:tc>
        <w:tc>
          <w:tcPr>
            <w:tcW w:w="1405" w:type="dxa"/>
            <w:tcBorders>
              <w:top w:val="single" w:sz="6" w:space="0" w:color="666666"/>
              <w:left w:val="none" w:sz="0" w:space="0" w:color="000000"/>
              <w:bottom w:val="single" w:sz="6" w:space="0" w:color="666666"/>
              <w:right w:val="none" w:sz="0" w:space="0" w:color="000000"/>
            </w:tcBorders>
            <w:shd w:val="clear" w:color="auto" w:fill="FFFFFF"/>
            <w:tcMar>
              <w:top w:w="0" w:type="dxa"/>
              <w:left w:w="0" w:type="dxa"/>
              <w:bottom w:w="0" w:type="dxa"/>
              <w:right w:w="0" w:type="dxa"/>
            </w:tcMar>
            <w:vAlign w:val="center"/>
          </w:tcPr>
          <w:p w14:paraId="0968A852"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3.6</w:t>
            </w:r>
          </w:p>
        </w:tc>
      </w:tr>
      <w:tr w:rsidR="007E7D62" w14:paraId="65341937" w14:textId="77777777" w:rsidTr="00C631E6">
        <w:trPr>
          <w:jc w:val="center"/>
        </w:trPr>
        <w:tc>
          <w:tcPr>
            <w:tcW w:w="1817"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6C1E0D4"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sidRPr="00FB36D2">
              <w:rPr>
                <w:rFonts w:ascii="Arial" w:eastAsia="Arial" w:hAnsi="Arial" w:cs="Arial"/>
                <w:color w:val="000000"/>
              </w:rPr>
              <w:t>Log count skin cases in eligible skin test</w:t>
            </w:r>
          </w:p>
        </w:tc>
        <w:tc>
          <w:tcPr>
            <w:tcW w:w="655"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6DADEA2"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w:t>
            </w:r>
          </w:p>
        </w:tc>
        <w:tc>
          <w:tcPr>
            <w:tcW w:w="1218"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59BE0D7"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-7,039.5</w:t>
            </w:r>
          </w:p>
        </w:tc>
        <w:tc>
          <w:tcPr>
            <w:tcW w:w="1389"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80D78D7"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14,125.09</w:t>
            </w:r>
          </w:p>
        </w:tc>
        <w:tc>
          <w:tcPr>
            <w:tcW w:w="961"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7E196B1"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27.6</w:t>
            </w:r>
          </w:p>
        </w:tc>
        <w:tc>
          <w:tcPr>
            <w:tcW w:w="1048"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45EBBD2"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rPr>
                <w:rFonts w:ascii="Arial" w:eastAsia="Arial" w:hAnsi="Arial" w:cs="Arial"/>
                <w:color w:val="000000"/>
              </w:rPr>
            </w:pPr>
            <w:r>
              <w:rPr>
                <w:rFonts w:ascii="Arial" w:eastAsia="Arial" w:hAnsi="Arial" w:cs="Arial"/>
                <w:color w:val="000000"/>
              </w:rPr>
              <w:t>&lt;0.001</w:t>
            </w:r>
          </w:p>
        </w:tc>
        <w:tc>
          <w:tcPr>
            <w:tcW w:w="1405" w:type="dxa"/>
            <w:tcBorders>
              <w:top w:val="single" w:sz="6"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15857FB" w14:textId="77777777" w:rsidR="007E7D62" w:rsidRPr="00DB081C" w:rsidRDefault="007E7D62" w:rsidP="00DB081C">
            <w:pPr>
              <w:pBdr>
                <w:top w:val="none" w:sz="0" w:space="0" w:color="000000"/>
                <w:left w:val="none" w:sz="0" w:space="0" w:color="000000"/>
                <w:bottom w:val="none" w:sz="0" w:space="0" w:color="000000"/>
                <w:right w:val="none" w:sz="0" w:space="0" w:color="000000"/>
              </w:pBdr>
              <w:spacing w:before="100" w:after="100" w:line="240" w:lineRule="auto"/>
              <w:ind w:left="100" w:right="100"/>
              <w:jc w:val="right"/>
              <w:rPr>
                <w:rFonts w:ascii="Arial" w:eastAsia="Arial" w:hAnsi="Arial" w:cs="Arial"/>
                <w:color w:val="000000"/>
              </w:rPr>
            </w:pPr>
            <w:r>
              <w:rPr>
                <w:rFonts w:ascii="Arial" w:eastAsia="Arial" w:hAnsi="Arial" w:cs="Arial"/>
                <w:color w:val="000000"/>
              </w:rPr>
              <w:t>25.6</w:t>
            </w:r>
          </w:p>
        </w:tc>
      </w:tr>
    </w:tbl>
    <w:p w14:paraId="1AB83584" w14:textId="77777777" w:rsidR="007E7D62" w:rsidRDefault="007E7D62" w:rsidP="007E7D62">
      <w:pPr>
        <w:rPr>
          <w:b/>
          <w:bCs/>
        </w:rPr>
      </w:pPr>
    </w:p>
    <w:p w14:paraId="27E9B6F6" w14:textId="77777777" w:rsidR="007E7D62" w:rsidRDefault="007E7D62" w:rsidP="007E7D62">
      <w:pPr>
        <w:rPr>
          <w:b/>
          <w:bCs/>
        </w:rPr>
      </w:pPr>
    </w:p>
    <w:p w14:paraId="77214B7E" w14:textId="77777777" w:rsidR="00B43AEA" w:rsidRDefault="00B43AEA">
      <w:pPr>
        <w:rPr>
          <w:b/>
          <w:bCs/>
        </w:rPr>
      </w:pPr>
      <w:r>
        <w:rPr>
          <w:b/>
          <w:bCs/>
        </w:rPr>
        <w:br w:type="page"/>
      </w:r>
    </w:p>
    <w:p w14:paraId="29C8081F" w14:textId="35368801" w:rsidR="007E501E" w:rsidRPr="007E501E" w:rsidRDefault="00B43AEA" w:rsidP="007E501E">
      <w:r>
        <w:rPr>
          <w:b/>
          <w:bCs/>
        </w:rPr>
        <w:lastRenderedPageBreak/>
        <w:t xml:space="preserve">Supplementary table </w:t>
      </w:r>
      <w:r w:rsidR="00AB4E36">
        <w:rPr>
          <w:b/>
          <w:bCs/>
        </w:rPr>
        <w:t>6</w:t>
      </w:r>
      <w:r>
        <w:rPr>
          <w:b/>
          <w:bCs/>
        </w:rPr>
        <w:t xml:space="preserve">: </w:t>
      </w:r>
      <w:r w:rsidR="005C08CE" w:rsidRPr="00D62AC6">
        <w:rPr>
          <w:b/>
          <w:bCs/>
        </w:rPr>
        <w:t xml:space="preserve">Summary statistics of potential explanatory variables for an eligible skin test being followed by </w:t>
      </w:r>
      <w:r w:rsidR="00D00F66">
        <w:rPr>
          <w:b/>
          <w:bCs/>
        </w:rPr>
        <w:t>an interferon</w:t>
      </w:r>
      <w:r w:rsidR="00240232">
        <w:rPr>
          <w:b/>
          <w:bCs/>
        </w:rPr>
        <w:t>-γ</w:t>
      </w:r>
      <w:r w:rsidR="005C08CE" w:rsidRPr="00D62AC6">
        <w:rPr>
          <w:b/>
          <w:bCs/>
        </w:rPr>
        <w:t xml:space="preserve"> test.</w:t>
      </w:r>
      <w:r w:rsidR="005C08CE">
        <w:rPr>
          <w:b/>
          <w:bCs/>
        </w:rPr>
        <w:t xml:space="preserve"> (Percentages for categories are by column).</w:t>
      </w:r>
      <w:r>
        <w:t xml:space="preserve"> </w:t>
      </w:r>
    </w:p>
    <w:tbl>
      <w:tblPr>
        <w:tblStyle w:val="Table"/>
        <w:tblW w:w="0" w:type="auto"/>
        <w:jc w:val="center"/>
        <w:tblCellMar>
          <w:left w:w="60" w:type="dxa"/>
          <w:right w:w="60" w:type="dxa"/>
        </w:tblCellMar>
        <w:tblLook w:val="0000" w:firstRow="0" w:lastRow="0" w:firstColumn="0" w:lastColumn="0" w:noHBand="0" w:noVBand="0"/>
      </w:tblPr>
      <w:tblGrid>
        <w:gridCol w:w="4453"/>
        <w:gridCol w:w="1546"/>
        <w:gridCol w:w="1496"/>
      </w:tblGrid>
      <w:tr w:rsidR="007E501E" w:rsidRPr="007E501E" w14:paraId="393FD194" w14:textId="77777777" w:rsidTr="005776C8">
        <w:trPr>
          <w:cantSplit/>
          <w:tblHeader/>
          <w:jc w:val="center"/>
        </w:trPr>
        <w:tc>
          <w:tcPr>
            <w:tcW w:w="0" w:type="auto"/>
            <w:tcBorders>
              <w:top w:val="single" w:sz="16" w:space="0" w:color="D3D3D3"/>
              <w:left w:val="single" w:sz="0" w:space="0" w:color="D3D3D3"/>
              <w:bottom w:val="single" w:sz="16" w:space="0" w:color="D3D3D3"/>
            </w:tcBorders>
          </w:tcPr>
          <w:p w14:paraId="79EC5C28" w14:textId="77777777" w:rsidR="007E501E" w:rsidRPr="007E501E" w:rsidRDefault="007E501E" w:rsidP="007E501E">
            <w:pPr>
              <w:keepNext/>
              <w:spacing w:after="60" w:line="240" w:lineRule="auto"/>
              <w:rPr>
                <w:rFonts w:asciiTheme="minorHAnsi" w:hAnsiTheme="minorHAnsi"/>
              </w:rPr>
            </w:pPr>
            <w:r w:rsidRPr="007E501E">
              <w:rPr>
                <w:rFonts w:ascii="Calibri" w:hAnsi="Calibri"/>
                <w:b/>
                <w:sz w:val="20"/>
              </w:rPr>
              <w:t>Characteristic</w:t>
            </w:r>
          </w:p>
        </w:tc>
        <w:tc>
          <w:tcPr>
            <w:tcW w:w="0" w:type="auto"/>
            <w:tcBorders>
              <w:top w:val="single" w:sz="16" w:space="0" w:color="D3D3D3"/>
              <w:bottom w:val="single" w:sz="16" w:space="0" w:color="D3D3D3"/>
            </w:tcBorders>
          </w:tcPr>
          <w:p w14:paraId="7B9874FF" w14:textId="77777777" w:rsidR="007E501E" w:rsidRPr="007E501E" w:rsidRDefault="007E501E" w:rsidP="007E501E">
            <w:pPr>
              <w:keepNext/>
              <w:spacing w:after="60" w:line="240" w:lineRule="auto"/>
              <w:jc w:val="center"/>
              <w:rPr>
                <w:rFonts w:asciiTheme="minorHAnsi" w:hAnsiTheme="minorHAnsi"/>
              </w:rPr>
            </w:pPr>
            <w:r w:rsidRPr="007E501E">
              <w:rPr>
                <w:rFonts w:ascii="Calibri" w:hAnsi="Calibri"/>
                <w:b/>
                <w:sz w:val="20"/>
              </w:rPr>
              <w:t>FALSE</w:t>
            </w:r>
            <w:r w:rsidRPr="007E501E">
              <w:rPr>
                <w:rFonts w:ascii="Calibri" w:hAnsi="Calibri"/>
                <w:sz w:val="20"/>
              </w:rPr>
              <w:t>, N = 2,196</w:t>
            </w:r>
            <w:r w:rsidRPr="007E501E">
              <w:rPr>
                <w:rFonts w:ascii="Calibri" w:hAnsi="Calibri"/>
                <w:i/>
                <w:sz w:val="20"/>
                <w:vertAlign w:val="superscript"/>
              </w:rPr>
              <w:t>1</w:t>
            </w:r>
          </w:p>
        </w:tc>
        <w:tc>
          <w:tcPr>
            <w:tcW w:w="0" w:type="auto"/>
            <w:tcBorders>
              <w:top w:val="single" w:sz="16" w:space="0" w:color="D3D3D3"/>
              <w:bottom w:val="single" w:sz="16" w:space="0" w:color="D3D3D3"/>
              <w:right w:val="single" w:sz="0" w:space="0" w:color="D3D3D3"/>
            </w:tcBorders>
          </w:tcPr>
          <w:p w14:paraId="22CD4E41" w14:textId="77777777" w:rsidR="007E501E" w:rsidRPr="007E501E" w:rsidRDefault="007E501E" w:rsidP="007E501E">
            <w:pPr>
              <w:keepNext/>
              <w:spacing w:after="60" w:line="240" w:lineRule="auto"/>
              <w:jc w:val="center"/>
              <w:rPr>
                <w:rFonts w:asciiTheme="minorHAnsi" w:hAnsiTheme="minorHAnsi"/>
              </w:rPr>
            </w:pPr>
            <w:r w:rsidRPr="007E501E">
              <w:rPr>
                <w:rFonts w:ascii="Calibri" w:hAnsi="Calibri"/>
                <w:b/>
                <w:sz w:val="20"/>
              </w:rPr>
              <w:t>TRUE</w:t>
            </w:r>
            <w:r w:rsidRPr="007E501E">
              <w:rPr>
                <w:rFonts w:ascii="Calibri" w:hAnsi="Calibri"/>
                <w:sz w:val="20"/>
              </w:rPr>
              <w:t>, N = 1,511</w:t>
            </w:r>
            <w:r w:rsidRPr="007E501E">
              <w:rPr>
                <w:rFonts w:ascii="Calibri" w:hAnsi="Calibri"/>
                <w:i/>
                <w:sz w:val="20"/>
                <w:vertAlign w:val="superscript"/>
              </w:rPr>
              <w:t>1</w:t>
            </w:r>
          </w:p>
        </w:tc>
      </w:tr>
      <w:tr w:rsidR="007E4000" w:rsidRPr="007E501E" w14:paraId="3CD5E123"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6057FCEC" w14:textId="124146F6" w:rsidR="007E4000" w:rsidRPr="007E501E" w:rsidRDefault="007E4000" w:rsidP="007E4000">
            <w:pPr>
              <w:keepNext/>
              <w:spacing w:after="60" w:line="240" w:lineRule="auto"/>
              <w:rPr>
                <w:rFonts w:asciiTheme="minorHAnsi" w:hAnsiTheme="minorHAnsi"/>
              </w:rPr>
            </w:pPr>
            <w:r>
              <w:rPr>
                <w:rFonts w:ascii="Calibri" w:hAnsi="Calibri"/>
                <w:sz w:val="20"/>
              </w:rPr>
              <w:t>Count skin cases in eligible test</w:t>
            </w:r>
          </w:p>
        </w:tc>
        <w:tc>
          <w:tcPr>
            <w:tcW w:w="0" w:type="auto"/>
            <w:tcBorders>
              <w:top w:val="single" w:sz="0" w:space="0" w:color="D3D3D3"/>
              <w:left w:val="single" w:sz="0" w:space="0" w:color="D3D3D3"/>
              <w:bottom w:val="single" w:sz="0" w:space="0" w:color="D3D3D3"/>
              <w:right w:val="single" w:sz="0" w:space="0" w:color="D3D3D3"/>
            </w:tcBorders>
          </w:tcPr>
          <w:p w14:paraId="2A8EC1A0"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4.0 (2.0, 6.0)</w:t>
            </w:r>
          </w:p>
        </w:tc>
        <w:tc>
          <w:tcPr>
            <w:tcW w:w="0" w:type="auto"/>
            <w:tcBorders>
              <w:top w:val="single" w:sz="0" w:space="0" w:color="D3D3D3"/>
              <w:left w:val="single" w:sz="0" w:space="0" w:color="D3D3D3"/>
              <w:bottom w:val="single" w:sz="0" w:space="0" w:color="D3D3D3"/>
              <w:right w:val="single" w:sz="0" w:space="0" w:color="D3D3D3"/>
            </w:tcBorders>
          </w:tcPr>
          <w:p w14:paraId="41A6F370"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7.0 (4.0, 11.0)</w:t>
            </w:r>
          </w:p>
        </w:tc>
      </w:tr>
      <w:tr w:rsidR="007E4000" w:rsidRPr="007E501E" w14:paraId="11F1ED75"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18C70745" w14:textId="77777777" w:rsidR="007E4000" w:rsidRDefault="007E4000" w:rsidP="007E4000">
            <w:pPr>
              <w:keepNext/>
              <w:spacing w:after="60" w:line="240" w:lineRule="auto"/>
              <w:rPr>
                <w:rFonts w:ascii="Calibri" w:hAnsi="Calibri"/>
                <w:sz w:val="20"/>
              </w:rPr>
            </w:pPr>
            <w:r>
              <w:rPr>
                <w:rFonts w:ascii="Calibri" w:hAnsi="Calibri"/>
                <w:sz w:val="20"/>
              </w:rPr>
              <w:t xml:space="preserve">Cumulative count skin cases up </w:t>
            </w:r>
          </w:p>
          <w:p w14:paraId="742AC032" w14:textId="266EADF8" w:rsidR="007E4000" w:rsidRPr="007E501E" w:rsidRDefault="007E4000" w:rsidP="007E4000">
            <w:pPr>
              <w:keepNext/>
              <w:spacing w:after="60" w:line="240" w:lineRule="auto"/>
              <w:rPr>
                <w:rFonts w:asciiTheme="minorHAnsi" w:hAnsiTheme="minorHAnsi"/>
              </w:rPr>
            </w:pPr>
            <w:r>
              <w:rPr>
                <w:rFonts w:ascii="Calibri" w:hAnsi="Calibri"/>
                <w:sz w:val="20"/>
              </w:rPr>
              <w:t>to end eligible test</w:t>
            </w:r>
          </w:p>
        </w:tc>
        <w:tc>
          <w:tcPr>
            <w:tcW w:w="0" w:type="auto"/>
            <w:tcBorders>
              <w:top w:val="single" w:sz="0" w:space="0" w:color="D3D3D3"/>
              <w:left w:val="single" w:sz="0" w:space="0" w:color="D3D3D3"/>
              <w:bottom w:val="single" w:sz="0" w:space="0" w:color="D3D3D3"/>
              <w:right w:val="single" w:sz="0" w:space="0" w:color="D3D3D3"/>
            </w:tcBorders>
          </w:tcPr>
          <w:p w14:paraId="271C3F1E"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6 (4, 11)</w:t>
            </w:r>
          </w:p>
        </w:tc>
        <w:tc>
          <w:tcPr>
            <w:tcW w:w="0" w:type="auto"/>
            <w:tcBorders>
              <w:top w:val="single" w:sz="0" w:space="0" w:color="D3D3D3"/>
              <w:left w:val="single" w:sz="0" w:space="0" w:color="D3D3D3"/>
              <w:bottom w:val="single" w:sz="0" w:space="0" w:color="D3D3D3"/>
              <w:right w:val="single" w:sz="0" w:space="0" w:color="D3D3D3"/>
            </w:tcBorders>
          </w:tcPr>
          <w:p w14:paraId="01AE2C9B"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8 (5, 13)</w:t>
            </w:r>
          </w:p>
        </w:tc>
      </w:tr>
      <w:tr w:rsidR="007E4000" w:rsidRPr="007E501E" w14:paraId="14BE4050"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5E6F6E5D" w14:textId="77777777" w:rsidR="007E4000" w:rsidRDefault="007E4000" w:rsidP="007E4000">
            <w:pPr>
              <w:keepNext/>
              <w:spacing w:after="60" w:line="240" w:lineRule="auto"/>
              <w:rPr>
                <w:rFonts w:ascii="Calibri" w:hAnsi="Calibri"/>
                <w:sz w:val="20"/>
              </w:rPr>
            </w:pPr>
            <w:r>
              <w:rPr>
                <w:rFonts w:ascii="Calibri" w:hAnsi="Calibri"/>
                <w:sz w:val="20"/>
              </w:rPr>
              <w:t xml:space="preserve">Cumulative count skin or slaughterhouse </w:t>
            </w:r>
          </w:p>
          <w:p w14:paraId="092F6F5C" w14:textId="73E9E17D" w:rsidR="007E4000" w:rsidRPr="007E501E" w:rsidRDefault="007E4000" w:rsidP="007E4000">
            <w:pPr>
              <w:keepNext/>
              <w:spacing w:after="60" w:line="240" w:lineRule="auto"/>
              <w:rPr>
                <w:rFonts w:asciiTheme="minorHAnsi" w:hAnsiTheme="minorHAnsi"/>
              </w:rPr>
            </w:pPr>
            <w:r>
              <w:rPr>
                <w:rFonts w:ascii="Calibri" w:hAnsi="Calibri"/>
                <w:sz w:val="20"/>
              </w:rPr>
              <w:t>Cases up to end eligible test</w:t>
            </w:r>
          </w:p>
        </w:tc>
        <w:tc>
          <w:tcPr>
            <w:tcW w:w="0" w:type="auto"/>
            <w:tcBorders>
              <w:top w:val="single" w:sz="0" w:space="0" w:color="D3D3D3"/>
              <w:left w:val="single" w:sz="0" w:space="0" w:color="D3D3D3"/>
              <w:bottom w:val="single" w:sz="0" w:space="0" w:color="D3D3D3"/>
              <w:right w:val="single" w:sz="0" w:space="0" w:color="D3D3D3"/>
            </w:tcBorders>
          </w:tcPr>
          <w:p w14:paraId="7BCFDC55"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7 (5, 11)</w:t>
            </w:r>
          </w:p>
        </w:tc>
        <w:tc>
          <w:tcPr>
            <w:tcW w:w="0" w:type="auto"/>
            <w:tcBorders>
              <w:top w:val="single" w:sz="0" w:space="0" w:color="D3D3D3"/>
              <w:left w:val="single" w:sz="0" w:space="0" w:color="D3D3D3"/>
              <w:bottom w:val="single" w:sz="0" w:space="0" w:color="D3D3D3"/>
              <w:right w:val="single" w:sz="0" w:space="0" w:color="D3D3D3"/>
            </w:tcBorders>
          </w:tcPr>
          <w:p w14:paraId="7044A6C1"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8 (6, 13)</w:t>
            </w:r>
          </w:p>
        </w:tc>
      </w:tr>
      <w:tr w:rsidR="007E4000" w:rsidRPr="007E501E" w14:paraId="39481F8D"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61B5FCD3" w14:textId="3788183B" w:rsidR="007E4000" w:rsidRPr="007E501E" w:rsidRDefault="007E4000" w:rsidP="007E4000">
            <w:pPr>
              <w:keepNext/>
              <w:spacing w:after="60" w:line="240" w:lineRule="auto"/>
              <w:rPr>
                <w:rFonts w:asciiTheme="minorHAnsi" w:hAnsiTheme="minorHAnsi"/>
              </w:rPr>
            </w:pPr>
            <w:r>
              <w:rPr>
                <w:rFonts w:ascii="Calibri" w:hAnsi="Calibri"/>
                <w:sz w:val="20"/>
              </w:rPr>
              <w:t>Herd size</w:t>
            </w:r>
          </w:p>
        </w:tc>
        <w:tc>
          <w:tcPr>
            <w:tcW w:w="0" w:type="auto"/>
            <w:tcBorders>
              <w:top w:val="single" w:sz="0" w:space="0" w:color="D3D3D3"/>
              <w:left w:val="single" w:sz="0" w:space="0" w:color="D3D3D3"/>
              <w:bottom w:val="single" w:sz="0" w:space="0" w:color="D3D3D3"/>
              <w:right w:val="single" w:sz="0" w:space="0" w:color="D3D3D3"/>
            </w:tcBorders>
          </w:tcPr>
          <w:p w14:paraId="1DB11A99"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132 (69, 208)</w:t>
            </w:r>
          </w:p>
        </w:tc>
        <w:tc>
          <w:tcPr>
            <w:tcW w:w="0" w:type="auto"/>
            <w:tcBorders>
              <w:top w:val="single" w:sz="0" w:space="0" w:color="D3D3D3"/>
              <w:left w:val="single" w:sz="0" w:space="0" w:color="D3D3D3"/>
              <w:bottom w:val="single" w:sz="0" w:space="0" w:color="D3D3D3"/>
              <w:right w:val="single" w:sz="0" w:space="0" w:color="D3D3D3"/>
            </w:tcBorders>
          </w:tcPr>
          <w:p w14:paraId="2E56214C"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110 (60, 184)</w:t>
            </w:r>
          </w:p>
        </w:tc>
      </w:tr>
      <w:tr w:rsidR="007E4000" w:rsidRPr="007E501E" w14:paraId="7822461D"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1EEF2DE1" w14:textId="22CF16C3" w:rsidR="007E4000" w:rsidRPr="007E501E" w:rsidRDefault="007E4000" w:rsidP="007E4000">
            <w:pPr>
              <w:keepNext/>
              <w:spacing w:after="60" w:line="240" w:lineRule="auto"/>
              <w:rPr>
                <w:rFonts w:asciiTheme="minorHAnsi" w:hAnsiTheme="minorHAnsi"/>
              </w:rPr>
            </w:pPr>
            <w:r>
              <w:rPr>
                <w:rFonts w:ascii="Calibri" w:hAnsi="Calibri"/>
                <w:sz w:val="20"/>
              </w:rPr>
              <w:t>Count previous interferon-γ tests in same breakdown</w:t>
            </w:r>
          </w:p>
        </w:tc>
        <w:tc>
          <w:tcPr>
            <w:tcW w:w="0" w:type="auto"/>
            <w:tcBorders>
              <w:top w:val="single" w:sz="0" w:space="0" w:color="D3D3D3"/>
              <w:left w:val="single" w:sz="0" w:space="0" w:color="D3D3D3"/>
              <w:bottom w:val="single" w:sz="0" w:space="0" w:color="D3D3D3"/>
              <w:right w:val="single" w:sz="0" w:space="0" w:color="D3D3D3"/>
            </w:tcBorders>
          </w:tcPr>
          <w:p w14:paraId="58BFD96B" w14:textId="77777777" w:rsidR="007E4000" w:rsidRPr="007E501E" w:rsidRDefault="007E4000" w:rsidP="007E4000">
            <w:pPr>
              <w:keepNext/>
              <w:spacing w:after="60" w:line="240" w:lineRule="auto"/>
              <w:jc w:val="center"/>
              <w:rPr>
                <w:rFonts w:asciiTheme="minorHAnsi" w:hAnsiTheme="minorHAnsi"/>
              </w:rPr>
            </w:pPr>
          </w:p>
        </w:tc>
        <w:tc>
          <w:tcPr>
            <w:tcW w:w="0" w:type="auto"/>
            <w:tcBorders>
              <w:top w:val="single" w:sz="0" w:space="0" w:color="D3D3D3"/>
              <w:left w:val="single" w:sz="0" w:space="0" w:color="D3D3D3"/>
              <w:bottom w:val="single" w:sz="0" w:space="0" w:color="D3D3D3"/>
              <w:right w:val="single" w:sz="0" w:space="0" w:color="D3D3D3"/>
            </w:tcBorders>
          </w:tcPr>
          <w:p w14:paraId="5304BF0D" w14:textId="77777777" w:rsidR="007E4000" w:rsidRPr="007E501E" w:rsidRDefault="007E4000" w:rsidP="007E4000">
            <w:pPr>
              <w:keepNext/>
              <w:spacing w:after="60" w:line="240" w:lineRule="auto"/>
              <w:jc w:val="center"/>
              <w:rPr>
                <w:rFonts w:asciiTheme="minorHAnsi" w:hAnsiTheme="minorHAnsi"/>
              </w:rPr>
            </w:pPr>
          </w:p>
        </w:tc>
      </w:tr>
      <w:tr w:rsidR="007E4000" w:rsidRPr="007E501E" w14:paraId="68C3B737"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55E8B20E" w14:textId="58AFC35E" w:rsidR="007E4000" w:rsidRPr="007E501E" w:rsidRDefault="007E4000" w:rsidP="007E4000">
            <w:pPr>
              <w:keepNext/>
              <w:spacing w:after="60" w:line="240" w:lineRule="auto"/>
              <w:rPr>
                <w:rFonts w:asciiTheme="minorHAnsi" w:hAnsiTheme="minorHAnsi"/>
              </w:rPr>
            </w:pPr>
            <w:r>
              <w:rPr>
                <w:rFonts w:ascii="Calibri" w:hAnsi="Calibri"/>
                <w:sz w:val="20"/>
              </w:rPr>
              <w:t>    0</w:t>
            </w:r>
          </w:p>
        </w:tc>
        <w:tc>
          <w:tcPr>
            <w:tcW w:w="0" w:type="auto"/>
            <w:tcBorders>
              <w:top w:val="single" w:sz="0" w:space="0" w:color="D3D3D3"/>
              <w:left w:val="single" w:sz="0" w:space="0" w:color="D3D3D3"/>
              <w:bottom w:val="single" w:sz="0" w:space="0" w:color="D3D3D3"/>
              <w:right w:val="single" w:sz="0" w:space="0" w:color="D3D3D3"/>
            </w:tcBorders>
          </w:tcPr>
          <w:p w14:paraId="5B03B619"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1,720 (78%)</w:t>
            </w:r>
          </w:p>
        </w:tc>
        <w:tc>
          <w:tcPr>
            <w:tcW w:w="0" w:type="auto"/>
            <w:tcBorders>
              <w:top w:val="single" w:sz="0" w:space="0" w:color="D3D3D3"/>
              <w:left w:val="single" w:sz="0" w:space="0" w:color="D3D3D3"/>
              <w:bottom w:val="single" w:sz="0" w:space="0" w:color="D3D3D3"/>
              <w:right w:val="single" w:sz="0" w:space="0" w:color="D3D3D3"/>
            </w:tcBorders>
          </w:tcPr>
          <w:p w14:paraId="386DD651"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1,407 (93%)</w:t>
            </w:r>
          </w:p>
        </w:tc>
      </w:tr>
      <w:tr w:rsidR="007E4000" w:rsidRPr="007E501E" w14:paraId="6D0B1F49"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3758B85C" w14:textId="558F2807" w:rsidR="007E4000" w:rsidRPr="007E501E" w:rsidRDefault="007E4000" w:rsidP="007E4000">
            <w:pPr>
              <w:keepNext/>
              <w:spacing w:after="60" w:line="240" w:lineRule="auto"/>
              <w:rPr>
                <w:rFonts w:asciiTheme="minorHAnsi" w:hAnsiTheme="minorHAnsi"/>
              </w:rPr>
            </w:pPr>
            <w:r>
              <w:rPr>
                <w:rFonts w:ascii="Calibri" w:hAnsi="Calibri"/>
                <w:sz w:val="20"/>
              </w:rPr>
              <w:t>    1</w:t>
            </w:r>
          </w:p>
        </w:tc>
        <w:tc>
          <w:tcPr>
            <w:tcW w:w="0" w:type="auto"/>
            <w:tcBorders>
              <w:top w:val="single" w:sz="0" w:space="0" w:color="D3D3D3"/>
              <w:left w:val="single" w:sz="0" w:space="0" w:color="D3D3D3"/>
              <w:bottom w:val="single" w:sz="0" w:space="0" w:color="D3D3D3"/>
              <w:right w:val="single" w:sz="0" w:space="0" w:color="D3D3D3"/>
            </w:tcBorders>
          </w:tcPr>
          <w:p w14:paraId="61A5732B"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397 (18%)</w:t>
            </w:r>
          </w:p>
        </w:tc>
        <w:tc>
          <w:tcPr>
            <w:tcW w:w="0" w:type="auto"/>
            <w:tcBorders>
              <w:top w:val="single" w:sz="0" w:space="0" w:color="D3D3D3"/>
              <w:left w:val="single" w:sz="0" w:space="0" w:color="D3D3D3"/>
              <w:bottom w:val="single" w:sz="0" w:space="0" w:color="D3D3D3"/>
              <w:right w:val="single" w:sz="0" w:space="0" w:color="D3D3D3"/>
            </w:tcBorders>
          </w:tcPr>
          <w:p w14:paraId="234018FB"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90 (6.0%)</w:t>
            </w:r>
          </w:p>
        </w:tc>
      </w:tr>
      <w:tr w:rsidR="007E4000" w:rsidRPr="007E501E" w14:paraId="2A307142"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5EBC2602" w14:textId="393F88FA" w:rsidR="007E4000" w:rsidRPr="007E501E" w:rsidRDefault="007E4000" w:rsidP="007E4000">
            <w:pPr>
              <w:keepNext/>
              <w:spacing w:after="60" w:line="240" w:lineRule="auto"/>
              <w:rPr>
                <w:rFonts w:asciiTheme="minorHAnsi" w:hAnsiTheme="minorHAnsi"/>
              </w:rPr>
            </w:pPr>
            <w:r>
              <w:rPr>
                <w:rFonts w:ascii="Calibri" w:hAnsi="Calibri"/>
                <w:sz w:val="20"/>
              </w:rPr>
              <w:t>    2</w:t>
            </w:r>
          </w:p>
        </w:tc>
        <w:tc>
          <w:tcPr>
            <w:tcW w:w="0" w:type="auto"/>
            <w:tcBorders>
              <w:top w:val="single" w:sz="0" w:space="0" w:color="D3D3D3"/>
              <w:left w:val="single" w:sz="0" w:space="0" w:color="D3D3D3"/>
              <w:bottom w:val="single" w:sz="0" w:space="0" w:color="D3D3D3"/>
              <w:right w:val="single" w:sz="0" w:space="0" w:color="D3D3D3"/>
            </w:tcBorders>
          </w:tcPr>
          <w:p w14:paraId="730B098B"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63 (2.9%)</w:t>
            </w:r>
          </w:p>
        </w:tc>
        <w:tc>
          <w:tcPr>
            <w:tcW w:w="0" w:type="auto"/>
            <w:tcBorders>
              <w:top w:val="single" w:sz="0" w:space="0" w:color="D3D3D3"/>
              <w:left w:val="single" w:sz="0" w:space="0" w:color="D3D3D3"/>
              <w:bottom w:val="single" w:sz="0" w:space="0" w:color="D3D3D3"/>
              <w:right w:val="single" w:sz="0" w:space="0" w:color="D3D3D3"/>
            </w:tcBorders>
          </w:tcPr>
          <w:p w14:paraId="097A0C24"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14 (0.9%)</w:t>
            </w:r>
          </w:p>
        </w:tc>
      </w:tr>
      <w:tr w:rsidR="007E4000" w:rsidRPr="007E501E" w14:paraId="15E39465"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1F75C2F3" w14:textId="43E51C1B" w:rsidR="007E4000" w:rsidRPr="007E501E" w:rsidRDefault="007E4000" w:rsidP="007E4000">
            <w:pPr>
              <w:keepNext/>
              <w:spacing w:after="60" w:line="240" w:lineRule="auto"/>
              <w:rPr>
                <w:rFonts w:asciiTheme="minorHAnsi" w:hAnsiTheme="minorHAnsi"/>
              </w:rPr>
            </w:pPr>
            <w:r>
              <w:rPr>
                <w:rFonts w:ascii="Calibri" w:hAnsi="Calibri"/>
                <w:sz w:val="20"/>
              </w:rPr>
              <w:t>    3</w:t>
            </w:r>
          </w:p>
        </w:tc>
        <w:tc>
          <w:tcPr>
            <w:tcW w:w="0" w:type="auto"/>
            <w:tcBorders>
              <w:top w:val="single" w:sz="0" w:space="0" w:color="D3D3D3"/>
              <w:left w:val="single" w:sz="0" w:space="0" w:color="D3D3D3"/>
              <w:bottom w:val="single" w:sz="0" w:space="0" w:color="D3D3D3"/>
              <w:right w:val="single" w:sz="0" w:space="0" w:color="D3D3D3"/>
            </w:tcBorders>
          </w:tcPr>
          <w:p w14:paraId="03C4B32E"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16 (0.7%)</w:t>
            </w:r>
          </w:p>
        </w:tc>
        <w:tc>
          <w:tcPr>
            <w:tcW w:w="0" w:type="auto"/>
            <w:tcBorders>
              <w:top w:val="single" w:sz="0" w:space="0" w:color="D3D3D3"/>
              <w:left w:val="single" w:sz="0" w:space="0" w:color="D3D3D3"/>
              <w:bottom w:val="single" w:sz="0" w:space="0" w:color="D3D3D3"/>
              <w:right w:val="single" w:sz="0" w:space="0" w:color="D3D3D3"/>
            </w:tcBorders>
          </w:tcPr>
          <w:p w14:paraId="2C1AA974"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0 (0%)</w:t>
            </w:r>
          </w:p>
        </w:tc>
      </w:tr>
      <w:tr w:rsidR="007E4000" w:rsidRPr="007E501E" w14:paraId="6042629F"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56C0A495" w14:textId="4982AE3D" w:rsidR="007E4000" w:rsidRPr="007E501E" w:rsidRDefault="007E4000" w:rsidP="007E4000">
            <w:pPr>
              <w:keepNext/>
              <w:spacing w:after="60" w:line="240" w:lineRule="auto"/>
              <w:rPr>
                <w:rFonts w:asciiTheme="minorHAnsi" w:hAnsiTheme="minorHAnsi"/>
              </w:rPr>
            </w:pPr>
            <w:r>
              <w:rPr>
                <w:rFonts w:ascii="Calibri" w:hAnsi="Calibri"/>
                <w:sz w:val="20"/>
              </w:rPr>
              <w:t>Year breakdown end</w:t>
            </w:r>
          </w:p>
        </w:tc>
        <w:tc>
          <w:tcPr>
            <w:tcW w:w="0" w:type="auto"/>
            <w:tcBorders>
              <w:top w:val="single" w:sz="0" w:space="0" w:color="D3D3D3"/>
              <w:left w:val="single" w:sz="0" w:space="0" w:color="D3D3D3"/>
              <w:bottom w:val="single" w:sz="0" w:space="0" w:color="D3D3D3"/>
              <w:right w:val="single" w:sz="0" w:space="0" w:color="D3D3D3"/>
            </w:tcBorders>
          </w:tcPr>
          <w:p w14:paraId="3776C351" w14:textId="77777777" w:rsidR="007E4000" w:rsidRPr="007E501E" w:rsidRDefault="007E4000" w:rsidP="007E4000">
            <w:pPr>
              <w:keepNext/>
              <w:spacing w:after="60" w:line="240" w:lineRule="auto"/>
              <w:jc w:val="center"/>
              <w:rPr>
                <w:rFonts w:asciiTheme="minorHAnsi" w:hAnsiTheme="minorHAnsi"/>
              </w:rPr>
            </w:pPr>
          </w:p>
        </w:tc>
        <w:tc>
          <w:tcPr>
            <w:tcW w:w="0" w:type="auto"/>
            <w:tcBorders>
              <w:top w:val="single" w:sz="0" w:space="0" w:color="D3D3D3"/>
              <w:left w:val="single" w:sz="0" w:space="0" w:color="D3D3D3"/>
              <w:bottom w:val="single" w:sz="0" w:space="0" w:color="D3D3D3"/>
              <w:right w:val="single" w:sz="0" w:space="0" w:color="D3D3D3"/>
            </w:tcBorders>
          </w:tcPr>
          <w:p w14:paraId="622FD670" w14:textId="77777777" w:rsidR="007E4000" w:rsidRPr="007E501E" w:rsidRDefault="007E4000" w:rsidP="007E4000">
            <w:pPr>
              <w:keepNext/>
              <w:spacing w:after="60" w:line="240" w:lineRule="auto"/>
              <w:jc w:val="center"/>
              <w:rPr>
                <w:rFonts w:asciiTheme="minorHAnsi" w:hAnsiTheme="minorHAnsi"/>
              </w:rPr>
            </w:pPr>
          </w:p>
        </w:tc>
      </w:tr>
      <w:tr w:rsidR="007E4000" w:rsidRPr="007E501E" w14:paraId="2155DC1E"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6DCE6917" w14:textId="37E04BEB" w:rsidR="007E4000" w:rsidRPr="007E501E" w:rsidRDefault="007E4000" w:rsidP="007E4000">
            <w:pPr>
              <w:keepNext/>
              <w:spacing w:after="60" w:line="240" w:lineRule="auto"/>
              <w:rPr>
                <w:rFonts w:asciiTheme="minorHAnsi" w:hAnsiTheme="minorHAnsi"/>
              </w:rPr>
            </w:pPr>
            <w:r>
              <w:rPr>
                <w:rFonts w:ascii="Calibri" w:hAnsi="Calibri"/>
                <w:sz w:val="20"/>
              </w:rPr>
              <w:t>    2015</w:t>
            </w:r>
          </w:p>
        </w:tc>
        <w:tc>
          <w:tcPr>
            <w:tcW w:w="0" w:type="auto"/>
            <w:tcBorders>
              <w:top w:val="single" w:sz="0" w:space="0" w:color="D3D3D3"/>
              <w:left w:val="single" w:sz="0" w:space="0" w:color="D3D3D3"/>
              <w:bottom w:val="single" w:sz="0" w:space="0" w:color="D3D3D3"/>
              <w:right w:val="single" w:sz="0" w:space="0" w:color="D3D3D3"/>
            </w:tcBorders>
          </w:tcPr>
          <w:p w14:paraId="22A296D0"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438 (20%)</w:t>
            </w:r>
          </w:p>
        </w:tc>
        <w:tc>
          <w:tcPr>
            <w:tcW w:w="0" w:type="auto"/>
            <w:tcBorders>
              <w:top w:val="single" w:sz="0" w:space="0" w:color="D3D3D3"/>
              <w:left w:val="single" w:sz="0" w:space="0" w:color="D3D3D3"/>
              <w:bottom w:val="single" w:sz="0" w:space="0" w:color="D3D3D3"/>
              <w:right w:val="single" w:sz="0" w:space="0" w:color="D3D3D3"/>
            </w:tcBorders>
          </w:tcPr>
          <w:p w14:paraId="52805BFD"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105 (6.9%)</w:t>
            </w:r>
          </w:p>
        </w:tc>
      </w:tr>
      <w:tr w:rsidR="007E4000" w:rsidRPr="007E501E" w14:paraId="53BF8650"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75EA3141" w14:textId="06775CBA" w:rsidR="007E4000" w:rsidRPr="007E501E" w:rsidRDefault="007E4000" w:rsidP="007E4000">
            <w:pPr>
              <w:keepNext/>
              <w:spacing w:after="60" w:line="240" w:lineRule="auto"/>
              <w:rPr>
                <w:rFonts w:asciiTheme="minorHAnsi" w:hAnsiTheme="minorHAnsi"/>
              </w:rPr>
            </w:pPr>
            <w:r>
              <w:rPr>
                <w:rFonts w:ascii="Calibri" w:hAnsi="Calibri"/>
                <w:sz w:val="20"/>
              </w:rPr>
              <w:t>    2016</w:t>
            </w:r>
          </w:p>
        </w:tc>
        <w:tc>
          <w:tcPr>
            <w:tcW w:w="0" w:type="auto"/>
            <w:tcBorders>
              <w:top w:val="single" w:sz="0" w:space="0" w:color="D3D3D3"/>
              <w:left w:val="single" w:sz="0" w:space="0" w:color="D3D3D3"/>
              <w:bottom w:val="single" w:sz="0" w:space="0" w:color="D3D3D3"/>
              <w:right w:val="single" w:sz="0" w:space="0" w:color="D3D3D3"/>
            </w:tcBorders>
          </w:tcPr>
          <w:p w14:paraId="347079F5"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305 (14%)</w:t>
            </w:r>
          </w:p>
        </w:tc>
        <w:tc>
          <w:tcPr>
            <w:tcW w:w="0" w:type="auto"/>
            <w:tcBorders>
              <w:top w:val="single" w:sz="0" w:space="0" w:color="D3D3D3"/>
              <w:left w:val="single" w:sz="0" w:space="0" w:color="D3D3D3"/>
              <w:bottom w:val="single" w:sz="0" w:space="0" w:color="D3D3D3"/>
              <w:right w:val="single" w:sz="0" w:space="0" w:color="D3D3D3"/>
            </w:tcBorders>
          </w:tcPr>
          <w:p w14:paraId="5A0382D8"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175 (12%)</w:t>
            </w:r>
          </w:p>
        </w:tc>
      </w:tr>
      <w:tr w:rsidR="007E4000" w:rsidRPr="007E501E" w14:paraId="49BF09B7"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75908FD7" w14:textId="57AE2519" w:rsidR="007E4000" w:rsidRPr="007E501E" w:rsidRDefault="007E4000" w:rsidP="007E4000">
            <w:pPr>
              <w:keepNext/>
              <w:spacing w:after="60" w:line="240" w:lineRule="auto"/>
              <w:rPr>
                <w:rFonts w:asciiTheme="minorHAnsi" w:hAnsiTheme="minorHAnsi"/>
              </w:rPr>
            </w:pPr>
            <w:r>
              <w:rPr>
                <w:rFonts w:ascii="Calibri" w:hAnsi="Calibri"/>
                <w:sz w:val="20"/>
              </w:rPr>
              <w:t>    2017</w:t>
            </w:r>
          </w:p>
        </w:tc>
        <w:tc>
          <w:tcPr>
            <w:tcW w:w="0" w:type="auto"/>
            <w:tcBorders>
              <w:top w:val="single" w:sz="0" w:space="0" w:color="D3D3D3"/>
              <w:left w:val="single" w:sz="0" w:space="0" w:color="D3D3D3"/>
              <w:bottom w:val="single" w:sz="0" w:space="0" w:color="D3D3D3"/>
              <w:right w:val="single" w:sz="0" w:space="0" w:color="D3D3D3"/>
            </w:tcBorders>
          </w:tcPr>
          <w:p w14:paraId="45EB10B5"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327 (15%)</w:t>
            </w:r>
          </w:p>
        </w:tc>
        <w:tc>
          <w:tcPr>
            <w:tcW w:w="0" w:type="auto"/>
            <w:tcBorders>
              <w:top w:val="single" w:sz="0" w:space="0" w:color="D3D3D3"/>
              <w:left w:val="single" w:sz="0" w:space="0" w:color="D3D3D3"/>
              <w:bottom w:val="single" w:sz="0" w:space="0" w:color="D3D3D3"/>
              <w:right w:val="single" w:sz="0" w:space="0" w:color="D3D3D3"/>
            </w:tcBorders>
          </w:tcPr>
          <w:p w14:paraId="65ECD548"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258 (17%)</w:t>
            </w:r>
          </w:p>
        </w:tc>
      </w:tr>
      <w:tr w:rsidR="007E4000" w:rsidRPr="007E501E" w14:paraId="593EFC20"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40E49429" w14:textId="699742A1" w:rsidR="007E4000" w:rsidRPr="007E501E" w:rsidRDefault="007E4000" w:rsidP="007E4000">
            <w:pPr>
              <w:keepNext/>
              <w:spacing w:after="60" w:line="240" w:lineRule="auto"/>
              <w:rPr>
                <w:rFonts w:asciiTheme="minorHAnsi" w:hAnsiTheme="minorHAnsi"/>
              </w:rPr>
            </w:pPr>
            <w:r>
              <w:rPr>
                <w:rFonts w:ascii="Calibri" w:hAnsi="Calibri"/>
                <w:sz w:val="20"/>
              </w:rPr>
              <w:t>    2018</w:t>
            </w:r>
          </w:p>
        </w:tc>
        <w:tc>
          <w:tcPr>
            <w:tcW w:w="0" w:type="auto"/>
            <w:tcBorders>
              <w:top w:val="single" w:sz="0" w:space="0" w:color="D3D3D3"/>
              <w:left w:val="single" w:sz="0" w:space="0" w:color="D3D3D3"/>
              <w:bottom w:val="single" w:sz="0" w:space="0" w:color="D3D3D3"/>
              <w:right w:val="single" w:sz="0" w:space="0" w:color="D3D3D3"/>
            </w:tcBorders>
          </w:tcPr>
          <w:p w14:paraId="1C14CB34"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315 (14%)</w:t>
            </w:r>
          </w:p>
        </w:tc>
        <w:tc>
          <w:tcPr>
            <w:tcW w:w="0" w:type="auto"/>
            <w:tcBorders>
              <w:top w:val="single" w:sz="0" w:space="0" w:color="D3D3D3"/>
              <w:left w:val="single" w:sz="0" w:space="0" w:color="D3D3D3"/>
              <w:bottom w:val="single" w:sz="0" w:space="0" w:color="D3D3D3"/>
              <w:right w:val="single" w:sz="0" w:space="0" w:color="D3D3D3"/>
            </w:tcBorders>
          </w:tcPr>
          <w:p w14:paraId="64C4495A"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315 (21%)</w:t>
            </w:r>
          </w:p>
        </w:tc>
      </w:tr>
      <w:tr w:rsidR="007E4000" w:rsidRPr="007E501E" w14:paraId="17E79E10"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605B502F" w14:textId="4AC156E8" w:rsidR="007E4000" w:rsidRPr="007E501E" w:rsidRDefault="007E4000" w:rsidP="007E4000">
            <w:pPr>
              <w:keepNext/>
              <w:spacing w:after="60" w:line="240" w:lineRule="auto"/>
              <w:rPr>
                <w:rFonts w:asciiTheme="minorHAnsi" w:hAnsiTheme="minorHAnsi"/>
              </w:rPr>
            </w:pPr>
            <w:r>
              <w:rPr>
                <w:rFonts w:ascii="Calibri" w:hAnsi="Calibri"/>
                <w:sz w:val="20"/>
              </w:rPr>
              <w:t>    2019</w:t>
            </w:r>
          </w:p>
        </w:tc>
        <w:tc>
          <w:tcPr>
            <w:tcW w:w="0" w:type="auto"/>
            <w:tcBorders>
              <w:top w:val="single" w:sz="0" w:space="0" w:color="D3D3D3"/>
              <w:left w:val="single" w:sz="0" w:space="0" w:color="D3D3D3"/>
              <w:bottom w:val="single" w:sz="0" w:space="0" w:color="D3D3D3"/>
              <w:right w:val="single" w:sz="0" w:space="0" w:color="D3D3D3"/>
            </w:tcBorders>
          </w:tcPr>
          <w:p w14:paraId="2A1FFEE1"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353 (16%)</w:t>
            </w:r>
          </w:p>
        </w:tc>
        <w:tc>
          <w:tcPr>
            <w:tcW w:w="0" w:type="auto"/>
            <w:tcBorders>
              <w:top w:val="single" w:sz="0" w:space="0" w:color="D3D3D3"/>
              <w:left w:val="single" w:sz="0" w:space="0" w:color="D3D3D3"/>
              <w:bottom w:val="single" w:sz="0" w:space="0" w:color="D3D3D3"/>
              <w:right w:val="single" w:sz="0" w:space="0" w:color="D3D3D3"/>
            </w:tcBorders>
          </w:tcPr>
          <w:p w14:paraId="2881D57B"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271 (18%)</w:t>
            </w:r>
          </w:p>
        </w:tc>
      </w:tr>
      <w:tr w:rsidR="007E4000" w:rsidRPr="007E501E" w14:paraId="6749E7A3"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2BA77F24" w14:textId="23957486" w:rsidR="007E4000" w:rsidRPr="007E501E" w:rsidRDefault="007E4000" w:rsidP="007E4000">
            <w:pPr>
              <w:keepNext/>
              <w:spacing w:after="60" w:line="240" w:lineRule="auto"/>
              <w:rPr>
                <w:rFonts w:asciiTheme="minorHAnsi" w:hAnsiTheme="minorHAnsi"/>
              </w:rPr>
            </w:pPr>
            <w:r>
              <w:rPr>
                <w:rFonts w:ascii="Calibri" w:hAnsi="Calibri"/>
                <w:sz w:val="20"/>
              </w:rPr>
              <w:t>    2020</w:t>
            </w:r>
          </w:p>
        </w:tc>
        <w:tc>
          <w:tcPr>
            <w:tcW w:w="0" w:type="auto"/>
            <w:tcBorders>
              <w:top w:val="single" w:sz="0" w:space="0" w:color="D3D3D3"/>
              <w:left w:val="single" w:sz="0" w:space="0" w:color="D3D3D3"/>
              <w:bottom w:val="single" w:sz="0" w:space="0" w:color="D3D3D3"/>
              <w:right w:val="single" w:sz="0" w:space="0" w:color="D3D3D3"/>
            </w:tcBorders>
          </w:tcPr>
          <w:p w14:paraId="53C54BD0"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458 (21%)</w:t>
            </w:r>
          </w:p>
        </w:tc>
        <w:tc>
          <w:tcPr>
            <w:tcW w:w="0" w:type="auto"/>
            <w:tcBorders>
              <w:top w:val="single" w:sz="0" w:space="0" w:color="D3D3D3"/>
              <w:left w:val="single" w:sz="0" w:space="0" w:color="D3D3D3"/>
              <w:bottom w:val="single" w:sz="0" w:space="0" w:color="D3D3D3"/>
              <w:right w:val="single" w:sz="0" w:space="0" w:color="D3D3D3"/>
            </w:tcBorders>
          </w:tcPr>
          <w:p w14:paraId="52FA4C31"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387 (26%)</w:t>
            </w:r>
          </w:p>
        </w:tc>
      </w:tr>
      <w:tr w:rsidR="007E4000" w:rsidRPr="007E501E" w14:paraId="07D61AA2"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19485160" w14:textId="2A1CE45F" w:rsidR="007E4000" w:rsidRPr="007E501E" w:rsidRDefault="007E4000" w:rsidP="007E4000">
            <w:pPr>
              <w:keepNext/>
              <w:spacing w:after="60" w:line="240" w:lineRule="auto"/>
              <w:rPr>
                <w:rFonts w:asciiTheme="minorHAnsi" w:hAnsiTheme="minorHAnsi"/>
              </w:rPr>
            </w:pPr>
            <w:r>
              <w:rPr>
                <w:rFonts w:ascii="Calibri" w:hAnsi="Calibri"/>
                <w:sz w:val="20"/>
              </w:rPr>
              <w:t>Herd type</w:t>
            </w:r>
          </w:p>
        </w:tc>
        <w:tc>
          <w:tcPr>
            <w:tcW w:w="0" w:type="auto"/>
            <w:tcBorders>
              <w:top w:val="single" w:sz="0" w:space="0" w:color="D3D3D3"/>
              <w:left w:val="single" w:sz="0" w:space="0" w:color="D3D3D3"/>
              <w:bottom w:val="single" w:sz="0" w:space="0" w:color="D3D3D3"/>
              <w:right w:val="single" w:sz="0" w:space="0" w:color="D3D3D3"/>
            </w:tcBorders>
          </w:tcPr>
          <w:p w14:paraId="06669EB4" w14:textId="77777777" w:rsidR="007E4000" w:rsidRPr="007E501E" w:rsidRDefault="007E4000" w:rsidP="007E4000">
            <w:pPr>
              <w:keepNext/>
              <w:spacing w:after="60" w:line="240" w:lineRule="auto"/>
              <w:jc w:val="center"/>
              <w:rPr>
                <w:rFonts w:asciiTheme="minorHAnsi" w:hAnsiTheme="minorHAnsi"/>
              </w:rPr>
            </w:pPr>
          </w:p>
        </w:tc>
        <w:tc>
          <w:tcPr>
            <w:tcW w:w="0" w:type="auto"/>
            <w:tcBorders>
              <w:top w:val="single" w:sz="0" w:space="0" w:color="D3D3D3"/>
              <w:left w:val="single" w:sz="0" w:space="0" w:color="D3D3D3"/>
              <w:bottom w:val="single" w:sz="0" w:space="0" w:color="D3D3D3"/>
              <w:right w:val="single" w:sz="0" w:space="0" w:color="D3D3D3"/>
            </w:tcBorders>
          </w:tcPr>
          <w:p w14:paraId="29E3162A" w14:textId="77777777" w:rsidR="007E4000" w:rsidRPr="007E501E" w:rsidRDefault="007E4000" w:rsidP="007E4000">
            <w:pPr>
              <w:keepNext/>
              <w:spacing w:after="60" w:line="240" w:lineRule="auto"/>
              <w:jc w:val="center"/>
              <w:rPr>
                <w:rFonts w:asciiTheme="minorHAnsi" w:hAnsiTheme="minorHAnsi"/>
              </w:rPr>
            </w:pPr>
          </w:p>
        </w:tc>
      </w:tr>
      <w:tr w:rsidR="007E4000" w:rsidRPr="007E501E" w14:paraId="08E6F46A"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3BC8765E" w14:textId="79A896D5" w:rsidR="007E4000" w:rsidRPr="007E501E" w:rsidRDefault="007E4000" w:rsidP="007E4000">
            <w:pPr>
              <w:keepNext/>
              <w:spacing w:after="60" w:line="240" w:lineRule="auto"/>
              <w:rPr>
                <w:rFonts w:asciiTheme="minorHAnsi" w:hAnsiTheme="minorHAnsi"/>
              </w:rPr>
            </w:pPr>
            <w:r>
              <w:rPr>
                <w:rFonts w:ascii="Calibri" w:hAnsi="Calibri"/>
                <w:sz w:val="20"/>
              </w:rPr>
              <w:t>    Beef breeding</w:t>
            </w:r>
          </w:p>
        </w:tc>
        <w:tc>
          <w:tcPr>
            <w:tcW w:w="0" w:type="auto"/>
            <w:tcBorders>
              <w:top w:val="single" w:sz="0" w:space="0" w:color="D3D3D3"/>
              <w:left w:val="single" w:sz="0" w:space="0" w:color="D3D3D3"/>
              <w:bottom w:val="single" w:sz="0" w:space="0" w:color="D3D3D3"/>
              <w:right w:val="single" w:sz="0" w:space="0" w:color="D3D3D3"/>
            </w:tcBorders>
          </w:tcPr>
          <w:p w14:paraId="1471D2DC"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827 (38%)</w:t>
            </w:r>
          </w:p>
        </w:tc>
        <w:tc>
          <w:tcPr>
            <w:tcW w:w="0" w:type="auto"/>
            <w:tcBorders>
              <w:top w:val="single" w:sz="0" w:space="0" w:color="D3D3D3"/>
              <w:left w:val="single" w:sz="0" w:space="0" w:color="D3D3D3"/>
              <w:bottom w:val="single" w:sz="0" w:space="0" w:color="D3D3D3"/>
              <w:right w:val="single" w:sz="0" w:space="0" w:color="D3D3D3"/>
            </w:tcBorders>
          </w:tcPr>
          <w:p w14:paraId="6DB30C2C"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686 (45%)</w:t>
            </w:r>
          </w:p>
        </w:tc>
      </w:tr>
      <w:tr w:rsidR="007E4000" w:rsidRPr="007E501E" w14:paraId="099C2067"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1F3B46E0" w14:textId="07C3754C" w:rsidR="007E4000" w:rsidRPr="007E501E" w:rsidRDefault="007E4000" w:rsidP="007E4000">
            <w:pPr>
              <w:keepNext/>
              <w:spacing w:after="60" w:line="240" w:lineRule="auto"/>
              <w:rPr>
                <w:rFonts w:asciiTheme="minorHAnsi" w:hAnsiTheme="minorHAnsi"/>
              </w:rPr>
            </w:pPr>
            <w:r>
              <w:rPr>
                <w:rFonts w:ascii="Calibri" w:hAnsi="Calibri"/>
                <w:sz w:val="20"/>
              </w:rPr>
              <w:t>    Dairy</w:t>
            </w:r>
          </w:p>
        </w:tc>
        <w:tc>
          <w:tcPr>
            <w:tcW w:w="0" w:type="auto"/>
            <w:tcBorders>
              <w:top w:val="single" w:sz="0" w:space="0" w:color="D3D3D3"/>
              <w:left w:val="single" w:sz="0" w:space="0" w:color="D3D3D3"/>
              <w:bottom w:val="single" w:sz="0" w:space="0" w:color="D3D3D3"/>
              <w:right w:val="single" w:sz="0" w:space="0" w:color="D3D3D3"/>
            </w:tcBorders>
          </w:tcPr>
          <w:p w14:paraId="401AB3FA"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821 (37%)</w:t>
            </w:r>
          </w:p>
        </w:tc>
        <w:tc>
          <w:tcPr>
            <w:tcW w:w="0" w:type="auto"/>
            <w:tcBorders>
              <w:top w:val="single" w:sz="0" w:space="0" w:color="D3D3D3"/>
              <w:left w:val="single" w:sz="0" w:space="0" w:color="D3D3D3"/>
              <w:bottom w:val="single" w:sz="0" w:space="0" w:color="D3D3D3"/>
              <w:right w:val="single" w:sz="0" w:space="0" w:color="D3D3D3"/>
            </w:tcBorders>
          </w:tcPr>
          <w:p w14:paraId="5B7744ED"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529 (35%)</w:t>
            </w:r>
          </w:p>
        </w:tc>
      </w:tr>
      <w:tr w:rsidR="007E4000" w:rsidRPr="007E501E" w14:paraId="7938E1D9"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4593BCE6" w14:textId="39655AE5" w:rsidR="007E4000" w:rsidRPr="007E501E" w:rsidRDefault="007E4000" w:rsidP="007E4000">
            <w:pPr>
              <w:keepNext/>
              <w:spacing w:after="60" w:line="240" w:lineRule="auto"/>
              <w:rPr>
                <w:rFonts w:asciiTheme="minorHAnsi" w:hAnsiTheme="minorHAnsi"/>
              </w:rPr>
            </w:pPr>
            <w:r>
              <w:rPr>
                <w:rFonts w:ascii="Calibri" w:hAnsi="Calibri"/>
                <w:sz w:val="20"/>
              </w:rPr>
              <w:t>    Fattener</w:t>
            </w:r>
          </w:p>
        </w:tc>
        <w:tc>
          <w:tcPr>
            <w:tcW w:w="0" w:type="auto"/>
            <w:tcBorders>
              <w:top w:val="single" w:sz="0" w:space="0" w:color="D3D3D3"/>
              <w:left w:val="single" w:sz="0" w:space="0" w:color="D3D3D3"/>
              <w:bottom w:val="single" w:sz="0" w:space="0" w:color="D3D3D3"/>
              <w:right w:val="single" w:sz="0" w:space="0" w:color="D3D3D3"/>
            </w:tcBorders>
          </w:tcPr>
          <w:p w14:paraId="4FC2A735"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240 (11%)</w:t>
            </w:r>
          </w:p>
        </w:tc>
        <w:tc>
          <w:tcPr>
            <w:tcW w:w="0" w:type="auto"/>
            <w:tcBorders>
              <w:top w:val="single" w:sz="0" w:space="0" w:color="D3D3D3"/>
              <w:left w:val="single" w:sz="0" w:space="0" w:color="D3D3D3"/>
              <w:bottom w:val="single" w:sz="0" w:space="0" w:color="D3D3D3"/>
              <w:right w:val="single" w:sz="0" w:space="0" w:color="D3D3D3"/>
            </w:tcBorders>
          </w:tcPr>
          <w:p w14:paraId="79958C6B"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102 (6.8%)</w:t>
            </w:r>
          </w:p>
        </w:tc>
      </w:tr>
      <w:tr w:rsidR="007E4000" w:rsidRPr="007E501E" w14:paraId="4114353C"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163D4123" w14:textId="042E1DE1" w:rsidR="007E4000" w:rsidRPr="007E501E" w:rsidRDefault="007E4000" w:rsidP="007E4000">
            <w:pPr>
              <w:keepNext/>
              <w:spacing w:after="60" w:line="240" w:lineRule="auto"/>
              <w:rPr>
                <w:rFonts w:asciiTheme="minorHAnsi" w:hAnsiTheme="minorHAnsi"/>
              </w:rPr>
            </w:pPr>
            <w:r>
              <w:rPr>
                <w:rFonts w:ascii="Calibri" w:hAnsi="Calibri"/>
                <w:sz w:val="20"/>
              </w:rPr>
              <w:t>    Mixed</w:t>
            </w:r>
          </w:p>
        </w:tc>
        <w:tc>
          <w:tcPr>
            <w:tcW w:w="0" w:type="auto"/>
            <w:tcBorders>
              <w:top w:val="single" w:sz="0" w:space="0" w:color="D3D3D3"/>
              <w:left w:val="single" w:sz="0" w:space="0" w:color="D3D3D3"/>
              <w:bottom w:val="single" w:sz="0" w:space="0" w:color="D3D3D3"/>
              <w:right w:val="single" w:sz="0" w:space="0" w:color="D3D3D3"/>
            </w:tcBorders>
          </w:tcPr>
          <w:p w14:paraId="46F8A691"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262 (12%)</w:t>
            </w:r>
          </w:p>
        </w:tc>
        <w:tc>
          <w:tcPr>
            <w:tcW w:w="0" w:type="auto"/>
            <w:tcBorders>
              <w:top w:val="single" w:sz="0" w:space="0" w:color="D3D3D3"/>
              <w:left w:val="single" w:sz="0" w:space="0" w:color="D3D3D3"/>
              <w:bottom w:val="single" w:sz="0" w:space="0" w:color="D3D3D3"/>
              <w:right w:val="single" w:sz="0" w:space="0" w:color="D3D3D3"/>
            </w:tcBorders>
          </w:tcPr>
          <w:p w14:paraId="4C1AF41F"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161 (11%)</w:t>
            </w:r>
          </w:p>
        </w:tc>
      </w:tr>
      <w:tr w:rsidR="007E4000" w:rsidRPr="007E501E" w14:paraId="0030043A" w14:textId="77777777" w:rsidTr="005776C8">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3F4B0ED2" w14:textId="52B46194" w:rsidR="007E4000" w:rsidRPr="007E501E" w:rsidRDefault="007E4000" w:rsidP="007E4000">
            <w:pPr>
              <w:keepNext/>
              <w:spacing w:after="60" w:line="240" w:lineRule="auto"/>
              <w:rPr>
                <w:rFonts w:asciiTheme="minorHAnsi" w:hAnsiTheme="minorHAnsi"/>
              </w:rPr>
            </w:pPr>
            <w:r>
              <w:rPr>
                <w:rFonts w:ascii="Calibri" w:hAnsi="Calibri"/>
                <w:sz w:val="20"/>
              </w:rPr>
              <w:t>    Store</w:t>
            </w:r>
          </w:p>
        </w:tc>
        <w:tc>
          <w:tcPr>
            <w:tcW w:w="0" w:type="auto"/>
            <w:tcBorders>
              <w:top w:val="single" w:sz="0" w:space="0" w:color="D3D3D3"/>
              <w:left w:val="single" w:sz="0" w:space="0" w:color="D3D3D3"/>
              <w:bottom w:val="single" w:sz="0" w:space="0" w:color="D3D3D3"/>
              <w:right w:val="single" w:sz="0" w:space="0" w:color="D3D3D3"/>
            </w:tcBorders>
          </w:tcPr>
          <w:p w14:paraId="3D8467D4"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46 (2.1%)</w:t>
            </w:r>
          </w:p>
        </w:tc>
        <w:tc>
          <w:tcPr>
            <w:tcW w:w="0" w:type="auto"/>
            <w:tcBorders>
              <w:top w:val="single" w:sz="0" w:space="0" w:color="D3D3D3"/>
              <w:left w:val="single" w:sz="0" w:space="0" w:color="D3D3D3"/>
              <w:bottom w:val="single" w:sz="0" w:space="0" w:color="D3D3D3"/>
              <w:right w:val="single" w:sz="0" w:space="0" w:color="D3D3D3"/>
            </w:tcBorders>
          </w:tcPr>
          <w:p w14:paraId="1B900C2E" w14:textId="77777777" w:rsidR="007E4000" w:rsidRPr="007E501E" w:rsidRDefault="007E4000" w:rsidP="007E4000">
            <w:pPr>
              <w:keepNext/>
              <w:spacing w:after="60" w:line="240" w:lineRule="auto"/>
              <w:jc w:val="center"/>
              <w:rPr>
                <w:rFonts w:asciiTheme="minorHAnsi" w:hAnsiTheme="minorHAnsi"/>
              </w:rPr>
            </w:pPr>
            <w:r w:rsidRPr="007E501E">
              <w:rPr>
                <w:rFonts w:ascii="Calibri" w:hAnsi="Calibri"/>
                <w:sz w:val="20"/>
              </w:rPr>
              <w:t>33 (2.2%)</w:t>
            </w:r>
          </w:p>
        </w:tc>
      </w:tr>
      <w:tr w:rsidR="007E501E" w:rsidRPr="007E501E" w14:paraId="316F3B2A" w14:textId="77777777" w:rsidTr="005776C8">
        <w:trPr>
          <w:cantSplit/>
          <w:jc w:val="center"/>
        </w:trPr>
        <w:tc>
          <w:tcPr>
            <w:tcW w:w="0" w:type="auto"/>
            <w:gridSpan w:val="3"/>
          </w:tcPr>
          <w:p w14:paraId="4D1ECB6F" w14:textId="77777777" w:rsidR="007E501E" w:rsidRPr="007E501E" w:rsidRDefault="007E501E" w:rsidP="007E501E">
            <w:pPr>
              <w:keepNext/>
              <w:spacing w:after="60" w:line="240" w:lineRule="auto"/>
              <w:rPr>
                <w:rFonts w:asciiTheme="minorHAnsi" w:hAnsiTheme="minorHAnsi"/>
              </w:rPr>
            </w:pPr>
            <w:r w:rsidRPr="007E501E">
              <w:rPr>
                <w:rFonts w:ascii="Calibri" w:hAnsi="Calibri"/>
                <w:i/>
                <w:sz w:val="20"/>
                <w:vertAlign w:val="superscript"/>
              </w:rPr>
              <w:t>1</w:t>
            </w:r>
            <w:r w:rsidRPr="007E501E">
              <w:rPr>
                <w:rFonts w:ascii="Calibri" w:hAnsi="Calibri"/>
                <w:sz w:val="20"/>
              </w:rPr>
              <w:t>Median (IQR); n (%)</w:t>
            </w:r>
          </w:p>
        </w:tc>
      </w:tr>
    </w:tbl>
    <w:p w14:paraId="364DFC1A" w14:textId="77777777" w:rsidR="00B43AEA" w:rsidRDefault="00B43AEA">
      <w:pPr>
        <w:rPr>
          <w:b/>
          <w:bCs/>
        </w:rPr>
      </w:pPr>
    </w:p>
    <w:p w14:paraId="25DF6BED" w14:textId="77777777" w:rsidR="00B43AEA" w:rsidRDefault="00B43AEA">
      <w:pPr>
        <w:rPr>
          <w:b/>
          <w:bCs/>
        </w:rPr>
      </w:pPr>
    </w:p>
    <w:p w14:paraId="4C1CC313" w14:textId="68CD4510" w:rsidR="009066A3" w:rsidRDefault="009066A3">
      <w:pPr>
        <w:rPr>
          <w:b/>
          <w:bCs/>
        </w:rPr>
      </w:pPr>
      <w:r>
        <w:rPr>
          <w:b/>
          <w:bCs/>
        </w:rPr>
        <w:br w:type="page"/>
      </w:r>
    </w:p>
    <w:p w14:paraId="1804433E" w14:textId="3B170C23" w:rsidR="00F2035A" w:rsidRPr="0080504D" w:rsidRDefault="0080504D" w:rsidP="0080504D">
      <w:pPr>
        <w:pStyle w:val="Heading1"/>
      </w:pPr>
      <w:bookmarkStart w:id="4" w:name="_Toc194674078"/>
      <w:r w:rsidRPr="006C56C4">
        <w:lastRenderedPageBreak/>
        <w:t>Supplementary</w:t>
      </w:r>
      <w:r>
        <w:t xml:space="preserve"> figures</w:t>
      </w:r>
      <w:bookmarkEnd w:id="4"/>
    </w:p>
    <w:p w14:paraId="5669CC34" w14:textId="55C6307B" w:rsidR="00273360" w:rsidRDefault="00273360" w:rsidP="00B82E35">
      <w:pPr>
        <w:pStyle w:val="TableCaption"/>
        <w:keepNext/>
        <w:pBdr>
          <w:top w:val="none" w:sz="0" w:space="0" w:color="000000"/>
          <w:left w:val="none" w:sz="0" w:space="0" w:color="000000"/>
          <w:bottom w:val="none" w:sz="0" w:space="0" w:color="000000"/>
          <w:right w:val="none" w:sz="0" w:space="0" w:color="000000"/>
        </w:pBdr>
        <w:spacing w:before="60" w:after="60"/>
        <w:ind w:left="60" w:right="60"/>
      </w:pPr>
    </w:p>
    <w:p w14:paraId="4B99387C" w14:textId="6BC6FEE9" w:rsidR="000664AA" w:rsidRDefault="000664AA" w:rsidP="000664AA">
      <w:r w:rsidRPr="003D172F">
        <w:rPr>
          <w:noProof/>
        </w:rPr>
        <w:drawing>
          <wp:inline distT="0" distB="0" distL="0" distR="0" wp14:anchorId="600615FB" wp14:editId="79372936">
            <wp:extent cx="5824779" cy="4124325"/>
            <wp:effectExtent l="19050" t="19050" r="24130" b="9525"/>
            <wp:docPr id="284590059"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590059" name="Picture 1" descr="A diagram of a flowchart&#10;&#10;Description automatically generated"/>
                    <pic:cNvPicPr/>
                  </pic:nvPicPr>
                  <pic:blipFill>
                    <a:blip r:embed="rId8"/>
                    <a:stretch>
                      <a:fillRect/>
                    </a:stretch>
                  </pic:blipFill>
                  <pic:spPr>
                    <a:xfrm>
                      <a:off x="0" y="0"/>
                      <a:ext cx="5830868" cy="4128636"/>
                    </a:xfrm>
                    <a:prstGeom prst="rect">
                      <a:avLst/>
                    </a:prstGeom>
                    <a:ln>
                      <a:solidFill>
                        <a:schemeClr val="accent1"/>
                      </a:solidFill>
                    </a:ln>
                  </pic:spPr>
                </pic:pic>
              </a:graphicData>
            </a:graphic>
          </wp:inline>
        </w:drawing>
      </w:r>
    </w:p>
    <w:p w14:paraId="5018BC8C" w14:textId="4DAB8FED" w:rsidR="000664AA" w:rsidRPr="00AC5B31" w:rsidRDefault="00AB4E36" w:rsidP="000664AA">
      <w:pPr>
        <w:rPr>
          <w:b/>
          <w:bCs/>
        </w:rPr>
      </w:pPr>
      <w:r>
        <w:rPr>
          <w:b/>
          <w:bCs/>
        </w:rPr>
        <w:t xml:space="preserve">Supplementary </w:t>
      </w:r>
      <w:r w:rsidR="00604776">
        <w:rPr>
          <w:b/>
          <w:bCs/>
        </w:rPr>
        <w:t>F</w:t>
      </w:r>
      <w:r w:rsidR="000664AA" w:rsidRPr="00706CAF">
        <w:rPr>
          <w:b/>
          <w:bCs/>
        </w:rPr>
        <w:t xml:space="preserve">igure </w:t>
      </w:r>
      <w:r w:rsidR="000664AA">
        <w:rPr>
          <w:b/>
          <w:bCs/>
        </w:rPr>
        <w:t>1</w:t>
      </w:r>
      <w:r w:rsidR="000664AA" w:rsidRPr="00881C1E">
        <w:rPr>
          <w:b/>
          <w:bCs/>
        </w:rPr>
        <w:t xml:space="preserve">: Inclusion/exclusion criteria of potential breakdowns to include in our regression models. </w:t>
      </w:r>
    </w:p>
    <w:p w14:paraId="212AEABB" w14:textId="77777777" w:rsidR="009546AF" w:rsidRPr="009546AF" w:rsidRDefault="009546AF" w:rsidP="00B82E35">
      <w:pPr>
        <w:pStyle w:val="TableCaption"/>
        <w:keepNext/>
        <w:pBdr>
          <w:top w:val="none" w:sz="0" w:space="0" w:color="000000"/>
          <w:left w:val="none" w:sz="0" w:space="0" w:color="000000"/>
          <w:bottom w:val="none" w:sz="0" w:space="0" w:color="000000"/>
          <w:right w:val="none" w:sz="0" w:space="0" w:color="000000"/>
        </w:pBdr>
        <w:spacing w:before="60" w:after="60"/>
        <w:ind w:left="60" w:right="60"/>
        <w:rPr>
          <w:lang w:val="en-IE"/>
        </w:rPr>
      </w:pPr>
    </w:p>
    <w:p w14:paraId="6CCCECC9" w14:textId="77777777" w:rsidR="009546AF" w:rsidRPr="00FD3539" w:rsidRDefault="009546AF" w:rsidP="00B82E35">
      <w:pPr>
        <w:pStyle w:val="TableCaption"/>
        <w:keepNext/>
        <w:pBdr>
          <w:top w:val="none" w:sz="0" w:space="0" w:color="000000"/>
          <w:left w:val="none" w:sz="0" w:space="0" w:color="000000"/>
          <w:bottom w:val="none" w:sz="0" w:space="0" w:color="000000"/>
          <w:right w:val="none" w:sz="0" w:space="0" w:color="000000"/>
        </w:pBdr>
        <w:spacing w:before="60" w:after="60"/>
        <w:ind w:left="60" w:right="60"/>
        <w:rPr>
          <w:lang w:val="en-IE"/>
        </w:rPr>
      </w:pPr>
    </w:p>
    <w:p w14:paraId="0501EBE6" w14:textId="77777777" w:rsidR="009546AF" w:rsidRDefault="009546AF" w:rsidP="00B82E35">
      <w:pPr>
        <w:pStyle w:val="TableCaption"/>
        <w:keepNext/>
        <w:pBdr>
          <w:top w:val="none" w:sz="0" w:space="0" w:color="000000"/>
          <w:left w:val="none" w:sz="0" w:space="0" w:color="000000"/>
          <w:bottom w:val="none" w:sz="0" w:space="0" w:color="000000"/>
          <w:right w:val="none" w:sz="0" w:space="0" w:color="000000"/>
        </w:pBdr>
        <w:spacing w:before="60" w:after="60"/>
        <w:ind w:left="60" w:right="60"/>
      </w:pPr>
    </w:p>
    <w:p w14:paraId="2AFA766A" w14:textId="77777777" w:rsidR="009546AF" w:rsidRDefault="009546AF" w:rsidP="00B82E35">
      <w:pPr>
        <w:pStyle w:val="TableCaption"/>
        <w:keepNext/>
        <w:pBdr>
          <w:top w:val="none" w:sz="0" w:space="0" w:color="000000"/>
          <w:left w:val="none" w:sz="0" w:space="0" w:color="000000"/>
          <w:bottom w:val="none" w:sz="0" w:space="0" w:color="000000"/>
          <w:right w:val="none" w:sz="0" w:space="0" w:color="000000"/>
        </w:pBdr>
        <w:spacing w:before="60" w:after="60"/>
        <w:ind w:left="60" w:right="60"/>
      </w:pPr>
    </w:p>
    <w:p w14:paraId="152E135D" w14:textId="77777777" w:rsidR="00273360" w:rsidRPr="00FF2CCB" w:rsidRDefault="00273360" w:rsidP="00273360">
      <w:pPr>
        <w:rPr>
          <w:b/>
          <w:bCs/>
        </w:rPr>
      </w:pPr>
    </w:p>
    <w:p w14:paraId="6DB52DF7" w14:textId="77777777" w:rsidR="00273360" w:rsidRDefault="00273360" w:rsidP="00273360"/>
    <w:p w14:paraId="62FFA0A0" w14:textId="55C01696" w:rsidR="0048440F" w:rsidRDefault="0048440F" w:rsidP="0048440F"/>
    <w:p w14:paraId="34D807C8" w14:textId="05EE6077" w:rsidR="00563923" w:rsidRDefault="00563923">
      <w:r>
        <w:br w:type="page"/>
      </w:r>
    </w:p>
    <w:p w14:paraId="24F7681C" w14:textId="77777777" w:rsidR="000242A2" w:rsidRDefault="000242A2" w:rsidP="0048440F"/>
    <w:p w14:paraId="2014F616" w14:textId="77777777" w:rsidR="000242A2" w:rsidRDefault="000242A2" w:rsidP="0048440F"/>
    <w:p w14:paraId="03A7D899" w14:textId="23C1DC14" w:rsidR="000242A2" w:rsidRDefault="000242A2" w:rsidP="0048440F">
      <w:r>
        <w:rPr>
          <w:noProof/>
        </w:rPr>
        <w:drawing>
          <wp:inline distT="0" distB="0" distL="0" distR="0" wp14:anchorId="4323A488" wp14:editId="767760F6">
            <wp:extent cx="5562807" cy="3165962"/>
            <wp:effectExtent l="19050" t="19050" r="19050" b="15875"/>
            <wp:docPr id="8729608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99853" cy="3187046"/>
                    </a:xfrm>
                    <a:prstGeom prst="rect">
                      <a:avLst/>
                    </a:prstGeom>
                    <a:noFill/>
                    <a:ln>
                      <a:solidFill>
                        <a:schemeClr val="tx1"/>
                      </a:solidFill>
                    </a:ln>
                  </pic:spPr>
                </pic:pic>
              </a:graphicData>
            </a:graphic>
          </wp:inline>
        </w:drawing>
      </w:r>
    </w:p>
    <w:p w14:paraId="5860EF62" w14:textId="49BD55E2" w:rsidR="00563923" w:rsidRDefault="005D02E5" w:rsidP="0048440F">
      <w:pPr>
        <w:rPr>
          <w:b/>
          <w:bCs/>
        </w:rPr>
      </w:pPr>
      <w:r w:rsidRPr="005D02E5">
        <w:rPr>
          <w:b/>
          <w:bCs/>
        </w:rPr>
        <w:t xml:space="preserve">Supplementary </w:t>
      </w:r>
      <w:r w:rsidR="00604776">
        <w:rPr>
          <w:b/>
          <w:bCs/>
        </w:rPr>
        <w:t>F</w:t>
      </w:r>
      <w:r w:rsidRPr="005D02E5">
        <w:rPr>
          <w:b/>
          <w:bCs/>
        </w:rPr>
        <w:t xml:space="preserve">igure </w:t>
      </w:r>
      <w:r w:rsidR="00AB4E36">
        <w:rPr>
          <w:b/>
          <w:bCs/>
        </w:rPr>
        <w:t>2</w:t>
      </w:r>
      <w:r w:rsidR="005A138B">
        <w:rPr>
          <w:b/>
          <w:bCs/>
        </w:rPr>
        <w:t xml:space="preserve">: </w:t>
      </w:r>
      <w:r w:rsidRPr="005D02E5">
        <w:rPr>
          <w:b/>
          <w:bCs/>
        </w:rPr>
        <w:t xml:space="preserve"> </w:t>
      </w:r>
      <w:r>
        <w:rPr>
          <w:b/>
          <w:bCs/>
        </w:rPr>
        <w:t xml:space="preserve">Time in days from breakdown start date to </w:t>
      </w:r>
      <w:r w:rsidR="00240232">
        <w:rPr>
          <w:b/>
          <w:bCs/>
        </w:rPr>
        <w:t>interferon-γ</w:t>
      </w:r>
      <w:r>
        <w:rPr>
          <w:b/>
          <w:bCs/>
        </w:rPr>
        <w:t xml:space="preserve"> test.</w:t>
      </w:r>
    </w:p>
    <w:p w14:paraId="12101947" w14:textId="77777777" w:rsidR="0044293C" w:rsidRDefault="00563923" w:rsidP="0044293C">
      <w:pPr>
        <w:jc w:val="both"/>
      </w:pPr>
      <w:r>
        <w:rPr>
          <w:b/>
          <w:bCs/>
        </w:rPr>
        <w:br w:type="page"/>
      </w:r>
      <w:r w:rsidR="0044293C" w:rsidRPr="009D71DB">
        <w:rPr>
          <w:noProof/>
        </w:rPr>
        <w:lastRenderedPageBreak/>
        <w:drawing>
          <wp:inline distT="0" distB="0" distL="0" distR="0" wp14:anchorId="789ACEB7" wp14:editId="65F934F8">
            <wp:extent cx="5252197" cy="2589679"/>
            <wp:effectExtent l="19050" t="19050" r="24765" b="20320"/>
            <wp:docPr id="1837512527" name="Content Placeholder 2" descr="A graph with a black background&#10;&#10;Description automatically generated"/>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1837512527" name="Content Placeholder 2" descr="A graph with a black background&#10;&#10;Description automatically generated"/>
                    <pic:cNvPicPr>
                      <a:picLocks noGrp="1"/>
                    </pic:cNvPicPr>
                  </pic:nvPicPr>
                  <pic:blipFill>
                    <a:blip r:embed="rId10" cstate="print"/>
                    <a:stretch>
                      <a:fillRect/>
                    </a:stretch>
                  </pic:blipFill>
                  <pic:spPr>
                    <a:xfrm>
                      <a:off x="0" y="0"/>
                      <a:ext cx="5266387" cy="2596675"/>
                    </a:xfrm>
                    <a:prstGeom prst="rect">
                      <a:avLst/>
                    </a:prstGeom>
                    <a:ln>
                      <a:solidFill>
                        <a:schemeClr val="accent1"/>
                      </a:solidFill>
                    </a:ln>
                  </pic:spPr>
                </pic:pic>
              </a:graphicData>
            </a:graphic>
          </wp:inline>
        </w:drawing>
      </w:r>
    </w:p>
    <w:p w14:paraId="0EA66B73" w14:textId="7849E5A6" w:rsidR="0044293C" w:rsidRPr="006A1299" w:rsidRDefault="0044293C" w:rsidP="0044293C">
      <w:pPr>
        <w:jc w:val="both"/>
        <w:rPr>
          <w:b/>
          <w:bCs/>
        </w:rPr>
      </w:pPr>
      <w:r>
        <w:rPr>
          <w:b/>
          <w:bCs/>
        </w:rPr>
        <w:t xml:space="preserve">Supplementary Figure </w:t>
      </w:r>
      <w:r w:rsidR="00AB4E36">
        <w:rPr>
          <w:b/>
          <w:bCs/>
        </w:rPr>
        <w:t>3</w:t>
      </w:r>
      <w:r w:rsidRPr="006A1299">
        <w:rPr>
          <w:b/>
          <w:bCs/>
        </w:rPr>
        <w:t>: Days between initiating</w:t>
      </w:r>
      <w:r w:rsidRPr="006A1299" w:rsidDel="00471222">
        <w:rPr>
          <w:b/>
          <w:bCs/>
        </w:rPr>
        <w:t xml:space="preserve"> </w:t>
      </w:r>
      <w:r w:rsidRPr="006A1299">
        <w:rPr>
          <w:b/>
          <w:bCs/>
        </w:rPr>
        <w:t xml:space="preserve">skin test and </w:t>
      </w:r>
      <w:r w:rsidR="00240232">
        <w:rPr>
          <w:b/>
          <w:bCs/>
        </w:rPr>
        <w:t>interferon-γ</w:t>
      </w:r>
      <w:r w:rsidRPr="006A1299">
        <w:rPr>
          <w:b/>
          <w:bCs/>
        </w:rPr>
        <w:t xml:space="preserve"> test</w:t>
      </w:r>
      <w:r w:rsidR="00F62AB4">
        <w:rPr>
          <w:b/>
          <w:bCs/>
        </w:rPr>
        <w:t>.</w:t>
      </w:r>
    </w:p>
    <w:p w14:paraId="0D8AE285" w14:textId="4C2E0EC1" w:rsidR="00563923" w:rsidRPr="00132C29" w:rsidRDefault="0044293C">
      <w:pPr>
        <w:rPr>
          <w:rFonts w:eastAsiaTheme="minorEastAsia"/>
          <w:b/>
          <w:i/>
          <w:kern w:val="0"/>
          <w:szCs w:val="24"/>
          <w14:ligatures w14:val="none"/>
        </w:rPr>
      </w:pPr>
      <w:r>
        <w:br w:type="page"/>
      </w:r>
    </w:p>
    <w:p w14:paraId="3A3B14DD" w14:textId="77777777" w:rsidR="005D02E5" w:rsidRPr="005D02E5" w:rsidRDefault="005D02E5" w:rsidP="0048440F">
      <w:pPr>
        <w:rPr>
          <w:b/>
          <w:bCs/>
        </w:rPr>
      </w:pPr>
    </w:p>
    <w:p w14:paraId="5000D0CA" w14:textId="5AB35FAC" w:rsidR="00747DBD" w:rsidRDefault="00747DBD" w:rsidP="003C0FEC">
      <w:pPr>
        <w:rPr>
          <w:b/>
          <w:bCs/>
        </w:rPr>
      </w:pPr>
      <w:r>
        <w:rPr>
          <w:b/>
          <w:bCs/>
          <w:noProof/>
        </w:rPr>
        <w:drawing>
          <wp:inline distT="0" distB="0" distL="0" distR="0" wp14:anchorId="2E6A22E0" wp14:editId="19AE64E6">
            <wp:extent cx="5731510" cy="4119822"/>
            <wp:effectExtent l="19050" t="19050" r="21590" b="14605"/>
            <wp:docPr id="1887250563" name="Picture 5" descr="A graph showing the number of bar cod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250563" name="Picture 5" descr="A graph showing the number of bar codes&#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5731510" cy="4119822"/>
                    </a:xfrm>
                    <a:prstGeom prst="rect">
                      <a:avLst/>
                    </a:prstGeom>
                    <a:ln>
                      <a:solidFill>
                        <a:schemeClr val="accent1"/>
                      </a:solidFill>
                    </a:ln>
                  </pic:spPr>
                </pic:pic>
              </a:graphicData>
            </a:graphic>
          </wp:inline>
        </w:drawing>
      </w:r>
    </w:p>
    <w:p w14:paraId="7AE60B5E" w14:textId="7F949052" w:rsidR="00747DBD" w:rsidRDefault="009E3457" w:rsidP="003C0FEC">
      <w:pPr>
        <w:rPr>
          <w:b/>
          <w:bCs/>
        </w:rPr>
      </w:pPr>
      <w:r>
        <w:rPr>
          <w:b/>
          <w:bCs/>
        </w:rPr>
        <w:t xml:space="preserve">Supplementary </w:t>
      </w:r>
      <w:r w:rsidR="00604776">
        <w:rPr>
          <w:b/>
          <w:bCs/>
        </w:rPr>
        <w:t>F</w:t>
      </w:r>
      <w:r>
        <w:rPr>
          <w:b/>
          <w:bCs/>
        </w:rPr>
        <w:t xml:space="preserve">igure </w:t>
      </w:r>
      <w:r w:rsidR="00AB4E36">
        <w:rPr>
          <w:b/>
          <w:bCs/>
        </w:rPr>
        <w:t>4</w:t>
      </w:r>
      <w:r w:rsidR="005A138B">
        <w:rPr>
          <w:b/>
          <w:bCs/>
        </w:rPr>
        <w:t xml:space="preserve">: </w:t>
      </w:r>
      <w:r w:rsidR="00747DBD">
        <w:rPr>
          <w:b/>
          <w:bCs/>
        </w:rPr>
        <w:t xml:space="preserve"> The calibration curve from the logistic regression model with the lowest AIC. Observed compared to predicted probabilities in the full dataset are shown.</w:t>
      </w:r>
      <w:r w:rsidR="00845E5B">
        <w:rPr>
          <w:b/>
          <w:bCs/>
        </w:rPr>
        <w:t xml:space="preserve"> This curve highlights an area of poor calibration.</w:t>
      </w:r>
    </w:p>
    <w:p w14:paraId="690B6DE5" w14:textId="77777777" w:rsidR="00747DBD" w:rsidRDefault="00747DBD" w:rsidP="003C0FEC">
      <w:pPr>
        <w:rPr>
          <w:b/>
          <w:bCs/>
        </w:rPr>
      </w:pPr>
    </w:p>
    <w:p w14:paraId="00FBE601" w14:textId="62F8168D" w:rsidR="00747DBD" w:rsidRDefault="00747DBD" w:rsidP="003C0FEC">
      <w:pPr>
        <w:rPr>
          <w:b/>
          <w:bCs/>
        </w:rPr>
      </w:pPr>
      <w:r>
        <w:rPr>
          <w:b/>
          <w:bCs/>
          <w:noProof/>
        </w:rPr>
        <w:lastRenderedPageBreak/>
        <w:drawing>
          <wp:inline distT="0" distB="0" distL="0" distR="0" wp14:anchorId="62861216" wp14:editId="43B76EDE">
            <wp:extent cx="5453702" cy="3783056"/>
            <wp:effectExtent l="19050" t="19050" r="13970" b="27305"/>
            <wp:docPr id="953621599" name="Picture 6" descr="A graph showing the number of practising protragalactic protracto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621599" name="Picture 6" descr="A graph showing the number of practising protragalactic protractor&#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5480746" cy="3801816"/>
                    </a:xfrm>
                    <a:prstGeom prst="rect">
                      <a:avLst/>
                    </a:prstGeom>
                    <a:ln>
                      <a:solidFill>
                        <a:schemeClr val="accent1"/>
                      </a:solidFill>
                    </a:ln>
                  </pic:spPr>
                </pic:pic>
              </a:graphicData>
            </a:graphic>
          </wp:inline>
        </w:drawing>
      </w:r>
    </w:p>
    <w:p w14:paraId="6F4F1667" w14:textId="01719619" w:rsidR="0060657B" w:rsidRDefault="00AC7DBA" w:rsidP="00747DBD">
      <w:pPr>
        <w:rPr>
          <w:b/>
          <w:bCs/>
        </w:rPr>
      </w:pPr>
      <w:r>
        <w:rPr>
          <w:b/>
          <w:bCs/>
        </w:rPr>
        <w:t xml:space="preserve">Supplementary </w:t>
      </w:r>
      <w:r w:rsidR="00604776">
        <w:rPr>
          <w:b/>
          <w:bCs/>
        </w:rPr>
        <w:t>F</w:t>
      </w:r>
      <w:r>
        <w:rPr>
          <w:b/>
          <w:bCs/>
        </w:rPr>
        <w:t xml:space="preserve">igure </w:t>
      </w:r>
      <w:r w:rsidR="00AB4E36">
        <w:rPr>
          <w:b/>
          <w:bCs/>
        </w:rPr>
        <w:t>5</w:t>
      </w:r>
      <w:r>
        <w:rPr>
          <w:b/>
          <w:bCs/>
        </w:rPr>
        <w:t xml:space="preserve">: </w:t>
      </w:r>
      <w:r w:rsidR="00747DBD" w:rsidRPr="00747DBD">
        <w:rPr>
          <w:b/>
          <w:bCs/>
        </w:rPr>
        <w:t xml:space="preserve">The calibration curve from the logistic regression model with the lowest </w:t>
      </w:r>
      <w:r w:rsidR="0031592B">
        <w:rPr>
          <w:b/>
          <w:bCs/>
        </w:rPr>
        <w:t xml:space="preserve">combined </w:t>
      </w:r>
      <w:r w:rsidR="00747DBD" w:rsidRPr="00747DBD">
        <w:rPr>
          <w:b/>
          <w:bCs/>
        </w:rPr>
        <w:t>AIC</w:t>
      </w:r>
      <w:r w:rsidR="0031592B">
        <w:rPr>
          <w:b/>
          <w:bCs/>
        </w:rPr>
        <w:t xml:space="preserve"> and estimated calibration index</w:t>
      </w:r>
      <w:r w:rsidR="00747DBD" w:rsidRPr="00747DBD">
        <w:rPr>
          <w:b/>
          <w:bCs/>
        </w:rPr>
        <w:t>. Observed compared to predicted probabilities in the full dataset are shown.</w:t>
      </w:r>
    </w:p>
    <w:p w14:paraId="698EA840" w14:textId="77777777" w:rsidR="0060657B" w:rsidRDefault="0060657B">
      <w:pPr>
        <w:rPr>
          <w:b/>
          <w:bCs/>
        </w:rPr>
      </w:pPr>
      <w:r>
        <w:rPr>
          <w:b/>
          <w:bCs/>
        </w:rPr>
        <w:br w:type="page"/>
      </w:r>
    </w:p>
    <w:p w14:paraId="759C32E3" w14:textId="77777777" w:rsidR="00747DBD" w:rsidRDefault="00747DBD" w:rsidP="00747DBD">
      <w:pPr>
        <w:rPr>
          <w:b/>
          <w:bCs/>
        </w:rPr>
      </w:pPr>
    </w:p>
    <w:p w14:paraId="2F397F62" w14:textId="62430ED7" w:rsidR="0031592B" w:rsidRDefault="00731D82" w:rsidP="00747DBD">
      <w:pPr>
        <w:rPr>
          <w:b/>
          <w:bCs/>
        </w:rPr>
      </w:pPr>
      <w:r>
        <w:rPr>
          <w:b/>
          <w:bCs/>
          <w:noProof/>
        </w:rPr>
        <w:drawing>
          <wp:inline distT="0" distB="0" distL="0" distR="0" wp14:anchorId="419D2C97" wp14:editId="2564F056">
            <wp:extent cx="5560177" cy="3856914"/>
            <wp:effectExtent l="19050" t="19050" r="21590" b="10795"/>
            <wp:docPr id="1639252656" name="Picture 7" descr="A graph showing the value of a number of practising protracto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252656" name="Picture 7" descr="A graph showing the value of a number of practising protractor&#10;&#10;Description automatically generated with medium confidence"/>
                    <pic:cNvPicPr/>
                  </pic:nvPicPr>
                  <pic:blipFill>
                    <a:blip r:embed="rId13">
                      <a:extLst>
                        <a:ext uri="{28A0092B-C50C-407E-A947-70E740481C1C}">
                          <a14:useLocalDpi xmlns:a14="http://schemas.microsoft.com/office/drawing/2010/main" val="0"/>
                        </a:ext>
                      </a:extLst>
                    </a:blip>
                    <a:stretch>
                      <a:fillRect/>
                    </a:stretch>
                  </pic:blipFill>
                  <pic:spPr>
                    <a:xfrm>
                      <a:off x="0" y="0"/>
                      <a:ext cx="5575374" cy="3867456"/>
                    </a:xfrm>
                    <a:prstGeom prst="rect">
                      <a:avLst/>
                    </a:prstGeom>
                    <a:ln>
                      <a:solidFill>
                        <a:schemeClr val="accent1"/>
                      </a:solidFill>
                    </a:ln>
                  </pic:spPr>
                </pic:pic>
              </a:graphicData>
            </a:graphic>
          </wp:inline>
        </w:drawing>
      </w:r>
    </w:p>
    <w:p w14:paraId="4DBBF201" w14:textId="7D97FDBE" w:rsidR="0031592B" w:rsidRDefault="00AC7DBA" w:rsidP="00747DBD">
      <w:pPr>
        <w:rPr>
          <w:b/>
          <w:bCs/>
        </w:rPr>
      </w:pPr>
      <w:r>
        <w:rPr>
          <w:b/>
          <w:bCs/>
        </w:rPr>
        <w:t xml:space="preserve">Supplementary </w:t>
      </w:r>
      <w:r w:rsidR="00604776">
        <w:rPr>
          <w:b/>
          <w:bCs/>
        </w:rPr>
        <w:t>F</w:t>
      </w:r>
      <w:r>
        <w:rPr>
          <w:b/>
          <w:bCs/>
        </w:rPr>
        <w:t xml:space="preserve">igure </w:t>
      </w:r>
      <w:r w:rsidR="00AB4E36">
        <w:rPr>
          <w:b/>
          <w:bCs/>
        </w:rPr>
        <w:t>6</w:t>
      </w:r>
      <w:r>
        <w:rPr>
          <w:b/>
          <w:bCs/>
        </w:rPr>
        <w:t xml:space="preserve">: </w:t>
      </w:r>
      <w:r w:rsidR="00731D82">
        <w:rPr>
          <w:b/>
          <w:bCs/>
        </w:rPr>
        <w:t xml:space="preserve"> The calibration curve from the selected logistic regression model with the lowest estimated calibration index. </w:t>
      </w:r>
      <w:r w:rsidR="00731D82" w:rsidRPr="00747DBD">
        <w:rPr>
          <w:b/>
          <w:bCs/>
        </w:rPr>
        <w:t>Observed compared to predicted probabilities in the full dataset are shown.</w:t>
      </w:r>
    </w:p>
    <w:p w14:paraId="67222641" w14:textId="77777777" w:rsidR="00DB500F" w:rsidRDefault="00DB500F" w:rsidP="00747DBD">
      <w:pPr>
        <w:rPr>
          <w:b/>
          <w:bCs/>
        </w:rPr>
      </w:pPr>
    </w:p>
    <w:p w14:paraId="3EB0563C" w14:textId="2E9FD3A2" w:rsidR="00DB500F" w:rsidRPr="00747DBD" w:rsidRDefault="00DB500F" w:rsidP="00747DBD">
      <w:pPr>
        <w:rPr>
          <w:b/>
          <w:bCs/>
        </w:rPr>
      </w:pPr>
    </w:p>
    <w:p w14:paraId="64E87E3F" w14:textId="5F65B63E" w:rsidR="00EC04B3" w:rsidRDefault="00AF057E" w:rsidP="00686DC7">
      <w:pPr>
        <w:rPr>
          <w:b/>
          <w:bCs/>
        </w:rPr>
      </w:pPr>
      <w:r>
        <w:rPr>
          <w:b/>
          <w:bCs/>
        </w:rPr>
        <w:t>.</w:t>
      </w:r>
    </w:p>
    <w:p w14:paraId="5C0D425C" w14:textId="77777777" w:rsidR="00EC04B3" w:rsidRDefault="00EC04B3">
      <w:pPr>
        <w:rPr>
          <w:b/>
          <w:bCs/>
        </w:rPr>
      </w:pPr>
      <w:r>
        <w:rPr>
          <w:b/>
          <w:bCs/>
        </w:rPr>
        <w:br w:type="page"/>
      </w:r>
    </w:p>
    <w:p w14:paraId="33B26F54" w14:textId="028606AD" w:rsidR="00DB500F" w:rsidRDefault="00EC04B3" w:rsidP="00686DC7">
      <w:pPr>
        <w:rPr>
          <w:b/>
          <w:bCs/>
        </w:rPr>
      </w:pPr>
      <w:r>
        <w:rPr>
          <w:b/>
          <w:bCs/>
          <w:noProof/>
        </w:rPr>
        <w:lastRenderedPageBreak/>
        <w:drawing>
          <wp:inline distT="0" distB="0" distL="0" distR="0" wp14:anchorId="6ABAD2BE" wp14:editId="14825950">
            <wp:extent cx="4820968" cy="3544421"/>
            <wp:effectExtent l="19050" t="19050" r="17780" b="18415"/>
            <wp:docPr id="697334994" name="Picture 3" descr="A graph of a number of box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334994" name="Picture 3" descr="A graph of a number of boxes&#10;&#10;Description automatically generated with medium confidence"/>
                    <pic:cNvPicPr/>
                  </pic:nvPicPr>
                  <pic:blipFill>
                    <a:blip r:embed="rId14">
                      <a:extLst>
                        <a:ext uri="{28A0092B-C50C-407E-A947-70E740481C1C}">
                          <a14:useLocalDpi xmlns:a14="http://schemas.microsoft.com/office/drawing/2010/main" val="0"/>
                        </a:ext>
                      </a:extLst>
                    </a:blip>
                    <a:stretch>
                      <a:fillRect/>
                    </a:stretch>
                  </pic:blipFill>
                  <pic:spPr>
                    <a:xfrm>
                      <a:off x="0" y="0"/>
                      <a:ext cx="4829714" cy="3550851"/>
                    </a:xfrm>
                    <a:prstGeom prst="rect">
                      <a:avLst/>
                    </a:prstGeom>
                    <a:ln>
                      <a:solidFill>
                        <a:schemeClr val="accent1"/>
                      </a:solidFill>
                    </a:ln>
                  </pic:spPr>
                </pic:pic>
              </a:graphicData>
            </a:graphic>
          </wp:inline>
        </w:drawing>
      </w:r>
    </w:p>
    <w:p w14:paraId="5ED422EB" w14:textId="7179008C" w:rsidR="00EC04B3" w:rsidRDefault="00EC04B3" w:rsidP="00686DC7">
      <w:pPr>
        <w:rPr>
          <w:b/>
          <w:bCs/>
        </w:rPr>
      </w:pPr>
      <w:r>
        <w:rPr>
          <w:b/>
          <w:bCs/>
        </w:rPr>
        <w:t xml:space="preserve">Supplementary </w:t>
      </w:r>
      <w:r w:rsidR="00604776">
        <w:rPr>
          <w:b/>
          <w:bCs/>
        </w:rPr>
        <w:t>F</w:t>
      </w:r>
      <w:r>
        <w:rPr>
          <w:b/>
          <w:bCs/>
        </w:rPr>
        <w:t xml:space="preserve">igure </w:t>
      </w:r>
      <w:r w:rsidR="00AB4E36">
        <w:rPr>
          <w:b/>
          <w:bCs/>
        </w:rPr>
        <w:t>7</w:t>
      </w:r>
      <w:r>
        <w:rPr>
          <w:b/>
          <w:bCs/>
        </w:rPr>
        <w:t xml:space="preserve">: The proportion of the herd selected for </w:t>
      </w:r>
      <w:r w:rsidR="0057218E">
        <w:rPr>
          <w:b/>
          <w:bCs/>
        </w:rPr>
        <w:t>interferon-γ</w:t>
      </w:r>
      <w:r w:rsidR="0057218E" w:rsidDel="0057218E">
        <w:rPr>
          <w:b/>
          <w:bCs/>
        </w:rPr>
        <w:t xml:space="preserve"> </w:t>
      </w:r>
      <w:r>
        <w:rPr>
          <w:b/>
          <w:bCs/>
        </w:rPr>
        <w:t xml:space="preserve">testing in a single herd-level </w:t>
      </w:r>
      <w:r w:rsidR="00240232">
        <w:rPr>
          <w:b/>
          <w:bCs/>
        </w:rPr>
        <w:t>interferon-γ</w:t>
      </w:r>
      <w:r>
        <w:rPr>
          <w:b/>
          <w:bCs/>
        </w:rPr>
        <w:t xml:space="preserve"> testing event, stratified by herd size.</w:t>
      </w:r>
    </w:p>
    <w:p w14:paraId="6B8E14C9" w14:textId="44C06193" w:rsidR="00EC04B3" w:rsidRDefault="00EC04B3">
      <w:pPr>
        <w:rPr>
          <w:b/>
          <w:bCs/>
        </w:rPr>
      </w:pPr>
      <w:r>
        <w:rPr>
          <w:b/>
          <w:bCs/>
        </w:rPr>
        <w:br w:type="page"/>
      </w:r>
    </w:p>
    <w:p w14:paraId="236C164D" w14:textId="77777777" w:rsidR="00EC04B3" w:rsidRDefault="00EC04B3" w:rsidP="00686DC7">
      <w:pPr>
        <w:rPr>
          <w:b/>
          <w:bCs/>
        </w:rPr>
      </w:pPr>
    </w:p>
    <w:p w14:paraId="5A94C604" w14:textId="12BB3F5F" w:rsidR="00C15B96" w:rsidRDefault="00C15B96" w:rsidP="00686DC7">
      <w:pPr>
        <w:rPr>
          <w:b/>
          <w:bCs/>
        </w:rPr>
      </w:pPr>
      <w:r>
        <w:rPr>
          <w:noProof/>
        </w:rPr>
        <w:drawing>
          <wp:inline distT="0" distB="0" distL="0" distR="0" wp14:anchorId="347AEC64" wp14:editId="6ACB79BD">
            <wp:extent cx="4707559" cy="3092823"/>
            <wp:effectExtent l="19050" t="19050" r="17145" b="12700"/>
            <wp:docPr id="8521851" name="Picture 4" descr="A diagram of information criter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1851" name="Picture 4" descr="A diagram of information criterium&#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4733307" cy="3109739"/>
                    </a:xfrm>
                    <a:prstGeom prst="rect">
                      <a:avLst/>
                    </a:prstGeom>
                    <a:ln>
                      <a:solidFill>
                        <a:schemeClr val="accent1"/>
                      </a:solidFill>
                    </a:ln>
                  </pic:spPr>
                </pic:pic>
              </a:graphicData>
            </a:graphic>
          </wp:inline>
        </w:drawing>
      </w:r>
    </w:p>
    <w:p w14:paraId="0B6D151E" w14:textId="4A16EC27" w:rsidR="0077649B" w:rsidRPr="007556CF" w:rsidRDefault="004C65C0" w:rsidP="0077649B">
      <w:pPr>
        <w:rPr>
          <w:b/>
          <w:bCs/>
        </w:rPr>
      </w:pPr>
      <w:r>
        <w:rPr>
          <w:b/>
          <w:bCs/>
        </w:rPr>
        <w:t xml:space="preserve">Supplementary </w:t>
      </w:r>
      <w:r w:rsidR="00604776">
        <w:rPr>
          <w:b/>
          <w:bCs/>
        </w:rPr>
        <w:t>F</w:t>
      </w:r>
      <w:r>
        <w:rPr>
          <w:b/>
          <w:bCs/>
        </w:rPr>
        <w:t xml:space="preserve">igure </w:t>
      </w:r>
      <w:r w:rsidR="00AB4E36">
        <w:rPr>
          <w:b/>
          <w:bCs/>
        </w:rPr>
        <w:t>8</w:t>
      </w:r>
      <w:r>
        <w:rPr>
          <w:b/>
          <w:bCs/>
        </w:rPr>
        <w:t xml:space="preserve">: </w:t>
      </w:r>
      <w:r w:rsidR="0077649B" w:rsidRPr="007556CF">
        <w:rPr>
          <w:b/>
          <w:bCs/>
        </w:rPr>
        <w:t xml:space="preserve"> Akaike Information Criterion and corrected mean squared distance between observed and expected data in multivariable models to explain the count of cattle </w:t>
      </w:r>
      <w:r w:rsidR="00240232">
        <w:rPr>
          <w:b/>
          <w:bCs/>
        </w:rPr>
        <w:t>interferon-γ</w:t>
      </w:r>
      <w:r w:rsidR="0077649B" w:rsidRPr="007556CF">
        <w:rPr>
          <w:b/>
          <w:bCs/>
        </w:rPr>
        <w:t xml:space="preserve"> tested. The yellow triangle indicates the selected model.</w:t>
      </w:r>
    </w:p>
    <w:p w14:paraId="5FC1086D" w14:textId="2772A96D" w:rsidR="00A66321" w:rsidRDefault="00A66321">
      <w:pPr>
        <w:rPr>
          <w:b/>
          <w:bCs/>
        </w:rPr>
      </w:pPr>
      <w:r>
        <w:rPr>
          <w:b/>
          <w:bCs/>
        </w:rPr>
        <w:br w:type="page"/>
      </w:r>
    </w:p>
    <w:p w14:paraId="72ED26B1" w14:textId="0EF24D77" w:rsidR="0077649B" w:rsidRDefault="0077649B" w:rsidP="00686DC7">
      <w:pPr>
        <w:rPr>
          <w:b/>
          <w:bCs/>
        </w:rPr>
      </w:pPr>
      <w:r>
        <w:rPr>
          <w:noProof/>
        </w:rPr>
        <w:lastRenderedPageBreak/>
        <w:drawing>
          <wp:inline distT="0" distB="0" distL="0" distR="0" wp14:anchorId="009276C5" wp14:editId="37797690">
            <wp:extent cx="5640542" cy="3705785"/>
            <wp:effectExtent l="19050" t="19050" r="17780" b="28575"/>
            <wp:docPr id="2097529789" name="Picture 3" descr="A graph showing a graph showing a number of parti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529789" name="Picture 3" descr="A graph showing a graph showing a number of particle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671766" cy="3726299"/>
                    </a:xfrm>
                    <a:prstGeom prst="rect">
                      <a:avLst/>
                    </a:prstGeom>
                    <a:ln>
                      <a:solidFill>
                        <a:schemeClr val="accent1"/>
                      </a:solidFill>
                    </a:ln>
                  </pic:spPr>
                </pic:pic>
              </a:graphicData>
            </a:graphic>
          </wp:inline>
        </w:drawing>
      </w:r>
    </w:p>
    <w:p w14:paraId="7EC9611B" w14:textId="6C6E6038" w:rsidR="00281721" w:rsidRDefault="004C65C0" w:rsidP="00686DC7">
      <w:pPr>
        <w:rPr>
          <w:b/>
          <w:bCs/>
        </w:rPr>
      </w:pPr>
      <w:r>
        <w:rPr>
          <w:b/>
          <w:bCs/>
        </w:rPr>
        <w:t xml:space="preserve">Supplementary </w:t>
      </w:r>
      <w:r w:rsidR="00604776">
        <w:rPr>
          <w:b/>
          <w:bCs/>
        </w:rPr>
        <w:t>F</w:t>
      </w:r>
      <w:r>
        <w:rPr>
          <w:b/>
          <w:bCs/>
        </w:rPr>
        <w:t xml:space="preserve">igure </w:t>
      </w:r>
      <w:r w:rsidR="00AB4E36">
        <w:rPr>
          <w:b/>
          <w:bCs/>
        </w:rPr>
        <w:t>9</w:t>
      </w:r>
      <w:r w:rsidR="000724DF">
        <w:rPr>
          <w:b/>
          <w:bCs/>
        </w:rPr>
        <w:t xml:space="preserve">: Observed compared to predicted counts of cattle </w:t>
      </w:r>
      <w:r w:rsidR="00240232">
        <w:rPr>
          <w:b/>
          <w:bCs/>
        </w:rPr>
        <w:t>interferon-γ</w:t>
      </w:r>
      <w:r w:rsidR="000724DF">
        <w:rPr>
          <w:b/>
          <w:bCs/>
        </w:rPr>
        <w:t xml:space="preserve"> tested on a single date, based on simulations based on our final truncated negative binomial model.</w:t>
      </w:r>
    </w:p>
    <w:p w14:paraId="0A2594CA" w14:textId="77777777" w:rsidR="00281721" w:rsidRDefault="00281721">
      <w:pPr>
        <w:spacing w:line="259" w:lineRule="auto"/>
        <w:rPr>
          <w:b/>
          <w:bCs/>
        </w:rPr>
      </w:pPr>
      <w:r>
        <w:rPr>
          <w:b/>
          <w:bCs/>
        </w:rPr>
        <w:br w:type="page"/>
      </w:r>
    </w:p>
    <w:p w14:paraId="55DD576D" w14:textId="6145341F" w:rsidR="004C65C0" w:rsidRDefault="00281721" w:rsidP="00281721">
      <w:pPr>
        <w:pStyle w:val="Heading1"/>
      </w:pPr>
      <w:bookmarkStart w:id="5" w:name="_Toc194674079"/>
      <w:r>
        <w:lastRenderedPageBreak/>
        <w:t xml:space="preserve">Supplementary </w:t>
      </w:r>
      <w:r w:rsidR="00D019D9">
        <w:t>m</w:t>
      </w:r>
      <w:r>
        <w:t>ethods</w:t>
      </w:r>
      <w:bookmarkEnd w:id="5"/>
    </w:p>
    <w:p w14:paraId="32E727C6" w14:textId="77777777" w:rsidR="009733C2" w:rsidRPr="00D019D9" w:rsidRDefault="009733C2" w:rsidP="00D019D9">
      <w:pPr>
        <w:rPr>
          <w:b/>
          <w:bCs/>
        </w:rPr>
      </w:pPr>
      <w:r w:rsidRPr="00D019D9">
        <w:rPr>
          <w:b/>
          <w:bCs/>
        </w:rPr>
        <w:t>Interferon-γ testing policy and implementation</w:t>
      </w:r>
    </w:p>
    <w:p w14:paraId="5574A602" w14:textId="66E11C59" w:rsidR="009733C2" w:rsidRDefault="009733C2" w:rsidP="009733C2">
      <w:pPr>
        <w:jc w:val="both"/>
      </w:pPr>
      <w:r>
        <w:t xml:space="preserve">The interferon-γ test has been used in Ireland since 1994 </w:t>
      </w:r>
      <w:r w:rsidR="00D96F5F">
        <w:rPr>
          <w:rStyle w:val="FootnoteReference"/>
        </w:rPr>
        <w:fldChar w:fldCharType="begin" w:fldLock="1"/>
      </w:r>
      <w:r w:rsidR="003F25C0">
        <w:instrText>ADDIN CSL_CITATION {"citationItems":[{"id":"ITEM-1","itemData":{"DOI":"10.1016/j.vetmic.2005.11.022","ISSN":"03781135","abstract":"A national programme to eradicate bovine tuberculosis commenced in Ireland in 1954. During the last 15-20 years, research has been conducted to address gaps in knowledge of disease epidemiology, to objectively evaluate alternative strategy options, and to critically assess the implementation of disease control strategies. This paper provides a review of scientific and policy advances in Ireland since 1988, relevant to the tuberculosis eradication programme in Ireland. There have been substantial advances in knowledge of aspects of disease epidemiology, relating to cattle-to-cattle transmission, the role of wildlife, transmission of infection from wildlife and methods to minimise wildlife-to-cattle transmission. Further, scientific advances have been made both in the detection and management of infected herds. With respect to policy, the paper describes current policy and policy advances in both the detection and management of infected herds, as well as current strategies to prevent herd breakdowns. The Irish programme is a useful example of science-informed policy in a national context. © 2005 Elsevier B.V. All rights reserved.","author":[{"dropping-particle":"","family":"More","given":"Simon J.","non-dropping-particle":"","parse-names":false,"suffix":""},{"dropping-particle":"","family":"Good","given":"Margaret","non-dropping-particle":"","parse-names":false,"suffix":""}],"container-title":"Veterinary Microbiology","id":"ITEM-1","issue":"2-4 SPEC. ISS.","issued":{"date-parts":[["2006"]]},"page":"239-251","title":"The tuberculosis eradication programme in Ireland: A review of scientific and policy advances since 1988","type":"article-journal","volume":"112"},"uris":["http://www.mendeley.com/documents/?uuid=e9c37444-5ce7-4553-ad91-74f433565c60"]}],"mendeley":{"formattedCitation":"(More and Good, 2006)","plainTextFormattedCitation":"(More and Good, 2006)","previouslyFormattedCitation":"(More and Good, 2006)"},"properties":{"noteIndex":0},"schema":"https://github.com/citation-style-language/schema/raw/master/csl-citation.json"}</w:instrText>
      </w:r>
      <w:r w:rsidR="00D96F5F">
        <w:rPr>
          <w:rStyle w:val="FootnoteReference"/>
        </w:rPr>
        <w:fldChar w:fldCharType="separate"/>
      </w:r>
      <w:r w:rsidR="000E1167" w:rsidRPr="000E1167">
        <w:rPr>
          <w:noProof/>
        </w:rPr>
        <w:t>(More and Good, 2006)</w:t>
      </w:r>
      <w:r w:rsidR="00D96F5F">
        <w:rPr>
          <w:rStyle w:val="FootnoteReference"/>
        </w:rPr>
        <w:fldChar w:fldCharType="end"/>
      </w:r>
      <w:r>
        <w:t xml:space="preserve">. Unlike the skin test, its specificity, reported to be approximately 91 per cent in the Irish context </w:t>
      </w:r>
      <w:r w:rsidR="00D96F5F">
        <w:rPr>
          <w:rStyle w:val="FootnoteReference"/>
        </w:rPr>
        <w:fldChar w:fldCharType="begin" w:fldLock="1"/>
      </w:r>
      <w:r w:rsidR="003F25C0">
        <w:instrText>ADDIN CSL_CITATION {"citationItems":[{"id":"ITEM-1","itemData":{"DOI":"10.1186/1297-9716-44-117","ISSN":"09284249","PMID":"24308747","abstract":"The gamma-interferon assay (IFNγ) is often used as an ancillary diagnostic test alongside the tuberculin skin test in order to detect Mycobacterium bovis infected cattle. The performance of the IFNγ test has been evaluated in many countries worldwide and wider usage as a disease surveillance tool is constrained due to the relatively low and inconsistent specificity at a herd and area level. This results in disclosure of a higher proportion of false positive reactors when compared with the skin test. In this study, we used cohorts of animals from low prevalence tuberculosis herds (n = 136) to assess a range of risk factors that might influence the specificity of the test. Univariate and multivariate logistic generalised estimating-equation (GEE) models were used to evaluate potential risk factors associated with a false positive IFNγ test result. In these herds, the univariate model revealed that the region of herd origin, the time of year when the testing was carried out, and the age of the animal were all significant risk factors. In the final multivariate models only animal age and region of herd origin were found to be significant risk factors. A high proportion of herds with multiple IFNγ false positive animals were located in one county, with evidence of within-herd clustering, suggesting a localised source of non-specific sensitization. Knowledge of the underlying factors influencing the IFNγ test specificity could be used to optimize the test performance in different disease level scenarios in order to reduce the disclosure rate of false positive reactors. © 2013 Gormley et al.","author":[{"dropping-particle":"","family":"Gormley","given":"Eamonn","non-dropping-particle":"","parse-names":false,"suffix":""},{"dropping-particle":"","family":"Doyle","given":"Mairead","non-dropping-particle":"","parse-names":false,"suffix":""},{"dropping-particle":"","family":"Duignan","given":"Anthony","non-dropping-particle":"","parse-names":false,"suffix":""},{"dropping-particle":"","family":"Good","given":"Margaret","non-dropping-particle":"","parse-names":false,"suffix":""},{"dropping-particle":"","family":"More","given":"Simon J.","non-dropping-particle":"","parse-names":false,"suffix":""},{"dropping-particle":"","family":"Clegg","given":"Tracy A.","non-dropping-particle":"","parse-names":false,"suffix":""}],"container-title":"Veterinary Research","id":"ITEM-1","issue":"1","issued":{"date-parts":[["2013"]]},"page":"1-8","title":"Identification of risk factors associated with disclosure of false positive bovine tuberculosis reactors using the gamma-interferon (IFNγ) assay","type":"article-journal","volume":"44"},"uris":["http://www.mendeley.com/documents/?uuid=18ba9a72-de93-4f09-811b-64a8d6dcbfec"]}],"mendeley":{"formattedCitation":"(Gormley et al., 2013)","plainTextFormattedCitation":"(Gormley et al., 2013)","previouslyFormattedCitation":"(Gormley et al., 2013)"},"properties":{"noteIndex":0},"schema":"https://github.com/citation-style-language/schema/raw/master/csl-citation.json"}</w:instrText>
      </w:r>
      <w:r w:rsidR="00D96F5F">
        <w:rPr>
          <w:rStyle w:val="FootnoteReference"/>
        </w:rPr>
        <w:fldChar w:fldCharType="separate"/>
      </w:r>
      <w:r w:rsidR="000E1167" w:rsidRPr="000E1167">
        <w:rPr>
          <w:bCs/>
          <w:noProof/>
          <w:lang w:val="en-US"/>
        </w:rPr>
        <w:t>(Gormley et al., 2013)</w:t>
      </w:r>
      <w:r w:rsidR="00D96F5F">
        <w:rPr>
          <w:rStyle w:val="FootnoteReference"/>
        </w:rPr>
        <w:fldChar w:fldCharType="end"/>
      </w:r>
      <w:r>
        <w:t xml:space="preserve">, is considered too low to be used as a population level screening test, given the apparent animal level prevalence of </w:t>
      </w:r>
      <w:proofErr w:type="spellStart"/>
      <w:r>
        <w:t>bTB</w:t>
      </w:r>
      <w:proofErr w:type="spellEnd"/>
      <w:r>
        <w:t xml:space="preserve"> in Ireland ranged from 1.62 to 3.25 cattle positive per thousand skin tests conducted between 2000 and 2023. However, t</w:t>
      </w:r>
      <w:r w:rsidRPr="00504A7B">
        <w:t xml:space="preserve">he use of </w:t>
      </w:r>
      <w:r>
        <w:t>interferon-γ</w:t>
      </w:r>
      <w:r w:rsidRPr="00504A7B">
        <w:t xml:space="preserve"> in parallel with the skin test, in herds with relatively higher counts of skin </w:t>
      </w:r>
      <w:r>
        <w:t>cases</w:t>
      </w:r>
      <w:r w:rsidRPr="00504A7B">
        <w:t xml:space="preserve"> already detected, allows for the detection of additional infected cattle </w:t>
      </w:r>
      <w:r w:rsidR="00D96F5F">
        <w:rPr>
          <w:rStyle w:val="FootnoteReference"/>
        </w:rPr>
        <w:fldChar w:fldCharType="begin" w:fldLock="1"/>
      </w:r>
      <w:r w:rsidR="003F25C0">
        <w:instrText>ADDIN CSL_CITATION {"citationItems":[{"id":"ITEM-1","itemData":{"DOI":"10.1016/j.vetmic.2005.11.029","ISSN":"03781135","abstract":"The strategic use of the gamma-interferon (IFN-γ) assay (Bovigam®) can provide a means for the early identification of Mycobacterium bovis infected cattle, thus ensuring their removal from an infected herd. When used in parallel with the tuberculin test, it is capable of identifying infected cattle, which might otherwise not be detected until later, if at all. The early detection and removal of these animals reduces the risk that they will become a source of infection for other cattle. When targeted in herds of high prevalence the benefits to the herd owner directly concerned can be considerable as the assay provides a means of shortening the period of restriction for such herds. This serves to generate confidence among herd owners and other stakeholders that effective schemes, based on sound scientific principles, can be developed to eradicate tuberculosis from infected cattle populations. © 2005 Elsevier B.V. All rights reserved.","author":[{"dropping-particle":"","family":"Gormley","given":"E.","non-dropping-particle":"","parse-names":false,"suffix":""},{"dropping-particle":"","family":"Doyle","given":"M. B.","non-dropping-particle":"","parse-names":false,"suffix":""},{"dropping-particle":"","family":"Fitzsimons","given":"T.","non-dropping-particle":"","parse-names":false,"suffix":""},{"dropping-particle":"","family":"McGill","given":"K.","non-dropping-particle":"","parse-names":false,"suffix":""},{"dropping-particle":"","family":"Collins","given":"J. D.","non-dropping-particle":"","parse-names":false,"suffix":""}],"container-title":"Veterinary Microbiology","id":"ITEM-1","issue":"2-4 SPEC. ISS.","issued":{"date-parts":[["2006"]]},"page":"171-179","title":"Diagnosis of Mycobacterium bovis infection in cattle by use of the gamma-interferon (Bovigam®) assay","type":"article-journal","volume":"112"},"uris":["http://www.mendeley.com/documents/?uuid=f8a0435b-e4eb-48ad-b54f-33c521e24b8a"]},{"id":"ITEM-2","itemData":{"DOI":"10.1016/j.prevetmed.2017.03.007","ISSN":"01675877","PMID":"28460744","abstract":"There are two different contexts in the Irish bTB eradication programme in which the interferon-gamma assay (IFN-γ) is applied. Firstly, the IFN-γ assay is applied routinely to high risk cohorts in herds with four or more reactors to the SICTT. The IFN-γ test is then carried out on blood samples submitted to the laboratory within 8 h of collection (diagnostic testing). Secondly, the use of the IFN-γ assay has recently been extended to test SICTT reactors as part of a general quality assurance (QA) scheme to monitor the performance of the SICTT. Blood samples from reactors are tested one day after blood collection (QA testing). In this study, we analysed the relative performance of the SICTT and IFN-γ when used in parallel as an 8 h diagnostic test and as a 24 h QA test on SICTT reactors. A total of 17,725 IFN-γ tests were included in the analysis (11,658 diagnostic tests and 6067 QA tests). Of the samples submitted for diagnostic testing, the proportion positive to IFN-γ decreased with the severity of interpretation of the SICTT result. Of the standard reactors that were tested with IFN-γ in the QA programme, 92.2% were positive to the IFN-γ test. Among animals that were SICTT −ve/IFN-γ +ve, 18.9% were positive at post-mortem compared to 11.8% of those that were SICTT +ve (standard reactor)/IFN-γ −ve. These results highlight the risk associated with retaining SICTT −ve/IFN-γ +ve animals, and suggest that prompt removal of these animals is necessary to reduce the potential for future transmission.","author":[{"dropping-particle":"","family":"Clegg","given":"T. A.","non-dropping-particle":"","parse-names":false,"suffix":""},{"dropping-particle":"","family":"Good","given":"M.","non-dropping-particle":"","parse-names":false,"suffix":""},{"dropping-particle":"","family":"Doyle","given":"M.","non-dropping-particle":"","parse-names":false,"suffix":""},{"dropping-particle":"","family":"Duignan","given":"A.","non-dropping-particle":"","parse-names":false,"suffix":""},{"dropping-particle":"","family":"More","given":"S. J.","non-dropping-particle":"","parse-names":false,"suffix":""},{"dropping-particle":"","family":"Gormley","given":"E.","non-dropping-particle":"","parse-names":false,"suffix":""}],"container-title":"Preventive Veterinary Medicine","id":"ITEM-2","issued":{"date-parts":[["2017"]]},"page":"116-121","publisher":"Elsevier B.V.","title":"The performance of the interferon gamma assay when used as a diagnostic or quality assurance test in Mycobacterium bovis infected herds","type":"article-journal","volume":"140"},"uris":["http://www.mendeley.com/documents/?uuid=0690816d-2810-4a01-a948-6d57552a3ac4"]},{"id":"ITEM-3","itemData":{"DOI":"10.1016/j.prevetmed.2019.04.004","ISSN":"01675877","PMID":"31097123","abstract":"The IFN-γ (interferon gamma)assay is used in Ireland as an ancillary diagnostic test to the single intradermal comparative tuberculin test (SICTT)to maximise the detection of Mycobacterium bovis infected animals (bTB)in cattle herds. Understanding the relationships between herd and animal risk factors and IFN-γ test results is critical to enable the development and evaluation of policy measures on how best to use the test. In this study, we set out to characterise Irish herds with IFN-γ test positive animals in terms of herd size, number of SICTT reactors and number of IFN-γ positive tests, and to evaluate the IFN-γ test in terms of the test cut-off values. The results showed that larger herds with more SICTT reactors were likely to have more IFN-γ positives in the herd, and herds with an IFN-γ test positive animal that was also positive for bTB lesions at post-mortem had higher numbers of IFN-γ positive animals in the herd. Raising the cut-off values for the IFN-γ test only marginally decreased the combined sensitivity of the IFN-γ and the SICTT for diagnosis of bTB lesioned animals. The analysis has provided valuable information on the performance of the IFN-γ test as it is used under current bTB infection levels in Ireland.","author":[{"dropping-particle":"","family":"Clegg","given":"T. A.","non-dropping-particle":"","parse-names":false,"suffix":""},{"dropping-particle":"","family":"Doyle","given":"M.","non-dropping-particle":"","parse-names":false,"suffix":""},{"dropping-particle":"","family":"Ryan","given":"E.","non-dropping-particle":"","parse-names":false,"suffix":""},{"dropping-particle":"","family":"More","given":"S. J.","non-dropping-particle":"","parse-names":false,"suffix":""},{"dropping-particle":"","family":"Gormley","given":"E.","non-dropping-particle":"","parse-names":false,"suffix":""}],"container-title":"Preventive Veterinary Medicine","id":"ITEM-3","issue":"April","issued":{"date-parts":[["2019"]]},"page":"52-59","publisher":"Elsevier","title":"Characteristics of Mycobacterium bovis infected herds tested with the interferon-gamma assay","type":"article-journal","volume":"168"},"uris":["http://www.mendeley.com/documents/?uuid=0e41a260-1c3b-42fd-9eb7-ea45ebfa67fc"]}],"mendeley":{"formattedCitation":"(Clegg et al., 2019, 2017; Gormley et al., 2006)","plainTextFormattedCitation":"(Clegg et al., 2019, 2017; Gormley et al., 2006)","previouslyFormattedCitation":"(Clegg et al., 2019, 2017; Gormley et al., 2006)"},"properties":{"noteIndex":0},"schema":"https://github.com/citation-style-language/schema/raw/master/csl-citation.json"}</w:instrText>
      </w:r>
      <w:r w:rsidR="00D96F5F">
        <w:rPr>
          <w:rStyle w:val="FootnoteReference"/>
        </w:rPr>
        <w:fldChar w:fldCharType="separate"/>
      </w:r>
      <w:r w:rsidR="000E1167" w:rsidRPr="000E1167">
        <w:rPr>
          <w:noProof/>
        </w:rPr>
        <w:t>(Clegg et al., 2019, 2017; Gormley et al., 2006)</w:t>
      </w:r>
      <w:r w:rsidR="00D96F5F">
        <w:rPr>
          <w:rStyle w:val="FootnoteReference"/>
        </w:rPr>
        <w:fldChar w:fldCharType="end"/>
      </w:r>
      <w:r w:rsidRPr="00504A7B">
        <w:t>.</w:t>
      </w:r>
    </w:p>
    <w:p w14:paraId="77119010" w14:textId="01EE691A" w:rsidR="009733C2" w:rsidRDefault="009733C2" w:rsidP="009733C2">
      <w:pPr>
        <w:jc w:val="both"/>
      </w:pPr>
      <w:r>
        <w:t xml:space="preserve">Control policy for </w:t>
      </w:r>
      <w:proofErr w:type="spellStart"/>
      <w:r>
        <w:t>bTB</w:t>
      </w:r>
      <w:proofErr w:type="spellEnd"/>
      <w:r>
        <w:t xml:space="preserve"> allows interferon-γ testing to be used in three different contexts in Ireland. (1) Diagnostic interferon-γ testing for the detection of additional infected animals in herds where high levels of </w:t>
      </w:r>
      <w:r w:rsidRPr="00F03F62">
        <w:rPr>
          <w:i/>
          <w:iCs/>
        </w:rPr>
        <w:t>M</w:t>
      </w:r>
      <w:r>
        <w:rPr>
          <w:i/>
          <w:iCs/>
        </w:rPr>
        <w:t>.</w:t>
      </w:r>
      <w:r w:rsidRPr="00F03F62">
        <w:rPr>
          <w:i/>
          <w:iCs/>
        </w:rPr>
        <w:t xml:space="preserve"> </w:t>
      </w:r>
      <w:proofErr w:type="spellStart"/>
      <w:r w:rsidRPr="00F03F62">
        <w:rPr>
          <w:i/>
          <w:iCs/>
        </w:rPr>
        <w:t>bovis</w:t>
      </w:r>
      <w:proofErr w:type="spellEnd"/>
      <w:r>
        <w:t xml:space="preserve"> transmission are suspected </w:t>
      </w:r>
      <w:r w:rsidR="00D96F5F">
        <w:rPr>
          <w:rStyle w:val="FootnoteReference"/>
        </w:rPr>
        <w:fldChar w:fldCharType="begin" w:fldLock="1"/>
      </w:r>
      <w:r w:rsidR="003F25C0">
        <w:instrText>ADDIN CSL_CITATION {"citationItems":[{"id":"ITEM-1","itemData":{"DOI":"10.1016/j.prevetmed.2019.04.004","ISSN":"01675877","PMID":"31097123","abstract":"The IFN-γ (interferon gamma)assay is used in Ireland as an ancillary diagnostic test to the single intradermal comparative tuberculin test (SICTT)to maximise the detection of Mycobacterium bovis infected animals (bTB)in cattle herds. Understanding the relationships between herd and animal risk factors and IFN-γ test results is critical to enable the development and evaluation of policy measures on how best to use the test. In this study, we set out to characterise Irish herds with IFN-γ test positive animals in terms of herd size, number of SICTT reactors and number of IFN-γ positive tests, and to evaluate the IFN-γ test in terms of the test cut-off values. The results showed that larger herds with more SICTT reactors were likely to have more IFN-γ positives in the herd, and herds with an IFN-γ test positive animal that was also positive for bTB lesions at post-mortem had higher numbers of IFN-γ positive animals in the herd. Raising the cut-off values for the IFN-γ test only marginally decreased the combined sensitivity of the IFN-γ and the SICTT for diagnosis of bTB lesioned animals. The analysis has provided valuable information on the performance of the IFN-γ test as it is used under current bTB infection levels in Ireland.","author":[{"dropping-particle":"","family":"Clegg","given":"T. A.","non-dropping-particle":"","parse-names":false,"suffix":""},{"dropping-particle":"","family":"Doyle","given":"M.","non-dropping-particle":"","parse-names":false,"suffix":""},{"dropping-particle":"","family":"Ryan","given":"E.","non-dropping-particle":"","parse-names":false,"suffix":""},{"dropping-particle":"","family":"More","given":"S. J.","non-dropping-particle":"","parse-names":false,"suffix":""},{"dropping-particle":"","family":"Gormley","given":"E.","non-dropping-particle":"","parse-names":false,"suffix":""}],"container-title":"Preventive Veterinary Medicine","id":"ITEM-1","issue":"April","issued":{"date-parts":[["2019"]]},"page":"52-59","publisher":"Elsevier","title":"Characteristics of Mycobacterium bovis infected herds tested with the interferon-gamma assay","type":"article-journal","volume":"168"},"uris":["http://www.mendeley.com/documents/?uuid=0e41a260-1c3b-42fd-9eb7-ea45ebfa67fc"]},{"id":"ITEM-2","itemData":{"DOI":"10.1016/j.prevetmed.2017.03.007","ISSN":"01675877","PMID":"28460744","abstract":"There are two different contexts in the Irish bTB eradication programme in which the interferon-gamma assay (IFN-γ) is applied. Firstly, the IFN-γ assay is applied routinely to high risk cohorts in herds with four or more reactors to the SICTT. The IFN-γ test is then carried out on blood samples submitted to the laboratory within 8 h of collection (diagnostic testing). Secondly, the use of the IFN-γ assay has recently been extended to test SICTT reactors as part of a general quality assurance (QA) scheme to monitor the performance of the SICTT. Blood samples from reactors are tested one day after blood collection (QA testing). In this study, we analysed the relative performance of the SICTT and IFN-γ when used in parallel as an 8 h diagnostic test and as a 24 h QA test on SICTT reactors. A total of 17,725 IFN-γ tests were included in the analysis (11,658 diagnostic tests and 6067 QA tests). Of the samples submitted for diagnostic testing, the proportion positive to IFN-γ decreased with the severity of interpretation of the SICTT result. Of the standard reactors that were tested with IFN-γ in the QA programme, 92.2% were positive to the IFN-γ test. Among animals that were SICTT −ve/IFN-γ +ve, 18.9% were positive at post-mortem compared to 11.8% of those that were SICTT +ve (standard reactor)/IFN-γ −ve. These results highlight the risk associated with retaining SICTT −ve/IFN-γ +ve animals, and suggest that prompt removal of these animals is necessary to reduce the potential for future transmission.","author":[{"dropping-particle":"","family":"Clegg","given":"T. A.","non-dropping-particle":"","parse-names":false,"suffix":""},{"dropping-particle":"","family":"Good","given":"M.","non-dropping-particle":"","parse-names":false,"suffix":""},{"dropping-particle":"","family":"Doyle","given":"M.","non-dropping-particle":"","parse-names":false,"suffix":""},{"dropping-particle":"","family":"Duignan","given":"A.","non-dropping-particle":"","parse-names":false,"suffix":""},{"dropping-particle":"","family":"More","given":"S. J.","non-dropping-particle":"","parse-names":false,"suffix":""},{"dropping-particle":"","family":"Gormley","given":"E.","non-dropping-particle":"","parse-names":false,"suffix":""}],"container-title":"Preventive Veterinary Medicine","id":"ITEM-2","issued":{"date-parts":[["2017"]]},"page":"116-121","publisher":"Elsevier B.V.","title":"The performance of the interferon gamma assay when used as a diagnostic or quality assurance test in Mycobacterium bovis infected herds","type":"article-journal","volume":"140"},"uris":["http://www.mendeley.com/documents/?uuid=0690816d-2810-4a01-a948-6d57552a3ac4"]},{"id":"ITEM-3","itemData":{"DOI":"10.13140/RG.2.2.16445.77282","author":[{"dropping-particle":"","family":"Good","given":"Margaret","non-dropping-particle":"","parse-names":false,"suffix":""},{"dropping-particle":"","family":"Duignan","given":"Anthony","non-dropping-particle":"","parse-names":false,"suffix":""}],"id":"ITEM-3","issued":{"date-parts":[["2016"]]},"number-of-pages":"23 - 25","publisher-place":"Dublin","title":"Veterinary Handbook for Herd Management in the TB eradication programme","type":"book"},"uris":["http://www.mendeley.com/documents/?uuid=65aea4e7-668c-403a-a226-8efcbf6e5d16"]}],"mendeley":{"formattedCitation":"(Clegg et al., 2019, 2017; Good and Duignan, 2016)","plainTextFormattedCitation":"(Clegg et al., 2019, 2017; Good and Duignan, 2016)","previouslyFormattedCitation":"(Clegg et al., 2019, 2017; Good and Duignan, 2016)"},"properties":{"noteIndex":0},"schema":"https://github.com/citation-style-language/schema/raw/master/csl-citation.json"}</w:instrText>
      </w:r>
      <w:r w:rsidR="00D96F5F">
        <w:rPr>
          <w:rStyle w:val="FootnoteReference"/>
        </w:rPr>
        <w:fldChar w:fldCharType="separate"/>
      </w:r>
      <w:r w:rsidR="000E1167" w:rsidRPr="000E1167">
        <w:rPr>
          <w:noProof/>
        </w:rPr>
        <w:t>(Clegg et al., 2019, 2017; Good and Duignan, 2016)</w:t>
      </w:r>
      <w:r w:rsidR="00D96F5F">
        <w:rPr>
          <w:rStyle w:val="FootnoteReference"/>
        </w:rPr>
        <w:fldChar w:fldCharType="end"/>
      </w:r>
      <w:r>
        <w:t xml:space="preserve">; (2) inconclusive interferon-γ testing to add evidence on the true infection status of cattle with inconclusive results in the skin test </w:t>
      </w:r>
      <w:r w:rsidR="00D96F5F">
        <w:rPr>
          <w:rStyle w:val="FootnoteReference"/>
        </w:rPr>
        <w:fldChar w:fldCharType="begin" w:fldLock="1"/>
      </w:r>
      <w:r w:rsidR="003F25C0">
        <w:instrText>ADDIN CSL_CITATION {"citationItems":[{"id":"ITEM-1","itemData":{"DOI":"10.1186/s13620-023-00255-8","ISSN":"20460481","abstract":"A new Irish bovine tuberculosis (bTB) eradication strategy was launched in 2021. The strategy was formulated following extensive discussions with stakeholders, formal reviews of several aspects of the existing bTB policy and relevant inputs from the latest scientific research projects. A stakeholder discussion body, the TB Forum, had been established in 2018 and this continues under the new strategy, supported by three working groups (scientific, financial and implementation). The strategy sets out actions to address cattle-to-cattle and badger-to-cattle bTB transmission, along with actions to improve farm biosecurity and empower farmers to make their own choices to reduce bTB risk. Large scale vaccination of badgers has been rolled out under the new strategy, with over 20,000 km2 covered by the vaccination programme and 6,586 badgers captured in vaccination areas in 2021. Vaccination efforts have been complemented by intensive communications campaigns, including a web enabled software application (“app”) enabling farmers to report the location of badger setts. Cattle which test inconclusive to the tuberculin skin test have been re-tested using a gamma interferon blood test since April 2021, enabling truly infected cattle to be identified more effectively due to the higher sensitivity of this test. An enhanced oversight process has been put in place for herds experiencing extended or repeat bTB breakdowns. Whole genome sequencing is being used to investigate links between breakdowns, with the results supporting operational decision making in case management. Communications, including biosecurity advice, are co-designed with stakeholders, in order to improve their effectiveness. A programme involving veterinary practitioners providing tailored biosecurity bTB advice to their clients was established in 2021 and was rolled out nationally during 2022. A core element of the new strategy is the continual improvement of policies in response to changing bTB risks, informed by scientific research and then implemented with stakeholder consultation.","author":[{"dropping-particle":"","family":"Ryan","given":"Eoin","non-dropping-particle":"","parse-names":false,"suffix":""},{"dropping-particle":"","family":"Breslin","given":"Philip","non-dropping-particle":"","parse-names":false,"suffix":""},{"dropping-particle":"","family":"O’Keeffe","given":"James","non-dropping-particle":"","parse-names":false,"suffix":""},{"dropping-particle":"","family":"Byrne","given":"Andrew W.","non-dropping-particle":"","parse-names":false,"suffix":""},{"dropping-particle":"","family":"Wrigley","given":"Karina","non-dropping-particle":"","parse-names":false,"suffix":""},{"dropping-particle":"","family":"Barrett","given":"Damien","non-dropping-particle":"","parse-names":false,"suffix":""}],"container-title":"Irish Veterinary Journal","id":"ITEM-1","issue":"1","issued":{"date-parts":[["2023"]]},"page":"1-13","publisher":"BioMed Central","title":"The Irish bTB eradication programme: combining stakeholder engagement and research-driven policy to tackle bovine tuberculosis","type":"article-journal","volume":"76"},"uris":["http://www.mendeley.com/documents/?uuid=cd7f9240-3689-4e6c-be50-5b4020a60e5a"]}],"mendeley":{"formattedCitation":"(Ryan et al., 2023)","plainTextFormattedCitation":"(Ryan et al., 2023)","previouslyFormattedCitation":"(Ryan et al., 2023)"},"properties":{"noteIndex":0},"schema":"https://github.com/citation-style-language/schema/raw/master/csl-citation.json"}</w:instrText>
      </w:r>
      <w:r w:rsidR="00D96F5F">
        <w:rPr>
          <w:rStyle w:val="FootnoteReference"/>
        </w:rPr>
        <w:fldChar w:fldCharType="separate"/>
      </w:r>
      <w:r w:rsidR="000E1167" w:rsidRPr="000E1167">
        <w:rPr>
          <w:bCs/>
          <w:noProof/>
          <w:lang w:val="en-US"/>
        </w:rPr>
        <w:t>(Ryan et al., 2023)</w:t>
      </w:r>
      <w:r w:rsidR="00D96F5F">
        <w:rPr>
          <w:rStyle w:val="FootnoteReference"/>
        </w:rPr>
        <w:fldChar w:fldCharType="end"/>
      </w:r>
      <w:r>
        <w:t xml:space="preserve"> and (3)  quality control interferon-γ testing to monitor the integrity of skin testing </w:t>
      </w:r>
      <w:r w:rsidR="00D96F5F">
        <w:rPr>
          <w:rStyle w:val="FootnoteReference"/>
        </w:rPr>
        <w:fldChar w:fldCharType="begin" w:fldLock="1"/>
      </w:r>
      <w:r w:rsidR="003F25C0">
        <w:instrText>ADDIN CSL_CITATION {"citationItems":[{"id":"ITEM-1","itemData":{"DOI":"10.1016/j.prevetmed.2017.03.007","ISSN":"01675877","PMID":"28460744","abstract":"There are two different contexts in the Irish bTB eradication programme in which the interferon-gamma assay (IFN-γ) is applied. Firstly, the IFN-γ assay is applied routinely to high risk cohorts in herds with four or more reactors to the SICTT. The IFN-γ test is then carried out on blood samples submitted to the laboratory within 8 h of collection (diagnostic testing). Secondly, the use of the IFN-γ assay has recently been extended to test SICTT reactors as part of a general quality assurance (QA) scheme to monitor the performance of the SICTT. Blood samples from reactors are tested one day after blood collection (QA testing). In this study, we analysed the relative performance of the SICTT and IFN-γ when used in parallel as an 8 h diagnostic test and as a 24 h QA test on SICTT reactors. A total of 17,725 IFN-γ tests were included in the analysis (11,658 diagnostic tests and 6067 QA tests). Of the samples submitted for diagnostic testing, the proportion positive to IFN-γ decreased with the severity of interpretation of the SICTT result. Of the standard reactors that were tested with IFN-γ in the QA programme, 92.2% were positive to the IFN-γ test. Among animals that were SICTT −ve/IFN-γ +ve, 18.9% were positive at post-mortem compared to 11.8% of those that were SICTT +ve (standard reactor)/IFN-γ −ve. These results highlight the risk associated with retaining SICTT −ve/IFN-γ +ve animals, and suggest that prompt removal of these animals is necessary to reduce the potential for future transmission.","author":[{"dropping-particle":"","family":"Clegg","given":"T. A.","non-dropping-particle":"","parse-names":false,"suffix":""},{"dropping-particle":"","family":"Good","given":"M.","non-dropping-particle":"","parse-names":false,"suffix":""},{"dropping-particle":"","family":"Doyle","given":"M.","non-dropping-particle":"","parse-names":false,"suffix":""},{"dropping-particle":"","family":"Duignan","given":"A.","non-dropping-particle":"","parse-names":false,"suffix":""},{"dropping-particle":"","family":"More","given":"S. J.","non-dropping-particle":"","parse-names":false,"suffix":""},{"dropping-particle":"","family":"Gormley","given":"E.","non-dropping-particle":"","parse-names":false,"suffix":""}],"container-title":"Preventive Veterinary Medicine","id":"ITEM-1","issued":{"date-parts":[["2017"]]},"page":"116-121","publisher":"Elsevier B.V.","title":"The performance of the interferon gamma assay when used as a diagnostic or quality assurance test in Mycobacterium bovis infected herds","type":"article-journal","volume":"140"},"uris":["http://www.mendeley.com/documents/?uuid=0690816d-2810-4a01-a948-6d57552a3ac4"]},{"id":"ITEM-2","itemData":{"DOI":"10.13140/RG.2.2.16445.77282","author":[{"dropping-particle":"","family":"Good","given":"Margaret","non-dropping-particle":"","parse-names":false,"suffix":""},{"dropping-particle":"","family":"Duignan","given":"Anthony","non-dropping-particle":"","parse-names":false,"suffix":""}],"id":"ITEM-2","issued":{"date-parts":[["2016"]]},"number-of-pages":"23 - 25","publisher-place":"Dublin","title":"Veterinary Handbook for Herd Management in the TB eradication programme","type":"book"},"uris":["http://www.mendeley.com/documents/?uuid=65aea4e7-668c-403a-a226-8efcbf6e5d16"]}],"mendeley":{"formattedCitation":"(Clegg et al., 2017; Good and Duignan, 2016)","plainTextFormattedCitation":"(Clegg et al., 2017; Good and Duignan, 2016)","previouslyFormattedCitation":"(Clegg et al., 2017; Good and Duignan, 2016)"},"properties":{"noteIndex":0},"schema":"https://github.com/citation-style-language/schema/raw/master/csl-citation.json"}</w:instrText>
      </w:r>
      <w:r w:rsidR="00D96F5F">
        <w:rPr>
          <w:rStyle w:val="FootnoteReference"/>
        </w:rPr>
        <w:fldChar w:fldCharType="separate"/>
      </w:r>
      <w:r w:rsidR="000E1167" w:rsidRPr="000E1167">
        <w:rPr>
          <w:noProof/>
        </w:rPr>
        <w:t>(Clegg et al., 2017; Good and Duignan, 2016)</w:t>
      </w:r>
      <w:r w:rsidR="00D96F5F">
        <w:rPr>
          <w:rStyle w:val="FootnoteReference"/>
        </w:rPr>
        <w:fldChar w:fldCharType="end"/>
      </w:r>
      <w:r>
        <w:t xml:space="preserve">. This current study is based only on diagnostic interferon-γ testing. </w:t>
      </w:r>
    </w:p>
    <w:p w14:paraId="77D0A0E2" w14:textId="643925A7" w:rsidR="009733C2" w:rsidRDefault="009733C2" w:rsidP="009733C2">
      <w:pPr>
        <w:jc w:val="both"/>
      </w:pPr>
      <w:r>
        <w:t>In 2015, policy was enhanced</w:t>
      </w:r>
      <w:r w:rsidRPr="00AC7A2C">
        <w:t xml:space="preserve"> in relation to strategic application of the </w:t>
      </w:r>
      <w:r>
        <w:t>diagnostic interferon-γ test</w:t>
      </w:r>
      <w:r w:rsidRPr="00AC7A2C">
        <w:t xml:space="preserve"> in restricted herds</w:t>
      </w:r>
      <w:r>
        <w:t xml:space="preserve"> </w:t>
      </w:r>
      <w:r w:rsidR="00D96F5F">
        <w:rPr>
          <w:rStyle w:val="FootnoteReference"/>
        </w:rPr>
        <w:fldChar w:fldCharType="begin" w:fldLock="1"/>
      </w:r>
      <w:r w:rsidR="003F25C0">
        <w:instrText>ADDIN CSL_CITATION {"citationItems":[{"id":"ITEM-1","itemData":{"id":"ITEM-1","issue":"58","issued":{"date-parts":[["2015"]]},"title":"S.I. No. 58 of 2015","type":"legislation"},"uris":["http://www.mendeley.com/documents/?uuid=e738635c-f44d-4881-9dbf-6d752c6b4aa0"]}],"mendeley":{"formattedCitation":"(&lt;i&gt;S.I. No. 58 of 2015&lt;/i&gt;, 2015)","plainTextFormattedCitation":"(S.I. No. 58 of 2015, 2015)","previouslyFormattedCitation":"(&lt;i&gt;S.I. No. 58 of 2015&lt;/i&gt;, 2015)"},"properties":{"noteIndex":0},"schema":"https://github.com/citation-style-language/schema/raw/master/csl-citation.json"}</w:instrText>
      </w:r>
      <w:r w:rsidR="00D96F5F">
        <w:rPr>
          <w:rStyle w:val="FootnoteReference"/>
        </w:rPr>
        <w:fldChar w:fldCharType="separate"/>
      </w:r>
      <w:r w:rsidR="000E1167" w:rsidRPr="000E1167">
        <w:rPr>
          <w:noProof/>
        </w:rPr>
        <w:t>(</w:t>
      </w:r>
      <w:r w:rsidR="000E1167" w:rsidRPr="000E1167">
        <w:rPr>
          <w:i/>
          <w:noProof/>
        </w:rPr>
        <w:t>S.I. No. 58 of 2015</w:t>
      </w:r>
      <w:r w:rsidR="000E1167" w:rsidRPr="000E1167">
        <w:rPr>
          <w:noProof/>
        </w:rPr>
        <w:t>, 2015)</w:t>
      </w:r>
      <w:r w:rsidR="00D96F5F">
        <w:rPr>
          <w:rStyle w:val="FootnoteReference"/>
        </w:rPr>
        <w:fldChar w:fldCharType="end"/>
      </w:r>
      <w:r w:rsidRPr="00AC7A2C">
        <w:t xml:space="preserve">. Additional </w:t>
      </w:r>
      <w:r>
        <w:t xml:space="preserve">laboratory locations </w:t>
      </w:r>
      <w:r w:rsidRPr="00AC7A2C">
        <w:t>enabled testing of blood</w:t>
      </w:r>
      <w:r>
        <w:t xml:space="preserve"> </w:t>
      </w:r>
      <w:r w:rsidRPr="00AC7A2C">
        <w:t>s</w:t>
      </w:r>
      <w:r>
        <w:t>amples</w:t>
      </w:r>
      <w:r w:rsidRPr="00AC7A2C">
        <w:t xml:space="preserve"> from herds </w:t>
      </w:r>
      <w:r>
        <w:t>from all regions</w:t>
      </w:r>
      <w:r w:rsidRPr="00AC7A2C">
        <w:t xml:space="preserve"> within </w:t>
      </w:r>
      <w:r>
        <w:t>eight</w:t>
      </w:r>
      <w:r w:rsidRPr="00AC7A2C">
        <w:t xml:space="preserve"> hours </w:t>
      </w:r>
      <w:r w:rsidR="00D96F5F">
        <w:rPr>
          <w:rStyle w:val="FootnoteReference"/>
        </w:rPr>
        <w:fldChar w:fldCharType="begin" w:fldLock="1"/>
      </w:r>
      <w:r w:rsidR="003F25C0">
        <w:instrText>ADDIN CSL_CITATION {"citationItems":[{"id":"ITEM-1","itemData":{"DOI":"10.1136/vr.104718","ISSN":"00424900","PMID":"30487295","abstract":"Extending on earlier work, trends in bovine tuberculosis (bTB) from 2003 to 2015 are described for the countries of the UK and the Republic of Ireland using standardised definitions and measures. Based on measures of animal and herd incidence, there remains a stable situation of extremely low prevalence in Scotland and the Low Risk Area of England, and a higher but ongoing reduction in prevalence in the Republic of Ireland. In Northern Ireland, there has been a rising bTB trend during 2010-2015, although not to levels experienced during 2002-2004. In the High Risk Area and Edge Area of England during 2010-2015, the rising bTB trends have continued but with some recent evidence of stabilisation. In Wales, prevalence has fallen subsequent to a peak in 2008. The paper considers country-level differences in the light of key policy changes, which are presented in detail. This work is unique, and will assist policymakers when critically evaluating policy options for effective control and eradication. Ongoing updates of this analysis would be useful, providing an evidence base for country-level comparison of bTB trends into the future. The use of multivariable analytical methods should be considered, but will rely on substantial sharing of raw data across the five countries.","author":[{"dropping-particle":"","family":"More","given":"Simon J.","non-dropping-particle":"","parse-names":false,"suffix":""},{"dropping-particle":"","family":"Houtsma","given":"Erik","non-dropping-particle":"","parse-names":false,"suffix":""},{"dropping-particle":"","family":"Doyle","given":"Liam","non-dropping-particle":"","parse-names":false,"suffix":""},{"dropping-particle":"","family":"McGrath","given":"Guy","non-dropping-particle":"","parse-names":false,"suffix":""},{"dropping-particle":"","family":"Clegg","given":"Tracy A.","non-dropping-particle":"","parse-names":false,"suffix":""},{"dropping-particle":"","family":"La Rua-Domenech","given":"Ricardo","non-dropping-particle":"De","parse-names":false,"suffix":""},{"dropping-particle":"","family":"Duignan","given":"Anthony","non-dropping-particle":"","parse-names":false,"suffix":""},{"dropping-particle":"","family":"Blissitt","given":"Martyn J.","non-dropping-particle":"","parse-names":false,"suffix":""},{"dropping-particle":"","family":"Dunlop","given":"Mervyn","non-dropping-particle":"","parse-names":false,"suffix":""},{"dropping-particle":"","family":"Schroeder","given":"Paul G.","non-dropping-particle":"","parse-names":false,"suffix":""},{"dropping-particle":"","family":"Pike","given":"Ryan","non-dropping-particle":"","parse-names":false,"suffix":""},{"dropping-particle":"","family":"Upton","given":"Paul","non-dropping-particle":"","parse-names":false,"suffix":""}],"container-title":"Veterinary Record","id":"ITEM-1","issue":"23","issued":{"date-parts":[["2018"]]},"page":"717","title":"Further description of bovine tuberculosis trends in the United Kingdom and the Republic of Ireland, 2003-2015","type":"article-journal","volume":"183"},"uris":["http://www.mendeley.com/documents/?uuid=0646014e-0e62-4190-a68c-8ef0eed7e829"]}],"mendeley":{"formattedCitation":"(More et al., 2018)","plainTextFormattedCitation":"(More et al., 2018)","previouslyFormattedCitation":"(More et al., 2018)"},"properties":{"noteIndex":0},"schema":"https://github.com/citation-style-language/schema/raw/master/csl-citation.json"}</w:instrText>
      </w:r>
      <w:r w:rsidR="00D96F5F">
        <w:rPr>
          <w:rStyle w:val="FootnoteReference"/>
        </w:rPr>
        <w:fldChar w:fldCharType="separate"/>
      </w:r>
      <w:r w:rsidR="000E1167" w:rsidRPr="000E1167">
        <w:rPr>
          <w:noProof/>
        </w:rPr>
        <w:t>(More et al., 2018)</w:t>
      </w:r>
      <w:r w:rsidR="00D96F5F">
        <w:rPr>
          <w:rStyle w:val="FootnoteReference"/>
        </w:rPr>
        <w:fldChar w:fldCharType="end"/>
      </w:r>
      <w:r>
        <w:t xml:space="preserve">. </w:t>
      </w:r>
      <w:r w:rsidRPr="00AC7A2C">
        <w:t xml:space="preserve">Publication of </w:t>
      </w:r>
      <w:r>
        <w:t xml:space="preserve">the </w:t>
      </w:r>
      <w:r w:rsidRPr="00AC7A2C">
        <w:t xml:space="preserve">updated 2016 version of Veterinary Handbook for Herd Management in the </w:t>
      </w:r>
      <w:proofErr w:type="spellStart"/>
      <w:r w:rsidRPr="00AC7A2C">
        <w:t>bTB</w:t>
      </w:r>
      <w:proofErr w:type="spellEnd"/>
      <w:r w:rsidRPr="00AC7A2C">
        <w:t xml:space="preserve"> eradication programme </w:t>
      </w:r>
      <w:r w:rsidR="00D96F5F">
        <w:rPr>
          <w:rStyle w:val="FootnoteReference"/>
        </w:rPr>
        <w:fldChar w:fldCharType="begin" w:fldLock="1"/>
      </w:r>
      <w:r w:rsidR="003F25C0">
        <w:instrText>ADDIN CSL_CITATION {"citationItems":[{"id":"ITEM-1","itemData":{"DOI":"10.13140/RG.2.2.16445.77282","author":[{"dropping-particle":"","family":"Good","given":"Margaret","non-dropping-particle":"","parse-names":false,"suffix":""},{"dropping-particle":"","family":"Duignan","given":"Anthony","non-dropping-particle":"","parse-names":false,"suffix":""}],"id":"ITEM-1","issued":{"date-parts":[["2016"]]},"number-of-pages":"23 - 25","publisher-place":"Dublin","title":"Veterinary Handbook for Herd Management in the TB eradication programme","type":"book"},"uris":["http://www.mendeley.com/documents/?uuid=65aea4e7-668c-403a-a226-8efcbf6e5d16"]}],"mendeley":{"formattedCitation":"(Good and Duignan, 2016)","plainTextFormattedCitation":"(Good and Duignan, 2016)","previouslyFormattedCitation":"(Good and Duignan, 2016)"},"properties":{"noteIndex":0},"schema":"https://github.com/citation-style-language/schema/raw/master/csl-citation.json"}</w:instrText>
      </w:r>
      <w:r w:rsidR="00D96F5F">
        <w:rPr>
          <w:rStyle w:val="FootnoteReference"/>
        </w:rPr>
        <w:fldChar w:fldCharType="separate"/>
      </w:r>
      <w:r w:rsidR="000E1167" w:rsidRPr="000E1167">
        <w:rPr>
          <w:noProof/>
        </w:rPr>
        <w:t>(Good and Duignan, 2016)</w:t>
      </w:r>
      <w:r w:rsidR="00D96F5F">
        <w:rPr>
          <w:rStyle w:val="FootnoteReference"/>
        </w:rPr>
        <w:fldChar w:fldCharType="end"/>
      </w:r>
      <w:r w:rsidRPr="00AC7A2C">
        <w:t xml:space="preserve"> clarified implementation goals for veterinarians managing </w:t>
      </w:r>
      <w:proofErr w:type="spellStart"/>
      <w:r w:rsidRPr="00AC7A2C">
        <w:t>bTB</w:t>
      </w:r>
      <w:proofErr w:type="spellEnd"/>
      <w:r w:rsidRPr="00AC7A2C">
        <w:t xml:space="preserve"> outbreaks. </w:t>
      </w:r>
      <w:r>
        <w:t>These were:</w:t>
      </w:r>
    </w:p>
    <w:p w14:paraId="19B8EDAC" w14:textId="77777777" w:rsidR="009733C2" w:rsidRDefault="009733C2" w:rsidP="009733C2">
      <w:pPr>
        <w:pStyle w:val="ListParagraph"/>
        <w:numPr>
          <w:ilvl w:val="0"/>
          <w:numId w:val="3"/>
        </w:numPr>
        <w:jc w:val="both"/>
      </w:pPr>
      <w:r>
        <w:lastRenderedPageBreak/>
        <w:t xml:space="preserve">Sampling for interferon-γ should be undertaken </w:t>
      </w:r>
      <w:r w:rsidRPr="004774F3">
        <w:t xml:space="preserve">in herds with </w:t>
      </w:r>
      <w:proofErr w:type="spellStart"/>
      <w:r>
        <w:t>b</w:t>
      </w:r>
      <w:r w:rsidRPr="004774F3">
        <w:t>TB</w:t>
      </w:r>
      <w:proofErr w:type="spellEnd"/>
      <w:r>
        <w:t xml:space="preserve"> breakdowns</w:t>
      </w:r>
      <w:r w:rsidRPr="004774F3">
        <w:t xml:space="preserve"> in </w:t>
      </w:r>
      <w:r>
        <w:t>which</w:t>
      </w:r>
      <w:r w:rsidRPr="004774F3">
        <w:t xml:space="preserve"> </w:t>
      </w:r>
      <w:r>
        <w:t>four</w:t>
      </w:r>
      <w:r w:rsidRPr="004774F3">
        <w:t xml:space="preserve"> or more positive animals have already been disclosed.</w:t>
      </w:r>
    </w:p>
    <w:p w14:paraId="6682A4CB" w14:textId="77777777" w:rsidR="009733C2" w:rsidRDefault="009733C2" w:rsidP="009733C2">
      <w:pPr>
        <w:pStyle w:val="ListParagraph"/>
        <w:numPr>
          <w:ilvl w:val="0"/>
          <w:numId w:val="3"/>
        </w:numPr>
        <w:jc w:val="both"/>
      </w:pPr>
      <w:r>
        <w:t>Sampling should be undertaken ten</w:t>
      </w:r>
      <w:r w:rsidRPr="00A14890">
        <w:t xml:space="preserve"> or more days </w:t>
      </w:r>
      <w:r>
        <w:t>after</w:t>
      </w:r>
      <w:r w:rsidRPr="00A14890">
        <w:t xml:space="preserve"> tuberculin injection</w:t>
      </w:r>
      <w:r>
        <w:t xml:space="preserve"> in the preceding skin test.</w:t>
      </w:r>
    </w:p>
    <w:p w14:paraId="3CF8DA43" w14:textId="77777777" w:rsidR="009733C2" w:rsidRDefault="009733C2" w:rsidP="009733C2">
      <w:pPr>
        <w:pStyle w:val="ListParagraph"/>
        <w:numPr>
          <w:ilvl w:val="0"/>
          <w:numId w:val="3"/>
        </w:numPr>
        <w:jc w:val="both"/>
      </w:pPr>
      <w:r>
        <w:t>Veterinarians should select cattle for interferon-γ testing from</w:t>
      </w:r>
      <w:r w:rsidRPr="00AC7A2C">
        <w:t xml:space="preserve"> particular groups or those associated with particular land fragments with regard to grazing/housing with the reactor animals during the relevant period prior to detection/removal. Where it </w:t>
      </w:r>
      <w:r>
        <w:t>was</w:t>
      </w:r>
      <w:r w:rsidRPr="00AC7A2C">
        <w:t xml:space="preserve"> not possible to categorise particular epidemiological groups e.g. in smaller herds, all animals aged over </w:t>
      </w:r>
      <w:r>
        <w:t>one</w:t>
      </w:r>
      <w:r w:rsidRPr="00AC7A2C">
        <w:t xml:space="preserve"> year should be tested. </w:t>
      </w:r>
    </w:p>
    <w:p w14:paraId="31DA0000" w14:textId="77777777" w:rsidR="009733C2" w:rsidRDefault="009733C2" w:rsidP="009733C2">
      <w:pPr>
        <w:jc w:val="both"/>
      </w:pPr>
      <w:r>
        <w:t xml:space="preserve">These policy updates were increasingly implemented between 2015 and 2020 but there were discrepancies in implementation. Local veterinary discretion and logistical capacity influenced the rate of adaption. In December 2019, the threshold for implementing interferon-γ testing was updated to five </w:t>
      </w:r>
      <w:r w:rsidRPr="0078226F">
        <w:t>or more TB positive animals in herds of size up to and including 100 cattle</w:t>
      </w:r>
      <w:r>
        <w:t>;</w:t>
      </w:r>
      <w:r w:rsidRPr="0078226F">
        <w:t xml:space="preserve"> </w:t>
      </w:r>
      <w:r>
        <w:t>five per cent</w:t>
      </w:r>
      <w:r w:rsidRPr="0078226F">
        <w:t xml:space="preserve"> or more of the herd is TB positive, for herds of size </w:t>
      </w:r>
      <w:r>
        <w:t>of greater than</w:t>
      </w:r>
      <w:r w:rsidRPr="0078226F">
        <w:t>100 cattle</w:t>
      </w:r>
      <w:r>
        <w:t>; a</w:t>
      </w:r>
      <w:r w:rsidRPr="0078226F">
        <w:t xml:space="preserve">ny herd with </w:t>
      </w:r>
      <w:r>
        <w:t>ten</w:t>
      </w:r>
      <w:r w:rsidRPr="0078226F">
        <w:t xml:space="preserve"> or more TB positive animals, regardless of herd size</w:t>
      </w:r>
      <w:r>
        <w:t>; d</w:t>
      </w:r>
      <w:r w:rsidRPr="0078226F">
        <w:t>isclosure of further skin reactors, and/or factory lesions at a third, and/or any subsequent reactor retest</w:t>
      </w:r>
      <w:r>
        <w:t>.</w:t>
      </w:r>
    </w:p>
    <w:p w14:paraId="133EDAAB" w14:textId="77777777" w:rsidR="009733C2" w:rsidRDefault="009733C2" w:rsidP="009733C2">
      <w:pPr>
        <w:jc w:val="both"/>
      </w:pPr>
      <w:r>
        <w:t xml:space="preserve">Animals older than six months could be preferentially selected for testing, and if there were skin or PM cases in younger cohorts, these could also be tested. All guidelines allowed the veterinarian to select how many cattle to sample, based on cohorts in the herd which they believed to be most at risk of exposure to </w:t>
      </w:r>
      <w:r w:rsidRPr="00FB26D0">
        <w:rPr>
          <w:i/>
          <w:iCs/>
        </w:rPr>
        <w:t>M</w:t>
      </w:r>
      <w:r>
        <w:rPr>
          <w:i/>
          <w:iCs/>
        </w:rPr>
        <w:t>.</w:t>
      </w:r>
      <w:r w:rsidRPr="00FB26D0">
        <w:rPr>
          <w:i/>
          <w:iCs/>
        </w:rPr>
        <w:t xml:space="preserve"> </w:t>
      </w:r>
      <w:proofErr w:type="spellStart"/>
      <w:r w:rsidRPr="00FB26D0">
        <w:rPr>
          <w:i/>
          <w:iCs/>
        </w:rPr>
        <w:t>bovis</w:t>
      </w:r>
      <w:proofErr w:type="spellEnd"/>
      <w:r>
        <w:t xml:space="preserve"> in the outbreak.</w:t>
      </w:r>
    </w:p>
    <w:p w14:paraId="5F42D56E" w14:textId="4D8F8F9C" w:rsidR="00603F2F" w:rsidRPr="00AB4E36" w:rsidRDefault="00603F2F" w:rsidP="00A66321"/>
    <w:sectPr w:rsidR="00603F2F" w:rsidRPr="00AB4E36" w:rsidSect="006A293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AFC431" w14:textId="77777777" w:rsidR="00604C13" w:rsidRDefault="00604C13" w:rsidP="007668BB">
      <w:pPr>
        <w:spacing w:after="0" w:line="240" w:lineRule="auto"/>
      </w:pPr>
      <w:r>
        <w:separator/>
      </w:r>
    </w:p>
  </w:endnote>
  <w:endnote w:type="continuationSeparator" w:id="0">
    <w:p w14:paraId="4D127FD6" w14:textId="77777777" w:rsidR="00604C13" w:rsidRDefault="00604C13" w:rsidP="007668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6174006"/>
      <w:docPartObj>
        <w:docPartGallery w:val="Page Numbers (Bottom of Page)"/>
        <w:docPartUnique/>
      </w:docPartObj>
    </w:sdtPr>
    <w:sdtContent>
      <w:sdt>
        <w:sdtPr>
          <w:id w:val="1728636285"/>
          <w:docPartObj>
            <w:docPartGallery w:val="Page Numbers (Top of Page)"/>
            <w:docPartUnique/>
          </w:docPartObj>
        </w:sdtPr>
        <w:sdtContent>
          <w:p w14:paraId="30A82ACF" w14:textId="50405ECB" w:rsidR="007B07B2" w:rsidRDefault="007B07B2">
            <w:pPr>
              <w:pStyle w:val="Footer"/>
              <w:jc w:val="center"/>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4A7F3322" w14:textId="77777777" w:rsidR="007B07B2" w:rsidRDefault="007B07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65DE39" w14:textId="77777777" w:rsidR="00604C13" w:rsidRDefault="00604C13" w:rsidP="007668BB">
      <w:pPr>
        <w:spacing w:after="0" w:line="240" w:lineRule="auto"/>
      </w:pPr>
      <w:r>
        <w:separator/>
      </w:r>
    </w:p>
  </w:footnote>
  <w:footnote w:type="continuationSeparator" w:id="0">
    <w:p w14:paraId="05D70C14" w14:textId="77777777" w:rsidR="00604C13" w:rsidRDefault="00604C13" w:rsidP="007668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6091C"/>
    <w:multiLevelType w:val="multilevel"/>
    <w:tmpl w:val="520E48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A341183"/>
    <w:multiLevelType w:val="hybridMultilevel"/>
    <w:tmpl w:val="DEB8DBA4"/>
    <w:lvl w:ilvl="0" w:tplc="D9FAEFBE">
      <w:start w:val="1"/>
      <w:numFmt w:val="bullet"/>
      <w:lvlText w:val=""/>
      <w:lvlJc w:val="left"/>
      <w:pPr>
        <w:ind w:left="720" w:hanging="360"/>
      </w:pPr>
      <w:rPr>
        <w:rFonts w:ascii="Symbol" w:hAnsi="Symbol"/>
      </w:rPr>
    </w:lvl>
    <w:lvl w:ilvl="1" w:tplc="156E7822">
      <w:start w:val="1"/>
      <w:numFmt w:val="bullet"/>
      <w:lvlText w:val=""/>
      <w:lvlJc w:val="left"/>
      <w:pPr>
        <w:ind w:left="720" w:hanging="360"/>
      </w:pPr>
      <w:rPr>
        <w:rFonts w:ascii="Symbol" w:hAnsi="Symbol"/>
      </w:rPr>
    </w:lvl>
    <w:lvl w:ilvl="2" w:tplc="3DB8091C">
      <w:start w:val="1"/>
      <w:numFmt w:val="bullet"/>
      <w:lvlText w:val=""/>
      <w:lvlJc w:val="left"/>
      <w:pPr>
        <w:ind w:left="720" w:hanging="360"/>
      </w:pPr>
      <w:rPr>
        <w:rFonts w:ascii="Symbol" w:hAnsi="Symbol"/>
      </w:rPr>
    </w:lvl>
    <w:lvl w:ilvl="3" w:tplc="EE6680E6">
      <w:start w:val="1"/>
      <w:numFmt w:val="bullet"/>
      <w:lvlText w:val=""/>
      <w:lvlJc w:val="left"/>
      <w:pPr>
        <w:ind w:left="720" w:hanging="360"/>
      </w:pPr>
      <w:rPr>
        <w:rFonts w:ascii="Symbol" w:hAnsi="Symbol"/>
      </w:rPr>
    </w:lvl>
    <w:lvl w:ilvl="4" w:tplc="9CAE543C">
      <w:start w:val="1"/>
      <w:numFmt w:val="bullet"/>
      <w:lvlText w:val=""/>
      <w:lvlJc w:val="left"/>
      <w:pPr>
        <w:ind w:left="720" w:hanging="360"/>
      </w:pPr>
      <w:rPr>
        <w:rFonts w:ascii="Symbol" w:hAnsi="Symbol"/>
      </w:rPr>
    </w:lvl>
    <w:lvl w:ilvl="5" w:tplc="F9B8AA6C">
      <w:start w:val="1"/>
      <w:numFmt w:val="bullet"/>
      <w:lvlText w:val=""/>
      <w:lvlJc w:val="left"/>
      <w:pPr>
        <w:ind w:left="720" w:hanging="360"/>
      </w:pPr>
      <w:rPr>
        <w:rFonts w:ascii="Symbol" w:hAnsi="Symbol"/>
      </w:rPr>
    </w:lvl>
    <w:lvl w:ilvl="6" w:tplc="6D4EA368">
      <w:start w:val="1"/>
      <w:numFmt w:val="bullet"/>
      <w:lvlText w:val=""/>
      <w:lvlJc w:val="left"/>
      <w:pPr>
        <w:ind w:left="720" w:hanging="360"/>
      </w:pPr>
      <w:rPr>
        <w:rFonts w:ascii="Symbol" w:hAnsi="Symbol"/>
      </w:rPr>
    </w:lvl>
    <w:lvl w:ilvl="7" w:tplc="3F76E616">
      <w:start w:val="1"/>
      <w:numFmt w:val="bullet"/>
      <w:lvlText w:val=""/>
      <w:lvlJc w:val="left"/>
      <w:pPr>
        <w:ind w:left="720" w:hanging="360"/>
      </w:pPr>
      <w:rPr>
        <w:rFonts w:ascii="Symbol" w:hAnsi="Symbol"/>
      </w:rPr>
    </w:lvl>
    <w:lvl w:ilvl="8" w:tplc="752C9BF4">
      <w:start w:val="1"/>
      <w:numFmt w:val="bullet"/>
      <w:lvlText w:val=""/>
      <w:lvlJc w:val="left"/>
      <w:pPr>
        <w:ind w:left="720" w:hanging="360"/>
      </w:pPr>
      <w:rPr>
        <w:rFonts w:ascii="Symbol" w:hAnsi="Symbol"/>
      </w:rPr>
    </w:lvl>
  </w:abstractNum>
  <w:abstractNum w:abstractNumId="2" w15:restartNumberingAfterBreak="0">
    <w:nsid w:val="1016486C"/>
    <w:multiLevelType w:val="hybridMultilevel"/>
    <w:tmpl w:val="2C1C7B5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1DA502EF"/>
    <w:multiLevelType w:val="hybridMultilevel"/>
    <w:tmpl w:val="D1F64A6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227B12A7"/>
    <w:multiLevelType w:val="hybridMultilevel"/>
    <w:tmpl w:val="9676CDA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23A817DE"/>
    <w:multiLevelType w:val="multilevel"/>
    <w:tmpl w:val="900E0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6A23F7"/>
    <w:multiLevelType w:val="hybridMultilevel"/>
    <w:tmpl w:val="0C8A59B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4088604C"/>
    <w:multiLevelType w:val="hybridMultilevel"/>
    <w:tmpl w:val="17BC0F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57A236FE"/>
    <w:multiLevelType w:val="multilevel"/>
    <w:tmpl w:val="B8087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586026"/>
    <w:multiLevelType w:val="hybridMultilevel"/>
    <w:tmpl w:val="D2D24EC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739E3440"/>
    <w:multiLevelType w:val="hybridMultilevel"/>
    <w:tmpl w:val="1B80436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691031825">
    <w:abstractNumId w:val="2"/>
  </w:num>
  <w:num w:numId="2" w16cid:durableId="893930044">
    <w:abstractNumId w:val="0"/>
  </w:num>
  <w:num w:numId="3" w16cid:durableId="744036549">
    <w:abstractNumId w:val="9"/>
  </w:num>
  <w:num w:numId="4" w16cid:durableId="2131626154">
    <w:abstractNumId w:val="10"/>
  </w:num>
  <w:num w:numId="5" w16cid:durableId="571232179">
    <w:abstractNumId w:val="6"/>
  </w:num>
  <w:num w:numId="6" w16cid:durableId="1119686470">
    <w:abstractNumId w:val="1"/>
  </w:num>
  <w:num w:numId="7" w16cid:durableId="897980771">
    <w:abstractNumId w:val="8"/>
  </w:num>
  <w:num w:numId="8" w16cid:durableId="1336229130">
    <w:abstractNumId w:val="5"/>
  </w:num>
  <w:num w:numId="9" w16cid:durableId="1877348653">
    <w:abstractNumId w:val="4"/>
  </w:num>
  <w:num w:numId="10" w16cid:durableId="10674164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280757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2A8"/>
    <w:rsid w:val="000008CB"/>
    <w:rsid w:val="00001C83"/>
    <w:rsid w:val="000043CD"/>
    <w:rsid w:val="00005AD4"/>
    <w:rsid w:val="00007DC2"/>
    <w:rsid w:val="00014455"/>
    <w:rsid w:val="00014841"/>
    <w:rsid w:val="00016085"/>
    <w:rsid w:val="00016458"/>
    <w:rsid w:val="000167B3"/>
    <w:rsid w:val="00016825"/>
    <w:rsid w:val="00017661"/>
    <w:rsid w:val="00021C65"/>
    <w:rsid w:val="00022567"/>
    <w:rsid w:val="000231E4"/>
    <w:rsid w:val="000242A2"/>
    <w:rsid w:val="00024EFE"/>
    <w:rsid w:val="000262C4"/>
    <w:rsid w:val="00026A1B"/>
    <w:rsid w:val="00030F71"/>
    <w:rsid w:val="000335D6"/>
    <w:rsid w:val="00033CFE"/>
    <w:rsid w:val="00034727"/>
    <w:rsid w:val="00035975"/>
    <w:rsid w:val="00035A17"/>
    <w:rsid w:val="00036F7C"/>
    <w:rsid w:val="0004001D"/>
    <w:rsid w:val="000409FE"/>
    <w:rsid w:val="00040CD5"/>
    <w:rsid w:val="000413B8"/>
    <w:rsid w:val="00042C9C"/>
    <w:rsid w:val="0004426B"/>
    <w:rsid w:val="00046F05"/>
    <w:rsid w:val="0005162B"/>
    <w:rsid w:val="00053CE8"/>
    <w:rsid w:val="00053F78"/>
    <w:rsid w:val="000607CE"/>
    <w:rsid w:val="00060A66"/>
    <w:rsid w:val="00062152"/>
    <w:rsid w:val="00062457"/>
    <w:rsid w:val="00062F49"/>
    <w:rsid w:val="000645B7"/>
    <w:rsid w:val="00064B97"/>
    <w:rsid w:val="000664AA"/>
    <w:rsid w:val="00066D6F"/>
    <w:rsid w:val="000670F2"/>
    <w:rsid w:val="00067F60"/>
    <w:rsid w:val="00070619"/>
    <w:rsid w:val="00071FF2"/>
    <w:rsid w:val="000724DF"/>
    <w:rsid w:val="000726C2"/>
    <w:rsid w:val="00080E25"/>
    <w:rsid w:val="00083FF8"/>
    <w:rsid w:val="00087216"/>
    <w:rsid w:val="00092410"/>
    <w:rsid w:val="00095EC3"/>
    <w:rsid w:val="00097680"/>
    <w:rsid w:val="00097C3E"/>
    <w:rsid w:val="000A1FF8"/>
    <w:rsid w:val="000A66E6"/>
    <w:rsid w:val="000B0A59"/>
    <w:rsid w:val="000B1AD9"/>
    <w:rsid w:val="000B3271"/>
    <w:rsid w:val="000B32A5"/>
    <w:rsid w:val="000B7D14"/>
    <w:rsid w:val="000C1FE3"/>
    <w:rsid w:val="000C3644"/>
    <w:rsid w:val="000C427F"/>
    <w:rsid w:val="000C7FE0"/>
    <w:rsid w:val="000D0475"/>
    <w:rsid w:val="000D3C59"/>
    <w:rsid w:val="000D4298"/>
    <w:rsid w:val="000D7FE5"/>
    <w:rsid w:val="000E1167"/>
    <w:rsid w:val="000E1376"/>
    <w:rsid w:val="000E4051"/>
    <w:rsid w:val="000E4673"/>
    <w:rsid w:val="000E6528"/>
    <w:rsid w:val="000E6E1C"/>
    <w:rsid w:val="000E7C14"/>
    <w:rsid w:val="000F0A2C"/>
    <w:rsid w:val="000F0FA9"/>
    <w:rsid w:val="000F284C"/>
    <w:rsid w:val="000F5D94"/>
    <w:rsid w:val="000F751E"/>
    <w:rsid w:val="00100F28"/>
    <w:rsid w:val="0010585F"/>
    <w:rsid w:val="00106812"/>
    <w:rsid w:val="00107CC5"/>
    <w:rsid w:val="00112BDB"/>
    <w:rsid w:val="00115B09"/>
    <w:rsid w:val="001226F1"/>
    <w:rsid w:val="001242FD"/>
    <w:rsid w:val="00124A18"/>
    <w:rsid w:val="00124DDC"/>
    <w:rsid w:val="0012511F"/>
    <w:rsid w:val="00125D1D"/>
    <w:rsid w:val="001262FE"/>
    <w:rsid w:val="00126C96"/>
    <w:rsid w:val="00127165"/>
    <w:rsid w:val="00130692"/>
    <w:rsid w:val="00130821"/>
    <w:rsid w:val="00130F4B"/>
    <w:rsid w:val="0013124D"/>
    <w:rsid w:val="00131258"/>
    <w:rsid w:val="00131D57"/>
    <w:rsid w:val="00132C29"/>
    <w:rsid w:val="00133093"/>
    <w:rsid w:val="001331BF"/>
    <w:rsid w:val="001340A3"/>
    <w:rsid w:val="00134F1E"/>
    <w:rsid w:val="001352A8"/>
    <w:rsid w:val="00137695"/>
    <w:rsid w:val="00137DD7"/>
    <w:rsid w:val="00137EB1"/>
    <w:rsid w:val="0014094E"/>
    <w:rsid w:val="00141041"/>
    <w:rsid w:val="001454AC"/>
    <w:rsid w:val="00146009"/>
    <w:rsid w:val="00147AEE"/>
    <w:rsid w:val="00151073"/>
    <w:rsid w:val="00151E01"/>
    <w:rsid w:val="001538C4"/>
    <w:rsid w:val="00160DB6"/>
    <w:rsid w:val="00161F06"/>
    <w:rsid w:val="001628D2"/>
    <w:rsid w:val="001669D1"/>
    <w:rsid w:val="00167782"/>
    <w:rsid w:val="00170CA0"/>
    <w:rsid w:val="00174140"/>
    <w:rsid w:val="00174630"/>
    <w:rsid w:val="001748F5"/>
    <w:rsid w:val="00177CDA"/>
    <w:rsid w:val="00182AFB"/>
    <w:rsid w:val="001832D8"/>
    <w:rsid w:val="00184687"/>
    <w:rsid w:val="00185B64"/>
    <w:rsid w:val="00186766"/>
    <w:rsid w:val="00186F82"/>
    <w:rsid w:val="0019136E"/>
    <w:rsid w:val="00193340"/>
    <w:rsid w:val="00196CCC"/>
    <w:rsid w:val="001A1E20"/>
    <w:rsid w:val="001A2A8F"/>
    <w:rsid w:val="001A3B2D"/>
    <w:rsid w:val="001A4341"/>
    <w:rsid w:val="001A4478"/>
    <w:rsid w:val="001A4D25"/>
    <w:rsid w:val="001B3459"/>
    <w:rsid w:val="001B374C"/>
    <w:rsid w:val="001C2129"/>
    <w:rsid w:val="001C3362"/>
    <w:rsid w:val="001D1262"/>
    <w:rsid w:val="001D1C35"/>
    <w:rsid w:val="001D4D2B"/>
    <w:rsid w:val="001D5A11"/>
    <w:rsid w:val="001E1D2D"/>
    <w:rsid w:val="001E33AE"/>
    <w:rsid w:val="001E349A"/>
    <w:rsid w:val="001E4BAB"/>
    <w:rsid w:val="001F1E4B"/>
    <w:rsid w:val="001F2B65"/>
    <w:rsid w:val="001F369D"/>
    <w:rsid w:val="001F4199"/>
    <w:rsid w:val="001F6CA8"/>
    <w:rsid w:val="00204DCF"/>
    <w:rsid w:val="002050EE"/>
    <w:rsid w:val="002111A3"/>
    <w:rsid w:val="00211BDE"/>
    <w:rsid w:val="002139A7"/>
    <w:rsid w:val="00214371"/>
    <w:rsid w:val="0021444A"/>
    <w:rsid w:val="00220200"/>
    <w:rsid w:val="00220B5D"/>
    <w:rsid w:val="002222EA"/>
    <w:rsid w:val="00222518"/>
    <w:rsid w:val="0022257E"/>
    <w:rsid w:val="0022349B"/>
    <w:rsid w:val="00223960"/>
    <w:rsid w:val="0022441D"/>
    <w:rsid w:val="00227388"/>
    <w:rsid w:val="00230FE1"/>
    <w:rsid w:val="00231636"/>
    <w:rsid w:val="002320B4"/>
    <w:rsid w:val="00236AAD"/>
    <w:rsid w:val="00240232"/>
    <w:rsid w:val="00240F5A"/>
    <w:rsid w:val="0024335F"/>
    <w:rsid w:val="00244EFA"/>
    <w:rsid w:val="00245B6F"/>
    <w:rsid w:val="002464B3"/>
    <w:rsid w:val="00257B32"/>
    <w:rsid w:val="00260563"/>
    <w:rsid w:val="00261FC7"/>
    <w:rsid w:val="002649F2"/>
    <w:rsid w:val="00264D20"/>
    <w:rsid w:val="00266FAC"/>
    <w:rsid w:val="002710C5"/>
    <w:rsid w:val="00273360"/>
    <w:rsid w:val="00276AC5"/>
    <w:rsid w:val="00276B3D"/>
    <w:rsid w:val="0027720E"/>
    <w:rsid w:val="00277DEA"/>
    <w:rsid w:val="00280C20"/>
    <w:rsid w:val="00281721"/>
    <w:rsid w:val="00281C6B"/>
    <w:rsid w:val="00282BE0"/>
    <w:rsid w:val="00285F14"/>
    <w:rsid w:val="002860E5"/>
    <w:rsid w:val="002873CA"/>
    <w:rsid w:val="00287A2C"/>
    <w:rsid w:val="002954A7"/>
    <w:rsid w:val="00295F08"/>
    <w:rsid w:val="00296137"/>
    <w:rsid w:val="0029736D"/>
    <w:rsid w:val="002A0CA9"/>
    <w:rsid w:val="002A21D6"/>
    <w:rsid w:val="002A64F2"/>
    <w:rsid w:val="002B0641"/>
    <w:rsid w:val="002B193C"/>
    <w:rsid w:val="002B77CD"/>
    <w:rsid w:val="002C1A92"/>
    <w:rsid w:val="002C307B"/>
    <w:rsid w:val="002C5871"/>
    <w:rsid w:val="002C5A84"/>
    <w:rsid w:val="002C7D99"/>
    <w:rsid w:val="002D232C"/>
    <w:rsid w:val="002D265C"/>
    <w:rsid w:val="002D3B53"/>
    <w:rsid w:val="002D5971"/>
    <w:rsid w:val="002D5ABB"/>
    <w:rsid w:val="002D75D3"/>
    <w:rsid w:val="002D76D2"/>
    <w:rsid w:val="002E122C"/>
    <w:rsid w:val="002E17E4"/>
    <w:rsid w:val="002E1EBF"/>
    <w:rsid w:val="002E2961"/>
    <w:rsid w:val="002E3839"/>
    <w:rsid w:val="002E4D35"/>
    <w:rsid w:val="002E4E12"/>
    <w:rsid w:val="002E5630"/>
    <w:rsid w:val="002F2668"/>
    <w:rsid w:val="002F662B"/>
    <w:rsid w:val="002F6AA3"/>
    <w:rsid w:val="00306281"/>
    <w:rsid w:val="00306EF4"/>
    <w:rsid w:val="00307ADB"/>
    <w:rsid w:val="003121CD"/>
    <w:rsid w:val="00313A54"/>
    <w:rsid w:val="0031592B"/>
    <w:rsid w:val="00315B18"/>
    <w:rsid w:val="003163E8"/>
    <w:rsid w:val="00321AE9"/>
    <w:rsid w:val="00325A42"/>
    <w:rsid w:val="00330638"/>
    <w:rsid w:val="00330B4B"/>
    <w:rsid w:val="00336BCA"/>
    <w:rsid w:val="003402AD"/>
    <w:rsid w:val="00345FBA"/>
    <w:rsid w:val="00346533"/>
    <w:rsid w:val="00351B1A"/>
    <w:rsid w:val="00352821"/>
    <w:rsid w:val="0035340F"/>
    <w:rsid w:val="00353E41"/>
    <w:rsid w:val="003548EA"/>
    <w:rsid w:val="00355601"/>
    <w:rsid w:val="003561F4"/>
    <w:rsid w:val="00360CB3"/>
    <w:rsid w:val="00361FF3"/>
    <w:rsid w:val="003628E2"/>
    <w:rsid w:val="00366931"/>
    <w:rsid w:val="00366E61"/>
    <w:rsid w:val="00370CBA"/>
    <w:rsid w:val="00371DEF"/>
    <w:rsid w:val="00373AFE"/>
    <w:rsid w:val="003747E6"/>
    <w:rsid w:val="0037526C"/>
    <w:rsid w:val="00377186"/>
    <w:rsid w:val="00377D14"/>
    <w:rsid w:val="0038147C"/>
    <w:rsid w:val="00383069"/>
    <w:rsid w:val="00383683"/>
    <w:rsid w:val="00385FAB"/>
    <w:rsid w:val="00386AB6"/>
    <w:rsid w:val="0039057C"/>
    <w:rsid w:val="003910F6"/>
    <w:rsid w:val="00391F45"/>
    <w:rsid w:val="0039293C"/>
    <w:rsid w:val="003938FE"/>
    <w:rsid w:val="00394742"/>
    <w:rsid w:val="00395CE1"/>
    <w:rsid w:val="003967CA"/>
    <w:rsid w:val="003A1319"/>
    <w:rsid w:val="003A2298"/>
    <w:rsid w:val="003A3ACF"/>
    <w:rsid w:val="003A5E05"/>
    <w:rsid w:val="003B7E33"/>
    <w:rsid w:val="003C0FEC"/>
    <w:rsid w:val="003C1AE7"/>
    <w:rsid w:val="003C49C1"/>
    <w:rsid w:val="003C7181"/>
    <w:rsid w:val="003D10E7"/>
    <w:rsid w:val="003D172F"/>
    <w:rsid w:val="003D47B2"/>
    <w:rsid w:val="003D6BB7"/>
    <w:rsid w:val="003E2222"/>
    <w:rsid w:val="003E23C8"/>
    <w:rsid w:val="003E2A17"/>
    <w:rsid w:val="003E33B5"/>
    <w:rsid w:val="003E44D4"/>
    <w:rsid w:val="003E481A"/>
    <w:rsid w:val="003E58B4"/>
    <w:rsid w:val="003E6F03"/>
    <w:rsid w:val="003E789E"/>
    <w:rsid w:val="003F212D"/>
    <w:rsid w:val="003F25C0"/>
    <w:rsid w:val="003F4D6E"/>
    <w:rsid w:val="003F6A84"/>
    <w:rsid w:val="003F6E27"/>
    <w:rsid w:val="0040198B"/>
    <w:rsid w:val="00402BCC"/>
    <w:rsid w:val="00404F1F"/>
    <w:rsid w:val="00405767"/>
    <w:rsid w:val="00405CA8"/>
    <w:rsid w:val="00405CB2"/>
    <w:rsid w:val="00407A6A"/>
    <w:rsid w:val="004128B5"/>
    <w:rsid w:val="0041290E"/>
    <w:rsid w:val="00412AF7"/>
    <w:rsid w:val="004150D3"/>
    <w:rsid w:val="004159F9"/>
    <w:rsid w:val="00420717"/>
    <w:rsid w:val="00421463"/>
    <w:rsid w:val="004214F5"/>
    <w:rsid w:val="004219DC"/>
    <w:rsid w:val="00424FCC"/>
    <w:rsid w:val="004257CC"/>
    <w:rsid w:val="0043074E"/>
    <w:rsid w:val="004308B1"/>
    <w:rsid w:val="00430CDA"/>
    <w:rsid w:val="004336B7"/>
    <w:rsid w:val="0043407E"/>
    <w:rsid w:val="00435962"/>
    <w:rsid w:val="00435B78"/>
    <w:rsid w:val="004365EB"/>
    <w:rsid w:val="0043662B"/>
    <w:rsid w:val="00436670"/>
    <w:rsid w:val="0044236C"/>
    <w:rsid w:val="0044293C"/>
    <w:rsid w:val="00443190"/>
    <w:rsid w:val="00451E95"/>
    <w:rsid w:val="004527F5"/>
    <w:rsid w:val="00453606"/>
    <w:rsid w:val="00453AE8"/>
    <w:rsid w:val="0045491A"/>
    <w:rsid w:val="0045555F"/>
    <w:rsid w:val="00455596"/>
    <w:rsid w:val="0045656E"/>
    <w:rsid w:val="00457AE2"/>
    <w:rsid w:val="00460298"/>
    <w:rsid w:val="00464596"/>
    <w:rsid w:val="00466991"/>
    <w:rsid w:val="004671A5"/>
    <w:rsid w:val="0046728C"/>
    <w:rsid w:val="00471222"/>
    <w:rsid w:val="00471C9D"/>
    <w:rsid w:val="00471D63"/>
    <w:rsid w:val="00472939"/>
    <w:rsid w:val="00473A18"/>
    <w:rsid w:val="004753A5"/>
    <w:rsid w:val="004774F3"/>
    <w:rsid w:val="00480FFA"/>
    <w:rsid w:val="0048276A"/>
    <w:rsid w:val="0048440F"/>
    <w:rsid w:val="00486CF1"/>
    <w:rsid w:val="00487227"/>
    <w:rsid w:val="00491809"/>
    <w:rsid w:val="00491D96"/>
    <w:rsid w:val="00491E3E"/>
    <w:rsid w:val="0049202C"/>
    <w:rsid w:val="00492ABC"/>
    <w:rsid w:val="00493C2A"/>
    <w:rsid w:val="00494204"/>
    <w:rsid w:val="0049489A"/>
    <w:rsid w:val="00494A9E"/>
    <w:rsid w:val="00495B8B"/>
    <w:rsid w:val="004969F2"/>
    <w:rsid w:val="004A0DB3"/>
    <w:rsid w:val="004A22B3"/>
    <w:rsid w:val="004A36D9"/>
    <w:rsid w:val="004A663F"/>
    <w:rsid w:val="004B097E"/>
    <w:rsid w:val="004B2C0F"/>
    <w:rsid w:val="004B4140"/>
    <w:rsid w:val="004B798E"/>
    <w:rsid w:val="004B7D2F"/>
    <w:rsid w:val="004C0E48"/>
    <w:rsid w:val="004C0EC4"/>
    <w:rsid w:val="004C1B03"/>
    <w:rsid w:val="004C3AF0"/>
    <w:rsid w:val="004C3E15"/>
    <w:rsid w:val="004C4715"/>
    <w:rsid w:val="004C5D71"/>
    <w:rsid w:val="004C5F0F"/>
    <w:rsid w:val="004C65C0"/>
    <w:rsid w:val="004C7806"/>
    <w:rsid w:val="004D0440"/>
    <w:rsid w:val="004D3697"/>
    <w:rsid w:val="004D46D1"/>
    <w:rsid w:val="004D46F9"/>
    <w:rsid w:val="004E1C3A"/>
    <w:rsid w:val="004E1F42"/>
    <w:rsid w:val="004E21C6"/>
    <w:rsid w:val="004E2874"/>
    <w:rsid w:val="004E3B30"/>
    <w:rsid w:val="004E4468"/>
    <w:rsid w:val="004E5F66"/>
    <w:rsid w:val="004E685A"/>
    <w:rsid w:val="004F3FA5"/>
    <w:rsid w:val="004F480C"/>
    <w:rsid w:val="004F7F0D"/>
    <w:rsid w:val="0050155E"/>
    <w:rsid w:val="005020B9"/>
    <w:rsid w:val="00502850"/>
    <w:rsid w:val="005041EC"/>
    <w:rsid w:val="00504A7B"/>
    <w:rsid w:val="005068A3"/>
    <w:rsid w:val="00510DDE"/>
    <w:rsid w:val="0051205A"/>
    <w:rsid w:val="00513FA6"/>
    <w:rsid w:val="005143DF"/>
    <w:rsid w:val="00515DB4"/>
    <w:rsid w:val="00516D2D"/>
    <w:rsid w:val="005173AF"/>
    <w:rsid w:val="00520382"/>
    <w:rsid w:val="005215FA"/>
    <w:rsid w:val="00524042"/>
    <w:rsid w:val="00525C0F"/>
    <w:rsid w:val="00525EDC"/>
    <w:rsid w:val="00527D13"/>
    <w:rsid w:val="00530C18"/>
    <w:rsid w:val="00532D07"/>
    <w:rsid w:val="00534443"/>
    <w:rsid w:val="00534760"/>
    <w:rsid w:val="00535A92"/>
    <w:rsid w:val="00536475"/>
    <w:rsid w:val="005416F5"/>
    <w:rsid w:val="00541D1C"/>
    <w:rsid w:val="005427B7"/>
    <w:rsid w:val="00545376"/>
    <w:rsid w:val="00550E7B"/>
    <w:rsid w:val="00553C80"/>
    <w:rsid w:val="00554682"/>
    <w:rsid w:val="0055487D"/>
    <w:rsid w:val="00555728"/>
    <w:rsid w:val="00555DEF"/>
    <w:rsid w:val="00557C92"/>
    <w:rsid w:val="00560557"/>
    <w:rsid w:val="00561817"/>
    <w:rsid w:val="005635B1"/>
    <w:rsid w:val="00563923"/>
    <w:rsid w:val="00563DA1"/>
    <w:rsid w:val="005650AE"/>
    <w:rsid w:val="005660CC"/>
    <w:rsid w:val="00566CE1"/>
    <w:rsid w:val="00570E83"/>
    <w:rsid w:val="0057218E"/>
    <w:rsid w:val="00574313"/>
    <w:rsid w:val="00577404"/>
    <w:rsid w:val="005777B6"/>
    <w:rsid w:val="005806FD"/>
    <w:rsid w:val="00580A4F"/>
    <w:rsid w:val="00583BE9"/>
    <w:rsid w:val="005845C4"/>
    <w:rsid w:val="00584F81"/>
    <w:rsid w:val="00585072"/>
    <w:rsid w:val="00585BA5"/>
    <w:rsid w:val="005900C0"/>
    <w:rsid w:val="00593F43"/>
    <w:rsid w:val="00594276"/>
    <w:rsid w:val="0059509D"/>
    <w:rsid w:val="00596ADB"/>
    <w:rsid w:val="00597F9E"/>
    <w:rsid w:val="005A070A"/>
    <w:rsid w:val="005A138B"/>
    <w:rsid w:val="005A1662"/>
    <w:rsid w:val="005A3EB6"/>
    <w:rsid w:val="005A52B1"/>
    <w:rsid w:val="005A6A4B"/>
    <w:rsid w:val="005A6CDE"/>
    <w:rsid w:val="005B0BDD"/>
    <w:rsid w:val="005B1CE0"/>
    <w:rsid w:val="005B215A"/>
    <w:rsid w:val="005B2795"/>
    <w:rsid w:val="005B2C3A"/>
    <w:rsid w:val="005C08CE"/>
    <w:rsid w:val="005C6CA5"/>
    <w:rsid w:val="005C7178"/>
    <w:rsid w:val="005C72B1"/>
    <w:rsid w:val="005C7996"/>
    <w:rsid w:val="005D00F7"/>
    <w:rsid w:val="005D02E5"/>
    <w:rsid w:val="005D2907"/>
    <w:rsid w:val="005D2987"/>
    <w:rsid w:val="005D3315"/>
    <w:rsid w:val="005D3318"/>
    <w:rsid w:val="005D3D1F"/>
    <w:rsid w:val="005D425A"/>
    <w:rsid w:val="005E009E"/>
    <w:rsid w:val="005E2BE6"/>
    <w:rsid w:val="005E2EDD"/>
    <w:rsid w:val="005E6980"/>
    <w:rsid w:val="005E6AAF"/>
    <w:rsid w:val="005E724A"/>
    <w:rsid w:val="005E7FB4"/>
    <w:rsid w:val="005F116B"/>
    <w:rsid w:val="005F2F33"/>
    <w:rsid w:val="005F5776"/>
    <w:rsid w:val="005F5C51"/>
    <w:rsid w:val="005F6F3C"/>
    <w:rsid w:val="006001A3"/>
    <w:rsid w:val="0060022E"/>
    <w:rsid w:val="00601089"/>
    <w:rsid w:val="00601A93"/>
    <w:rsid w:val="0060213A"/>
    <w:rsid w:val="00603F2F"/>
    <w:rsid w:val="00604776"/>
    <w:rsid w:val="00604C13"/>
    <w:rsid w:val="00605F7D"/>
    <w:rsid w:val="0060645B"/>
    <w:rsid w:val="0060657B"/>
    <w:rsid w:val="00607D83"/>
    <w:rsid w:val="006148EF"/>
    <w:rsid w:val="00617B5F"/>
    <w:rsid w:val="006202B0"/>
    <w:rsid w:val="00622F73"/>
    <w:rsid w:val="00625B8E"/>
    <w:rsid w:val="00626E2E"/>
    <w:rsid w:val="006319BB"/>
    <w:rsid w:val="006320DF"/>
    <w:rsid w:val="006329B0"/>
    <w:rsid w:val="00634297"/>
    <w:rsid w:val="00634A80"/>
    <w:rsid w:val="00634CAB"/>
    <w:rsid w:val="00634DE2"/>
    <w:rsid w:val="00634E4E"/>
    <w:rsid w:val="00635C92"/>
    <w:rsid w:val="00636720"/>
    <w:rsid w:val="00637374"/>
    <w:rsid w:val="00640834"/>
    <w:rsid w:val="00642A36"/>
    <w:rsid w:val="00644563"/>
    <w:rsid w:val="00644FE8"/>
    <w:rsid w:val="006451C9"/>
    <w:rsid w:val="0064574D"/>
    <w:rsid w:val="00651C8E"/>
    <w:rsid w:val="006520C1"/>
    <w:rsid w:val="00653394"/>
    <w:rsid w:val="00655C22"/>
    <w:rsid w:val="0065622C"/>
    <w:rsid w:val="006564F5"/>
    <w:rsid w:val="00657AB5"/>
    <w:rsid w:val="00660034"/>
    <w:rsid w:val="00664258"/>
    <w:rsid w:val="00665C06"/>
    <w:rsid w:val="006700E5"/>
    <w:rsid w:val="00670BE7"/>
    <w:rsid w:val="00671D77"/>
    <w:rsid w:val="0067334C"/>
    <w:rsid w:val="0067374A"/>
    <w:rsid w:val="00674B07"/>
    <w:rsid w:val="00675E47"/>
    <w:rsid w:val="0067623B"/>
    <w:rsid w:val="00681050"/>
    <w:rsid w:val="006811AD"/>
    <w:rsid w:val="00681381"/>
    <w:rsid w:val="00681CA5"/>
    <w:rsid w:val="00682A79"/>
    <w:rsid w:val="00684B02"/>
    <w:rsid w:val="00686DC7"/>
    <w:rsid w:val="006909A3"/>
    <w:rsid w:val="006912D8"/>
    <w:rsid w:val="006921C4"/>
    <w:rsid w:val="00694E02"/>
    <w:rsid w:val="006976BF"/>
    <w:rsid w:val="00697756"/>
    <w:rsid w:val="006A1294"/>
    <w:rsid w:val="006A1299"/>
    <w:rsid w:val="006A1AD1"/>
    <w:rsid w:val="006A215B"/>
    <w:rsid w:val="006A2936"/>
    <w:rsid w:val="006A2FA6"/>
    <w:rsid w:val="006A540A"/>
    <w:rsid w:val="006B039B"/>
    <w:rsid w:val="006B20A2"/>
    <w:rsid w:val="006B3881"/>
    <w:rsid w:val="006B3A13"/>
    <w:rsid w:val="006B4F4F"/>
    <w:rsid w:val="006B52A3"/>
    <w:rsid w:val="006B558E"/>
    <w:rsid w:val="006B6030"/>
    <w:rsid w:val="006B6680"/>
    <w:rsid w:val="006B67AF"/>
    <w:rsid w:val="006B682F"/>
    <w:rsid w:val="006B68D6"/>
    <w:rsid w:val="006B7B1A"/>
    <w:rsid w:val="006C1E35"/>
    <w:rsid w:val="006C56C4"/>
    <w:rsid w:val="006C5946"/>
    <w:rsid w:val="006C6D0F"/>
    <w:rsid w:val="006C6E43"/>
    <w:rsid w:val="006C7BC0"/>
    <w:rsid w:val="006D1F6D"/>
    <w:rsid w:val="006D29B6"/>
    <w:rsid w:val="006D2DDE"/>
    <w:rsid w:val="006D3559"/>
    <w:rsid w:val="006D3EF5"/>
    <w:rsid w:val="006D531F"/>
    <w:rsid w:val="006D7C0A"/>
    <w:rsid w:val="006D7E64"/>
    <w:rsid w:val="006E1005"/>
    <w:rsid w:val="006E1E7A"/>
    <w:rsid w:val="006E37DA"/>
    <w:rsid w:val="006F1E6F"/>
    <w:rsid w:val="006F42F4"/>
    <w:rsid w:val="006F4F6A"/>
    <w:rsid w:val="00700722"/>
    <w:rsid w:val="00703837"/>
    <w:rsid w:val="00706411"/>
    <w:rsid w:val="00706CAF"/>
    <w:rsid w:val="00707058"/>
    <w:rsid w:val="00707D28"/>
    <w:rsid w:val="00710205"/>
    <w:rsid w:val="00712ABA"/>
    <w:rsid w:val="007139BE"/>
    <w:rsid w:val="007157B6"/>
    <w:rsid w:val="007163CC"/>
    <w:rsid w:val="00716AAA"/>
    <w:rsid w:val="00716B28"/>
    <w:rsid w:val="007230BF"/>
    <w:rsid w:val="00723B47"/>
    <w:rsid w:val="007263C2"/>
    <w:rsid w:val="0072749D"/>
    <w:rsid w:val="00727A4D"/>
    <w:rsid w:val="00731D82"/>
    <w:rsid w:val="00731D8F"/>
    <w:rsid w:val="007323A9"/>
    <w:rsid w:val="00740FD0"/>
    <w:rsid w:val="007439E4"/>
    <w:rsid w:val="00747DBD"/>
    <w:rsid w:val="007527E4"/>
    <w:rsid w:val="00755011"/>
    <w:rsid w:val="007556CF"/>
    <w:rsid w:val="00756C66"/>
    <w:rsid w:val="00760B67"/>
    <w:rsid w:val="00763804"/>
    <w:rsid w:val="00763DE7"/>
    <w:rsid w:val="007650F1"/>
    <w:rsid w:val="00765C50"/>
    <w:rsid w:val="00766339"/>
    <w:rsid w:val="007668BB"/>
    <w:rsid w:val="007705AE"/>
    <w:rsid w:val="00771CB6"/>
    <w:rsid w:val="00773CA9"/>
    <w:rsid w:val="00775450"/>
    <w:rsid w:val="0077649B"/>
    <w:rsid w:val="00776CBB"/>
    <w:rsid w:val="00780D72"/>
    <w:rsid w:val="00781890"/>
    <w:rsid w:val="00781D53"/>
    <w:rsid w:val="0078226F"/>
    <w:rsid w:val="00782C0A"/>
    <w:rsid w:val="0078410D"/>
    <w:rsid w:val="007848FB"/>
    <w:rsid w:val="00787988"/>
    <w:rsid w:val="00787E0B"/>
    <w:rsid w:val="00794E49"/>
    <w:rsid w:val="0079511B"/>
    <w:rsid w:val="00797A1C"/>
    <w:rsid w:val="007A2828"/>
    <w:rsid w:val="007A3863"/>
    <w:rsid w:val="007A3E5E"/>
    <w:rsid w:val="007A5C62"/>
    <w:rsid w:val="007A5D26"/>
    <w:rsid w:val="007A676D"/>
    <w:rsid w:val="007B07B2"/>
    <w:rsid w:val="007B0926"/>
    <w:rsid w:val="007B0CB1"/>
    <w:rsid w:val="007B1667"/>
    <w:rsid w:val="007B2545"/>
    <w:rsid w:val="007B33D3"/>
    <w:rsid w:val="007B7B4D"/>
    <w:rsid w:val="007C1165"/>
    <w:rsid w:val="007C35A9"/>
    <w:rsid w:val="007C3E33"/>
    <w:rsid w:val="007C4AA3"/>
    <w:rsid w:val="007D09AC"/>
    <w:rsid w:val="007D2CBD"/>
    <w:rsid w:val="007D3609"/>
    <w:rsid w:val="007D6D38"/>
    <w:rsid w:val="007D6DA2"/>
    <w:rsid w:val="007D77BF"/>
    <w:rsid w:val="007E10F3"/>
    <w:rsid w:val="007E3247"/>
    <w:rsid w:val="007E4000"/>
    <w:rsid w:val="007E41A9"/>
    <w:rsid w:val="007E43FD"/>
    <w:rsid w:val="007E4DC1"/>
    <w:rsid w:val="007E501E"/>
    <w:rsid w:val="007E7D62"/>
    <w:rsid w:val="007F241E"/>
    <w:rsid w:val="007F28B2"/>
    <w:rsid w:val="007F358B"/>
    <w:rsid w:val="007F5779"/>
    <w:rsid w:val="007F5F79"/>
    <w:rsid w:val="007F72EB"/>
    <w:rsid w:val="008006E6"/>
    <w:rsid w:val="00800707"/>
    <w:rsid w:val="00802118"/>
    <w:rsid w:val="00802615"/>
    <w:rsid w:val="0080275D"/>
    <w:rsid w:val="008047C8"/>
    <w:rsid w:val="00804D98"/>
    <w:rsid w:val="0080504D"/>
    <w:rsid w:val="008059F0"/>
    <w:rsid w:val="00806C0A"/>
    <w:rsid w:val="00807208"/>
    <w:rsid w:val="00807B66"/>
    <w:rsid w:val="00810F9C"/>
    <w:rsid w:val="00811BB5"/>
    <w:rsid w:val="008134F8"/>
    <w:rsid w:val="00813C69"/>
    <w:rsid w:val="00814CEA"/>
    <w:rsid w:val="00815721"/>
    <w:rsid w:val="0081769D"/>
    <w:rsid w:val="008179EF"/>
    <w:rsid w:val="00820F77"/>
    <w:rsid w:val="00823083"/>
    <w:rsid w:val="00826959"/>
    <w:rsid w:val="00826E7F"/>
    <w:rsid w:val="008277C2"/>
    <w:rsid w:val="008277F4"/>
    <w:rsid w:val="00827A70"/>
    <w:rsid w:val="00833C02"/>
    <w:rsid w:val="00833E94"/>
    <w:rsid w:val="008345CC"/>
    <w:rsid w:val="00836AC1"/>
    <w:rsid w:val="00837DCC"/>
    <w:rsid w:val="00837FB8"/>
    <w:rsid w:val="00840195"/>
    <w:rsid w:val="00840217"/>
    <w:rsid w:val="00841298"/>
    <w:rsid w:val="0084221F"/>
    <w:rsid w:val="008426E2"/>
    <w:rsid w:val="0084487E"/>
    <w:rsid w:val="00845E5B"/>
    <w:rsid w:val="00845EAA"/>
    <w:rsid w:val="008462CE"/>
    <w:rsid w:val="008473F4"/>
    <w:rsid w:val="00847430"/>
    <w:rsid w:val="008475C3"/>
    <w:rsid w:val="00852CF0"/>
    <w:rsid w:val="00853944"/>
    <w:rsid w:val="00853AF4"/>
    <w:rsid w:val="008545C2"/>
    <w:rsid w:val="00861558"/>
    <w:rsid w:val="00864335"/>
    <w:rsid w:val="00865773"/>
    <w:rsid w:val="00872AF6"/>
    <w:rsid w:val="00873E73"/>
    <w:rsid w:val="0087421E"/>
    <w:rsid w:val="008744F4"/>
    <w:rsid w:val="008748A4"/>
    <w:rsid w:val="00874FB1"/>
    <w:rsid w:val="00875190"/>
    <w:rsid w:val="0087659D"/>
    <w:rsid w:val="00877F78"/>
    <w:rsid w:val="00880947"/>
    <w:rsid w:val="00881C17"/>
    <w:rsid w:val="00881C1E"/>
    <w:rsid w:val="008844D4"/>
    <w:rsid w:val="008858B1"/>
    <w:rsid w:val="00885CC3"/>
    <w:rsid w:val="00886901"/>
    <w:rsid w:val="00887519"/>
    <w:rsid w:val="008906C5"/>
    <w:rsid w:val="00890A26"/>
    <w:rsid w:val="008911DF"/>
    <w:rsid w:val="008A0A49"/>
    <w:rsid w:val="008A0F4C"/>
    <w:rsid w:val="008A1B0B"/>
    <w:rsid w:val="008A24D8"/>
    <w:rsid w:val="008A42E7"/>
    <w:rsid w:val="008A48CD"/>
    <w:rsid w:val="008A5B45"/>
    <w:rsid w:val="008A5BB6"/>
    <w:rsid w:val="008A7377"/>
    <w:rsid w:val="008B13B8"/>
    <w:rsid w:val="008B4211"/>
    <w:rsid w:val="008B4632"/>
    <w:rsid w:val="008B485D"/>
    <w:rsid w:val="008B6A47"/>
    <w:rsid w:val="008C0558"/>
    <w:rsid w:val="008C0EFA"/>
    <w:rsid w:val="008C4F1A"/>
    <w:rsid w:val="008C5810"/>
    <w:rsid w:val="008D2877"/>
    <w:rsid w:val="008D3138"/>
    <w:rsid w:val="008D43EB"/>
    <w:rsid w:val="008D4B1B"/>
    <w:rsid w:val="008D5387"/>
    <w:rsid w:val="008D64A3"/>
    <w:rsid w:val="008E22A7"/>
    <w:rsid w:val="008E39D7"/>
    <w:rsid w:val="008E41FC"/>
    <w:rsid w:val="008E48E5"/>
    <w:rsid w:val="008E541B"/>
    <w:rsid w:val="008E580F"/>
    <w:rsid w:val="008F1770"/>
    <w:rsid w:val="008F3B3A"/>
    <w:rsid w:val="008F5A61"/>
    <w:rsid w:val="0090019F"/>
    <w:rsid w:val="00900FDE"/>
    <w:rsid w:val="00902D12"/>
    <w:rsid w:val="0090331F"/>
    <w:rsid w:val="0090417E"/>
    <w:rsid w:val="009045B8"/>
    <w:rsid w:val="009066A3"/>
    <w:rsid w:val="00906CBB"/>
    <w:rsid w:val="0090752E"/>
    <w:rsid w:val="00907B95"/>
    <w:rsid w:val="009105C9"/>
    <w:rsid w:val="0091125C"/>
    <w:rsid w:val="0091331B"/>
    <w:rsid w:val="00916342"/>
    <w:rsid w:val="00916376"/>
    <w:rsid w:val="0091758D"/>
    <w:rsid w:val="00923481"/>
    <w:rsid w:val="009234B4"/>
    <w:rsid w:val="009241C2"/>
    <w:rsid w:val="00924A78"/>
    <w:rsid w:val="00927C5E"/>
    <w:rsid w:val="00932E3A"/>
    <w:rsid w:val="00934A58"/>
    <w:rsid w:val="00935574"/>
    <w:rsid w:val="009366FE"/>
    <w:rsid w:val="00936A4B"/>
    <w:rsid w:val="00937781"/>
    <w:rsid w:val="00940552"/>
    <w:rsid w:val="009408FF"/>
    <w:rsid w:val="009417E8"/>
    <w:rsid w:val="00942622"/>
    <w:rsid w:val="00943030"/>
    <w:rsid w:val="00943280"/>
    <w:rsid w:val="00943571"/>
    <w:rsid w:val="00945677"/>
    <w:rsid w:val="00945A86"/>
    <w:rsid w:val="00946E2A"/>
    <w:rsid w:val="00950A50"/>
    <w:rsid w:val="00953F17"/>
    <w:rsid w:val="00954324"/>
    <w:rsid w:val="009546AF"/>
    <w:rsid w:val="0096199D"/>
    <w:rsid w:val="00962813"/>
    <w:rsid w:val="0096310B"/>
    <w:rsid w:val="009651C4"/>
    <w:rsid w:val="00967476"/>
    <w:rsid w:val="0097101C"/>
    <w:rsid w:val="00971B33"/>
    <w:rsid w:val="00971FA1"/>
    <w:rsid w:val="009727B2"/>
    <w:rsid w:val="009733C2"/>
    <w:rsid w:val="009743D3"/>
    <w:rsid w:val="00974783"/>
    <w:rsid w:val="0097478C"/>
    <w:rsid w:val="00975D2D"/>
    <w:rsid w:val="009810BB"/>
    <w:rsid w:val="009820A9"/>
    <w:rsid w:val="009825F8"/>
    <w:rsid w:val="00983066"/>
    <w:rsid w:val="00985AB3"/>
    <w:rsid w:val="00986E35"/>
    <w:rsid w:val="00994D77"/>
    <w:rsid w:val="00995965"/>
    <w:rsid w:val="0099682C"/>
    <w:rsid w:val="009A0AC7"/>
    <w:rsid w:val="009A32C9"/>
    <w:rsid w:val="009A3EC2"/>
    <w:rsid w:val="009A43CD"/>
    <w:rsid w:val="009A4E77"/>
    <w:rsid w:val="009A7FFE"/>
    <w:rsid w:val="009B01F9"/>
    <w:rsid w:val="009B35C1"/>
    <w:rsid w:val="009B3A23"/>
    <w:rsid w:val="009B4FEA"/>
    <w:rsid w:val="009B606E"/>
    <w:rsid w:val="009B60F1"/>
    <w:rsid w:val="009B67E9"/>
    <w:rsid w:val="009B686E"/>
    <w:rsid w:val="009C1CE2"/>
    <w:rsid w:val="009C1D01"/>
    <w:rsid w:val="009C2B6A"/>
    <w:rsid w:val="009C4B19"/>
    <w:rsid w:val="009C569E"/>
    <w:rsid w:val="009C6624"/>
    <w:rsid w:val="009C68D7"/>
    <w:rsid w:val="009D0203"/>
    <w:rsid w:val="009D09B0"/>
    <w:rsid w:val="009D1563"/>
    <w:rsid w:val="009D69DC"/>
    <w:rsid w:val="009D71DB"/>
    <w:rsid w:val="009E0E82"/>
    <w:rsid w:val="009E2B28"/>
    <w:rsid w:val="009E3343"/>
    <w:rsid w:val="009E3457"/>
    <w:rsid w:val="009E3643"/>
    <w:rsid w:val="009E4448"/>
    <w:rsid w:val="009E4F49"/>
    <w:rsid w:val="009F2B36"/>
    <w:rsid w:val="009F3531"/>
    <w:rsid w:val="009F56CE"/>
    <w:rsid w:val="009F7F9A"/>
    <w:rsid w:val="00A0057D"/>
    <w:rsid w:val="00A0237C"/>
    <w:rsid w:val="00A025AA"/>
    <w:rsid w:val="00A05BA2"/>
    <w:rsid w:val="00A05D5D"/>
    <w:rsid w:val="00A101C1"/>
    <w:rsid w:val="00A11353"/>
    <w:rsid w:val="00A120CB"/>
    <w:rsid w:val="00A14890"/>
    <w:rsid w:val="00A14F52"/>
    <w:rsid w:val="00A222CE"/>
    <w:rsid w:val="00A24C18"/>
    <w:rsid w:val="00A2638A"/>
    <w:rsid w:val="00A266DB"/>
    <w:rsid w:val="00A2796A"/>
    <w:rsid w:val="00A30A6C"/>
    <w:rsid w:val="00A30AB8"/>
    <w:rsid w:val="00A35E23"/>
    <w:rsid w:val="00A37468"/>
    <w:rsid w:val="00A375BF"/>
    <w:rsid w:val="00A40580"/>
    <w:rsid w:val="00A41A96"/>
    <w:rsid w:val="00A430E7"/>
    <w:rsid w:val="00A452D6"/>
    <w:rsid w:val="00A47A8F"/>
    <w:rsid w:val="00A47C45"/>
    <w:rsid w:val="00A50029"/>
    <w:rsid w:val="00A524D5"/>
    <w:rsid w:val="00A55E6F"/>
    <w:rsid w:val="00A56B27"/>
    <w:rsid w:val="00A57E30"/>
    <w:rsid w:val="00A60CCA"/>
    <w:rsid w:val="00A61014"/>
    <w:rsid w:val="00A61CED"/>
    <w:rsid w:val="00A62FA9"/>
    <w:rsid w:val="00A65C74"/>
    <w:rsid w:val="00A661F2"/>
    <w:rsid w:val="00A66321"/>
    <w:rsid w:val="00A70CE1"/>
    <w:rsid w:val="00A71FFC"/>
    <w:rsid w:val="00A80105"/>
    <w:rsid w:val="00A812A5"/>
    <w:rsid w:val="00A81530"/>
    <w:rsid w:val="00A8564F"/>
    <w:rsid w:val="00A85C90"/>
    <w:rsid w:val="00A86151"/>
    <w:rsid w:val="00A8645E"/>
    <w:rsid w:val="00A87AEB"/>
    <w:rsid w:val="00A900F0"/>
    <w:rsid w:val="00A92FEF"/>
    <w:rsid w:val="00A9486F"/>
    <w:rsid w:val="00AA0306"/>
    <w:rsid w:val="00AA1E15"/>
    <w:rsid w:val="00AA26F4"/>
    <w:rsid w:val="00AA2E28"/>
    <w:rsid w:val="00AA38DD"/>
    <w:rsid w:val="00AA508D"/>
    <w:rsid w:val="00AA5DB9"/>
    <w:rsid w:val="00AB1805"/>
    <w:rsid w:val="00AB41C4"/>
    <w:rsid w:val="00AB46F5"/>
    <w:rsid w:val="00AB4E36"/>
    <w:rsid w:val="00AB5DE1"/>
    <w:rsid w:val="00AB6452"/>
    <w:rsid w:val="00AB7572"/>
    <w:rsid w:val="00AC2738"/>
    <w:rsid w:val="00AC5261"/>
    <w:rsid w:val="00AC54E6"/>
    <w:rsid w:val="00AC5B31"/>
    <w:rsid w:val="00AC6BF0"/>
    <w:rsid w:val="00AC7A2C"/>
    <w:rsid w:val="00AC7D83"/>
    <w:rsid w:val="00AC7DBA"/>
    <w:rsid w:val="00AD12F0"/>
    <w:rsid w:val="00AD30C3"/>
    <w:rsid w:val="00AD4EAB"/>
    <w:rsid w:val="00AD645A"/>
    <w:rsid w:val="00AD6783"/>
    <w:rsid w:val="00AD6EE3"/>
    <w:rsid w:val="00AD74C5"/>
    <w:rsid w:val="00AD7602"/>
    <w:rsid w:val="00AE010F"/>
    <w:rsid w:val="00AF01B7"/>
    <w:rsid w:val="00AF057E"/>
    <w:rsid w:val="00AF071D"/>
    <w:rsid w:val="00AF12E1"/>
    <w:rsid w:val="00AF25CA"/>
    <w:rsid w:val="00AF322D"/>
    <w:rsid w:val="00B0008E"/>
    <w:rsid w:val="00B01DFC"/>
    <w:rsid w:val="00B04C15"/>
    <w:rsid w:val="00B05A75"/>
    <w:rsid w:val="00B06C4F"/>
    <w:rsid w:val="00B07484"/>
    <w:rsid w:val="00B10A38"/>
    <w:rsid w:val="00B113EB"/>
    <w:rsid w:val="00B1307E"/>
    <w:rsid w:val="00B13F81"/>
    <w:rsid w:val="00B2073A"/>
    <w:rsid w:val="00B2130A"/>
    <w:rsid w:val="00B23BDE"/>
    <w:rsid w:val="00B243B5"/>
    <w:rsid w:val="00B2772E"/>
    <w:rsid w:val="00B317AB"/>
    <w:rsid w:val="00B32032"/>
    <w:rsid w:val="00B37A06"/>
    <w:rsid w:val="00B41748"/>
    <w:rsid w:val="00B417D1"/>
    <w:rsid w:val="00B43454"/>
    <w:rsid w:val="00B43AEA"/>
    <w:rsid w:val="00B470FA"/>
    <w:rsid w:val="00B507BB"/>
    <w:rsid w:val="00B54310"/>
    <w:rsid w:val="00B55564"/>
    <w:rsid w:val="00B55805"/>
    <w:rsid w:val="00B601A9"/>
    <w:rsid w:val="00B60302"/>
    <w:rsid w:val="00B611BE"/>
    <w:rsid w:val="00B61BA2"/>
    <w:rsid w:val="00B63D40"/>
    <w:rsid w:val="00B66A94"/>
    <w:rsid w:val="00B6737F"/>
    <w:rsid w:val="00B71299"/>
    <w:rsid w:val="00B71CD2"/>
    <w:rsid w:val="00B72E5E"/>
    <w:rsid w:val="00B73CFE"/>
    <w:rsid w:val="00B7770D"/>
    <w:rsid w:val="00B80651"/>
    <w:rsid w:val="00B81456"/>
    <w:rsid w:val="00B82E35"/>
    <w:rsid w:val="00B8589B"/>
    <w:rsid w:val="00B859D5"/>
    <w:rsid w:val="00B85E6C"/>
    <w:rsid w:val="00B8680D"/>
    <w:rsid w:val="00B87A22"/>
    <w:rsid w:val="00B9376F"/>
    <w:rsid w:val="00B93885"/>
    <w:rsid w:val="00B93FB4"/>
    <w:rsid w:val="00B94D59"/>
    <w:rsid w:val="00B9530D"/>
    <w:rsid w:val="00B96D01"/>
    <w:rsid w:val="00B97686"/>
    <w:rsid w:val="00BA01EF"/>
    <w:rsid w:val="00BA1E70"/>
    <w:rsid w:val="00BA453B"/>
    <w:rsid w:val="00BA4AEB"/>
    <w:rsid w:val="00BA4E2A"/>
    <w:rsid w:val="00BA5764"/>
    <w:rsid w:val="00BA72BE"/>
    <w:rsid w:val="00BA7D50"/>
    <w:rsid w:val="00BA7D89"/>
    <w:rsid w:val="00BB18D3"/>
    <w:rsid w:val="00BB212E"/>
    <w:rsid w:val="00BB2CD1"/>
    <w:rsid w:val="00BB544C"/>
    <w:rsid w:val="00BB7607"/>
    <w:rsid w:val="00BB7B3E"/>
    <w:rsid w:val="00BC1223"/>
    <w:rsid w:val="00BC1436"/>
    <w:rsid w:val="00BC15CE"/>
    <w:rsid w:val="00BC1D6D"/>
    <w:rsid w:val="00BC28C4"/>
    <w:rsid w:val="00BC63A2"/>
    <w:rsid w:val="00BD0284"/>
    <w:rsid w:val="00BD07F3"/>
    <w:rsid w:val="00BD1954"/>
    <w:rsid w:val="00BD2372"/>
    <w:rsid w:val="00BE45B5"/>
    <w:rsid w:val="00BE65A0"/>
    <w:rsid w:val="00BE6974"/>
    <w:rsid w:val="00BE6D93"/>
    <w:rsid w:val="00BF0C35"/>
    <w:rsid w:val="00BF12AB"/>
    <w:rsid w:val="00BF3467"/>
    <w:rsid w:val="00BF36C7"/>
    <w:rsid w:val="00BF4267"/>
    <w:rsid w:val="00BF4758"/>
    <w:rsid w:val="00BF4D3A"/>
    <w:rsid w:val="00BF7412"/>
    <w:rsid w:val="00C0032D"/>
    <w:rsid w:val="00C00899"/>
    <w:rsid w:val="00C035E9"/>
    <w:rsid w:val="00C0468C"/>
    <w:rsid w:val="00C04F95"/>
    <w:rsid w:val="00C05841"/>
    <w:rsid w:val="00C07FBD"/>
    <w:rsid w:val="00C117E0"/>
    <w:rsid w:val="00C12183"/>
    <w:rsid w:val="00C12699"/>
    <w:rsid w:val="00C1510E"/>
    <w:rsid w:val="00C15501"/>
    <w:rsid w:val="00C15B96"/>
    <w:rsid w:val="00C1640E"/>
    <w:rsid w:val="00C179DC"/>
    <w:rsid w:val="00C20C32"/>
    <w:rsid w:val="00C22C00"/>
    <w:rsid w:val="00C24CCB"/>
    <w:rsid w:val="00C24F92"/>
    <w:rsid w:val="00C25A59"/>
    <w:rsid w:val="00C3020C"/>
    <w:rsid w:val="00C323BF"/>
    <w:rsid w:val="00C3341B"/>
    <w:rsid w:val="00C344EC"/>
    <w:rsid w:val="00C34B30"/>
    <w:rsid w:val="00C376CA"/>
    <w:rsid w:val="00C40D51"/>
    <w:rsid w:val="00C41378"/>
    <w:rsid w:val="00C422F2"/>
    <w:rsid w:val="00C430D1"/>
    <w:rsid w:val="00C43C2E"/>
    <w:rsid w:val="00C457C9"/>
    <w:rsid w:val="00C5021B"/>
    <w:rsid w:val="00C51D18"/>
    <w:rsid w:val="00C53FCE"/>
    <w:rsid w:val="00C5507A"/>
    <w:rsid w:val="00C5608A"/>
    <w:rsid w:val="00C56A5B"/>
    <w:rsid w:val="00C578C2"/>
    <w:rsid w:val="00C62C9A"/>
    <w:rsid w:val="00C641F0"/>
    <w:rsid w:val="00C66095"/>
    <w:rsid w:val="00C66285"/>
    <w:rsid w:val="00C66FAB"/>
    <w:rsid w:val="00C67AB4"/>
    <w:rsid w:val="00C7380F"/>
    <w:rsid w:val="00C747AE"/>
    <w:rsid w:val="00C7571E"/>
    <w:rsid w:val="00C75ECB"/>
    <w:rsid w:val="00C84855"/>
    <w:rsid w:val="00C84CBD"/>
    <w:rsid w:val="00C85711"/>
    <w:rsid w:val="00C8712F"/>
    <w:rsid w:val="00C91938"/>
    <w:rsid w:val="00C924F8"/>
    <w:rsid w:val="00C92C8B"/>
    <w:rsid w:val="00C94FA9"/>
    <w:rsid w:val="00C9541E"/>
    <w:rsid w:val="00C954B4"/>
    <w:rsid w:val="00C971F0"/>
    <w:rsid w:val="00CA120E"/>
    <w:rsid w:val="00CA1744"/>
    <w:rsid w:val="00CA4C9E"/>
    <w:rsid w:val="00CA545E"/>
    <w:rsid w:val="00CB1531"/>
    <w:rsid w:val="00CB245A"/>
    <w:rsid w:val="00CB2844"/>
    <w:rsid w:val="00CB2E06"/>
    <w:rsid w:val="00CB39A7"/>
    <w:rsid w:val="00CC0A1E"/>
    <w:rsid w:val="00CC0EA8"/>
    <w:rsid w:val="00CC1A6C"/>
    <w:rsid w:val="00CC37D0"/>
    <w:rsid w:val="00CC62B6"/>
    <w:rsid w:val="00CD3BF2"/>
    <w:rsid w:val="00CD4A34"/>
    <w:rsid w:val="00CD5157"/>
    <w:rsid w:val="00CD5275"/>
    <w:rsid w:val="00CE0189"/>
    <w:rsid w:val="00CE01CC"/>
    <w:rsid w:val="00CE0EB9"/>
    <w:rsid w:val="00CE0F50"/>
    <w:rsid w:val="00CE5A54"/>
    <w:rsid w:val="00CE6251"/>
    <w:rsid w:val="00CF0C6E"/>
    <w:rsid w:val="00CF23D6"/>
    <w:rsid w:val="00CF2CE6"/>
    <w:rsid w:val="00CF3EAE"/>
    <w:rsid w:val="00CF46EA"/>
    <w:rsid w:val="00CF64DB"/>
    <w:rsid w:val="00D0070F"/>
    <w:rsid w:val="00D00761"/>
    <w:rsid w:val="00D00D0B"/>
    <w:rsid w:val="00D00F66"/>
    <w:rsid w:val="00D019D9"/>
    <w:rsid w:val="00D05A2D"/>
    <w:rsid w:val="00D07E33"/>
    <w:rsid w:val="00D07F89"/>
    <w:rsid w:val="00D07FB6"/>
    <w:rsid w:val="00D10110"/>
    <w:rsid w:val="00D1054F"/>
    <w:rsid w:val="00D1278B"/>
    <w:rsid w:val="00D15599"/>
    <w:rsid w:val="00D157AB"/>
    <w:rsid w:val="00D15BBE"/>
    <w:rsid w:val="00D2041E"/>
    <w:rsid w:val="00D20A7A"/>
    <w:rsid w:val="00D20BA0"/>
    <w:rsid w:val="00D23380"/>
    <w:rsid w:val="00D276A3"/>
    <w:rsid w:val="00D276A9"/>
    <w:rsid w:val="00D341AC"/>
    <w:rsid w:val="00D35E62"/>
    <w:rsid w:val="00D37379"/>
    <w:rsid w:val="00D409EF"/>
    <w:rsid w:val="00D40BFC"/>
    <w:rsid w:val="00D445E3"/>
    <w:rsid w:val="00D46C3D"/>
    <w:rsid w:val="00D46F6A"/>
    <w:rsid w:val="00D46FF9"/>
    <w:rsid w:val="00D50209"/>
    <w:rsid w:val="00D50A78"/>
    <w:rsid w:val="00D52335"/>
    <w:rsid w:val="00D6093F"/>
    <w:rsid w:val="00D60BE5"/>
    <w:rsid w:val="00D60E4C"/>
    <w:rsid w:val="00D613D3"/>
    <w:rsid w:val="00D61EC2"/>
    <w:rsid w:val="00D62AC6"/>
    <w:rsid w:val="00D6308D"/>
    <w:rsid w:val="00D636BF"/>
    <w:rsid w:val="00D647A3"/>
    <w:rsid w:val="00D65E26"/>
    <w:rsid w:val="00D66C81"/>
    <w:rsid w:val="00D66EBA"/>
    <w:rsid w:val="00D70683"/>
    <w:rsid w:val="00D714BB"/>
    <w:rsid w:val="00D7373E"/>
    <w:rsid w:val="00D74AFE"/>
    <w:rsid w:val="00D751AA"/>
    <w:rsid w:val="00D75EC9"/>
    <w:rsid w:val="00D7616A"/>
    <w:rsid w:val="00D76615"/>
    <w:rsid w:val="00D77AF7"/>
    <w:rsid w:val="00D840DE"/>
    <w:rsid w:val="00D90FE2"/>
    <w:rsid w:val="00D945C1"/>
    <w:rsid w:val="00D94AC2"/>
    <w:rsid w:val="00D96F5F"/>
    <w:rsid w:val="00D976AB"/>
    <w:rsid w:val="00DA2401"/>
    <w:rsid w:val="00DA2EDB"/>
    <w:rsid w:val="00DA3293"/>
    <w:rsid w:val="00DB081C"/>
    <w:rsid w:val="00DB1043"/>
    <w:rsid w:val="00DB2C2A"/>
    <w:rsid w:val="00DB3B70"/>
    <w:rsid w:val="00DB500F"/>
    <w:rsid w:val="00DC03D0"/>
    <w:rsid w:val="00DC3F5C"/>
    <w:rsid w:val="00DD2AA7"/>
    <w:rsid w:val="00DD6654"/>
    <w:rsid w:val="00DE1296"/>
    <w:rsid w:val="00DE23B7"/>
    <w:rsid w:val="00DE37C6"/>
    <w:rsid w:val="00DE37F4"/>
    <w:rsid w:val="00DE4082"/>
    <w:rsid w:val="00DE6B76"/>
    <w:rsid w:val="00DE706B"/>
    <w:rsid w:val="00DE79A8"/>
    <w:rsid w:val="00DE7BCD"/>
    <w:rsid w:val="00DE7EE8"/>
    <w:rsid w:val="00DF020A"/>
    <w:rsid w:val="00DF0307"/>
    <w:rsid w:val="00DF4089"/>
    <w:rsid w:val="00DF5615"/>
    <w:rsid w:val="00DF57D9"/>
    <w:rsid w:val="00DF5F99"/>
    <w:rsid w:val="00DF6A1F"/>
    <w:rsid w:val="00E002FE"/>
    <w:rsid w:val="00E00F3F"/>
    <w:rsid w:val="00E024C4"/>
    <w:rsid w:val="00E0347C"/>
    <w:rsid w:val="00E038E5"/>
    <w:rsid w:val="00E1075E"/>
    <w:rsid w:val="00E14073"/>
    <w:rsid w:val="00E14355"/>
    <w:rsid w:val="00E15A69"/>
    <w:rsid w:val="00E15F7E"/>
    <w:rsid w:val="00E17737"/>
    <w:rsid w:val="00E17F42"/>
    <w:rsid w:val="00E20A8F"/>
    <w:rsid w:val="00E22DB5"/>
    <w:rsid w:val="00E24605"/>
    <w:rsid w:val="00E24CD2"/>
    <w:rsid w:val="00E30EF2"/>
    <w:rsid w:val="00E319E2"/>
    <w:rsid w:val="00E31FB9"/>
    <w:rsid w:val="00E323B9"/>
    <w:rsid w:val="00E3439C"/>
    <w:rsid w:val="00E36A15"/>
    <w:rsid w:val="00E36A7C"/>
    <w:rsid w:val="00E4029C"/>
    <w:rsid w:val="00E4173E"/>
    <w:rsid w:val="00E43B94"/>
    <w:rsid w:val="00E4513E"/>
    <w:rsid w:val="00E45547"/>
    <w:rsid w:val="00E50501"/>
    <w:rsid w:val="00E520DC"/>
    <w:rsid w:val="00E52BAB"/>
    <w:rsid w:val="00E54D37"/>
    <w:rsid w:val="00E558CA"/>
    <w:rsid w:val="00E55B92"/>
    <w:rsid w:val="00E55C80"/>
    <w:rsid w:val="00E57F05"/>
    <w:rsid w:val="00E57F2A"/>
    <w:rsid w:val="00E6177C"/>
    <w:rsid w:val="00E628F5"/>
    <w:rsid w:val="00E65540"/>
    <w:rsid w:val="00E65619"/>
    <w:rsid w:val="00E65CEF"/>
    <w:rsid w:val="00E65F65"/>
    <w:rsid w:val="00E66C24"/>
    <w:rsid w:val="00E704AF"/>
    <w:rsid w:val="00E72142"/>
    <w:rsid w:val="00E745EF"/>
    <w:rsid w:val="00E75AED"/>
    <w:rsid w:val="00E80002"/>
    <w:rsid w:val="00E8232F"/>
    <w:rsid w:val="00E861E2"/>
    <w:rsid w:val="00E86520"/>
    <w:rsid w:val="00E90685"/>
    <w:rsid w:val="00E91A89"/>
    <w:rsid w:val="00E939BA"/>
    <w:rsid w:val="00E964E2"/>
    <w:rsid w:val="00E96D2C"/>
    <w:rsid w:val="00EA0076"/>
    <w:rsid w:val="00EA11DE"/>
    <w:rsid w:val="00EA1C66"/>
    <w:rsid w:val="00EB049B"/>
    <w:rsid w:val="00EB131E"/>
    <w:rsid w:val="00EB3BEA"/>
    <w:rsid w:val="00EB67A7"/>
    <w:rsid w:val="00EB6911"/>
    <w:rsid w:val="00EB7A13"/>
    <w:rsid w:val="00EC04B3"/>
    <w:rsid w:val="00EC0E87"/>
    <w:rsid w:val="00EC12D1"/>
    <w:rsid w:val="00EC2417"/>
    <w:rsid w:val="00EC3606"/>
    <w:rsid w:val="00EC3799"/>
    <w:rsid w:val="00EC58A8"/>
    <w:rsid w:val="00ED0501"/>
    <w:rsid w:val="00ED3797"/>
    <w:rsid w:val="00ED6B02"/>
    <w:rsid w:val="00ED728E"/>
    <w:rsid w:val="00EE2769"/>
    <w:rsid w:val="00EE32FD"/>
    <w:rsid w:val="00EF3661"/>
    <w:rsid w:val="00EF3FCE"/>
    <w:rsid w:val="00EF4179"/>
    <w:rsid w:val="00EF5FC5"/>
    <w:rsid w:val="00EF7529"/>
    <w:rsid w:val="00F00381"/>
    <w:rsid w:val="00F01AA8"/>
    <w:rsid w:val="00F03F62"/>
    <w:rsid w:val="00F0785D"/>
    <w:rsid w:val="00F100A4"/>
    <w:rsid w:val="00F10449"/>
    <w:rsid w:val="00F10C60"/>
    <w:rsid w:val="00F13783"/>
    <w:rsid w:val="00F16695"/>
    <w:rsid w:val="00F178B0"/>
    <w:rsid w:val="00F2013B"/>
    <w:rsid w:val="00F2035A"/>
    <w:rsid w:val="00F20D32"/>
    <w:rsid w:val="00F23FAD"/>
    <w:rsid w:val="00F25C08"/>
    <w:rsid w:val="00F27198"/>
    <w:rsid w:val="00F27A92"/>
    <w:rsid w:val="00F3227C"/>
    <w:rsid w:val="00F323DE"/>
    <w:rsid w:val="00F36024"/>
    <w:rsid w:val="00F365DF"/>
    <w:rsid w:val="00F377A5"/>
    <w:rsid w:val="00F411A0"/>
    <w:rsid w:val="00F42A60"/>
    <w:rsid w:val="00F4350A"/>
    <w:rsid w:val="00F459DE"/>
    <w:rsid w:val="00F45C39"/>
    <w:rsid w:val="00F537A9"/>
    <w:rsid w:val="00F550D4"/>
    <w:rsid w:val="00F55FC6"/>
    <w:rsid w:val="00F62AB4"/>
    <w:rsid w:val="00F63052"/>
    <w:rsid w:val="00F63A95"/>
    <w:rsid w:val="00F63BD5"/>
    <w:rsid w:val="00F66968"/>
    <w:rsid w:val="00F66A02"/>
    <w:rsid w:val="00F70246"/>
    <w:rsid w:val="00F74A9D"/>
    <w:rsid w:val="00F77823"/>
    <w:rsid w:val="00F7796F"/>
    <w:rsid w:val="00F82888"/>
    <w:rsid w:val="00F82FAB"/>
    <w:rsid w:val="00F83955"/>
    <w:rsid w:val="00F84F9A"/>
    <w:rsid w:val="00F856C7"/>
    <w:rsid w:val="00F85BE6"/>
    <w:rsid w:val="00F9386B"/>
    <w:rsid w:val="00F95BA7"/>
    <w:rsid w:val="00F97A66"/>
    <w:rsid w:val="00FA1B7C"/>
    <w:rsid w:val="00FA2A12"/>
    <w:rsid w:val="00FA2BCE"/>
    <w:rsid w:val="00FA59CD"/>
    <w:rsid w:val="00FA6161"/>
    <w:rsid w:val="00FA6775"/>
    <w:rsid w:val="00FB22A1"/>
    <w:rsid w:val="00FB26D0"/>
    <w:rsid w:val="00FB36D2"/>
    <w:rsid w:val="00FB37EC"/>
    <w:rsid w:val="00FB4126"/>
    <w:rsid w:val="00FB4F80"/>
    <w:rsid w:val="00FB5C14"/>
    <w:rsid w:val="00FC1B89"/>
    <w:rsid w:val="00FC1B9B"/>
    <w:rsid w:val="00FC1D32"/>
    <w:rsid w:val="00FC20CE"/>
    <w:rsid w:val="00FC2166"/>
    <w:rsid w:val="00FC28D1"/>
    <w:rsid w:val="00FC4F0B"/>
    <w:rsid w:val="00FC58C6"/>
    <w:rsid w:val="00FC5936"/>
    <w:rsid w:val="00FC5F86"/>
    <w:rsid w:val="00FD072E"/>
    <w:rsid w:val="00FD0BBD"/>
    <w:rsid w:val="00FD1BFF"/>
    <w:rsid w:val="00FD1C18"/>
    <w:rsid w:val="00FD1E1F"/>
    <w:rsid w:val="00FD2B97"/>
    <w:rsid w:val="00FD3412"/>
    <w:rsid w:val="00FD3539"/>
    <w:rsid w:val="00FD53D3"/>
    <w:rsid w:val="00FD566D"/>
    <w:rsid w:val="00FD58BD"/>
    <w:rsid w:val="00FD5E7F"/>
    <w:rsid w:val="00FD75EE"/>
    <w:rsid w:val="00FD7A0C"/>
    <w:rsid w:val="00FD7BB0"/>
    <w:rsid w:val="00FE19E2"/>
    <w:rsid w:val="00FE1B2C"/>
    <w:rsid w:val="00FE4674"/>
    <w:rsid w:val="00FF2CCB"/>
    <w:rsid w:val="00FF3320"/>
    <w:rsid w:val="00FF45E9"/>
    <w:rsid w:val="00FF4786"/>
    <w:rsid w:val="00FF4C6A"/>
  </w:rsids>
  <m:mathPr>
    <m:mathFont m:val="Cambria Math"/>
    <m:brkBin m:val="before"/>
    <m:brkBinSub m:val="--"/>
    <m:smallFrac m:val="0"/>
    <m:dispDef/>
    <m:lMargin m:val="0"/>
    <m:rMargin m:val="0"/>
    <m:defJc m:val="centerGroup"/>
    <m:wrapIndent m:val="1440"/>
    <m:intLim m:val="subSup"/>
    <m:naryLim m:val="undOvr"/>
  </m:mathPr>
  <w:themeFontLang w:val="en-IE"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D4056D"/>
  <w15:chartTrackingRefBased/>
  <w15:docId w15:val="{FE23BDD0-0909-4629-BD1D-04034F8B6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57D9"/>
    <w:pPr>
      <w:spacing w:line="480" w:lineRule="auto"/>
    </w:pPr>
    <w:rPr>
      <w:rFonts w:ascii="Times New Roman" w:hAnsi="Times New Roman"/>
      <w:sz w:val="24"/>
    </w:rPr>
  </w:style>
  <w:style w:type="paragraph" w:styleId="Heading1">
    <w:name w:val="heading 1"/>
    <w:basedOn w:val="Normal"/>
    <w:next w:val="Normal"/>
    <w:link w:val="Heading1Char"/>
    <w:uiPriority w:val="9"/>
    <w:qFormat/>
    <w:rsid w:val="004E685A"/>
    <w:pPr>
      <w:keepNext/>
      <w:keepLines/>
      <w:spacing w:before="360" w:after="80"/>
      <w:outlineLvl w:val="0"/>
    </w:pPr>
    <w:rPr>
      <w:rFonts w:eastAsiaTheme="majorEastAsia" w:cstheme="majorBidi"/>
      <w:sz w:val="36"/>
      <w:szCs w:val="40"/>
    </w:rPr>
  </w:style>
  <w:style w:type="paragraph" w:styleId="Heading2">
    <w:name w:val="heading 2"/>
    <w:basedOn w:val="Normal"/>
    <w:next w:val="Normal"/>
    <w:link w:val="Heading2Char"/>
    <w:uiPriority w:val="9"/>
    <w:unhideWhenUsed/>
    <w:qFormat/>
    <w:rsid w:val="001352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413B8"/>
    <w:pPr>
      <w:keepNext/>
      <w:keepLines/>
      <w:spacing w:before="160" w:after="80"/>
      <w:outlineLvl w:val="2"/>
    </w:pPr>
    <w:rPr>
      <w:rFonts w:eastAsiaTheme="majorEastAsia" w:cstheme="majorBidi"/>
      <w:b/>
      <w:sz w:val="28"/>
      <w:szCs w:val="28"/>
    </w:rPr>
  </w:style>
  <w:style w:type="paragraph" w:styleId="Heading4">
    <w:name w:val="heading 4"/>
    <w:basedOn w:val="Normal"/>
    <w:next w:val="Normal"/>
    <w:link w:val="Heading4Char"/>
    <w:uiPriority w:val="9"/>
    <w:unhideWhenUsed/>
    <w:qFormat/>
    <w:rsid w:val="000413B8"/>
    <w:pPr>
      <w:keepNext/>
      <w:keepLines/>
      <w:spacing w:before="80" w:after="40"/>
      <w:outlineLvl w:val="3"/>
    </w:pPr>
    <w:rPr>
      <w:rFonts w:eastAsiaTheme="majorEastAsia" w:cstheme="majorBidi"/>
      <w:i/>
      <w:iCs/>
    </w:rPr>
  </w:style>
  <w:style w:type="paragraph" w:styleId="Heading5">
    <w:name w:val="heading 5"/>
    <w:basedOn w:val="Normal"/>
    <w:next w:val="Normal"/>
    <w:link w:val="Heading5Char"/>
    <w:uiPriority w:val="9"/>
    <w:unhideWhenUsed/>
    <w:qFormat/>
    <w:rsid w:val="001352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52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52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52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52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85A"/>
    <w:rPr>
      <w:rFonts w:ascii="Times New Roman" w:eastAsiaTheme="majorEastAsia" w:hAnsi="Times New Roman" w:cstheme="majorBidi"/>
      <w:sz w:val="36"/>
      <w:szCs w:val="40"/>
    </w:rPr>
  </w:style>
  <w:style w:type="character" w:customStyle="1" w:styleId="Heading2Char">
    <w:name w:val="Heading 2 Char"/>
    <w:basedOn w:val="DefaultParagraphFont"/>
    <w:link w:val="Heading2"/>
    <w:uiPriority w:val="9"/>
    <w:rsid w:val="001352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413B8"/>
    <w:rPr>
      <w:rFonts w:ascii="Times New Roman" w:eastAsiaTheme="majorEastAsia" w:hAnsi="Times New Roman" w:cstheme="majorBidi"/>
      <w:b/>
      <w:sz w:val="28"/>
      <w:szCs w:val="28"/>
    </w:rPr>
  </w:style>
  <w:style w:type="character" w:customStyle="1" w:styleId="Heading4Char">
    <w:name w:val="Heading 4 Char"/>
    <w:basedOn w:val="DefaultParagraphFont"/>
    <w:link w:val="Heading4"/>
    <w:uiPriority w:val="9"/>
    <w:rsid w:val="000413B8"/>
    <w:rPr>
      <w:rFonts w:ascii="Times New Roman" w:eastAsiaTheme="majorEastAsia" w:hAnsi="Times New Roman" w:cstheme="majorBidi"/>
      <w:i/>
      <w:iCs/>
      <w:sz w:val="24"/>
    </w:rPr>
  </w:style>
  <w:style w:type="character" w:customStyle="1" w:styleId="Heading5Char">
    <w:name w:val="Heading 5 Char"/>
    <w:basedOn w:val="DefaultParagraphFont"/>
    <w:link w:val="Heading5"/>
    <w:uiPriority w:val="9"/>
    <w:rsid w:val="001352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52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52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52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52A8"/>
    <w:rPr>
      <w:rFonts w:eastAsiaTheme="majorEastAsia" w:cstheme="majorBidi"/>
      <w:color w:val="272727" w:themeColor="text1" w:themeTint="D8"/>
    </w:rPr>
  </w:style>
  <w:style w:type="paragraph" w:styleId="Title">
    <w:name w:val="Title"/>
    <w:basedOn w:val="Normal"/>
    <w:next w:val="Normal"/>
    <w:link w:val="TitleChar"/>
    <w:uiPriority w:val="10"/>
    <w:qFormat/>
    <w:rsid w:val="008277C2"/>
    <w:pPr>
      <w:spacing w:after="8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8277C2"/>
    <w:rPr>
      <w:rFonts w:ascii="Times New Roman" w:eastAsiaTheme="majorEastAsia" w:hAnsi="Times New Roman" w:cstheme="majorBidi"/>
      <w:spacing w:val="-10"/>
      <w:kern w:val="28"/>
      <w:sz w:val="56"/>
      <w:szCs w:val="56"/>
    </w:rPr>
  </w:style>
  <w:style w:type="paragraph" w:styleId="Subtitle">
    <w:name w:val="Subtitle"/>
    <w:basedOn w:val="Normal"/>
    <w:next w:val="Normal"/>
    <w:link w:val="SubtitleChar"/>
    <w:uiPriority w:val="11"/>
    <w:qFormat/>
    <w:rsid w:val="001352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52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52A8"/>
    <w:pPr>
      <w:spacing w:before="160"/>
      <w:jc w:val="center"/>
    </w:pPr>
    <w:rPr>
      <w:i/>
      <w:iCs/>
      <w:color w:val="404040" w:themeColor="text1" w:themeTint="BF"/>
    </w:rPr>
  </w:style>
  <w:style w:type="character" w:customStyle="1" w:styleId="QuoteChar">
    <w:name w:val="Quote Char"/>
    <w:basedOn w:val="DefaultParagraphFont"/>
    <w:link w:val="Quote"/>
    <w:uiPriority w:val="29"/>
    <w:rsid w:val="001352A8"/>
    <w:rPr>
      <w:i/>
      <w:iCs/>
      <w:color w:val="404040" w:themeColor="text1" w:themeTint="BF"/>
    </w:rPr>
  </w:style>
  <w:style w:type="paragraph" w:styleId="ListParagraph">
    <w:name w:val="List Paragraph"/>
    <w:basedOn w:val="Normal"/>
    <w:uiPriority w:val="34"/>
    <w:qFormat/>
    <w:rsid w:val="001352A8"/>
    <w:pPr>
      <w:ind w:left="720"/>
      <w:contextualSpacing/>
    </w:pPr>
  </w:style>
  <w:style w:type="character" w:styleId="IntenseEmphasis">
    <w:name w:val="Intense Emphasis"/>
    <w:basedOn w:val="DefaultParagraphFont"/>
    <w:uiPriority w:val="21"/>
    <w:qFormat/>
    <w:rsid w:val="001352A8"/>
    <w:rPr>
      <w:i/>
      <w:iCs/>
      <w:color w:val="0F4761" w:themeColor="accent1" w:themeShade="BF"/>
    </w:rPr>
  </w:style>
  <w:style w:type="paragraph" w:styleId="IntenseQuote">
    <w:name w:val="Intense Quote"/>
    <w:basedOn w:val="Normal"/>
    <w:next w:val="Normal"/>
    <w:link w:val="IntenseQuoteChar"/>
    <w:uiPriority w:val="30"/>
    <w:qFormat/>
    <w:rsid w:val="001352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52A8"/>
    <w:rPr>
      <w:i/>
      <w:iCs/>
      <w:color w:val="0F4761" w:themeColor="accent1" w:themeShade="BF"/>
    </w:rPr>
  </w:style>
  <w:style w:type="character" w:styleId="IntenseReference">
    <w:name w:val="Intense Reference"/>
    <w:basedOn w:val="DefaultParagraphFont"/>
    <w:uiPriority w:val="32"/>
    <w:qFormat/>
    <w:rsid w:val="001352A8"/>
    <w:rPr>
      <w:b/>
      <w:bCs/>
      <w:smallCaps/>
      <w:color w:val="0F4761" w:themeColor="accent1" w:themeShade="BF"/>
      <w:spacing w:val="5"/>
    </w:rPr>
  </w:style>
  <w:style w:type="paragraph" w:styleId="HTMLPreformatted">
    <w:name w:val="HTML Preformatted"/>
    <w:basedOn w:val="Normal"/>
    <w:link w:val="HTMLPreformattedChar"/>
    <w:uiPriority w:val="99"/>
    <w:semiHidden/>
    <w:unhideWhenUsed/>
    <w:rsid w:val="00967476"/>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967476"/>
    <w:rPr>
      <w:rFonts w:ascii="Consolas" w:hAnsi="Consolas"/>
      <w:sz w:val="20"/>
      <w:szCs w:val="20"/>
    </w:rPr>
  </w:style>
  <w:style w:type="table" w:customStyle="1" w:styleId="Table">
    <w:name w:val="Table"/>
    <w:semiHidden/>
    <w:unhideWhenUsed/>
    <w:qFormat/>
    <w:rsid w:val="002111A3"/>
    <w:pPr>
      <w:spacing w:after="200" w:line="240" w:lineRule="auto"/>
    </w:pPr>
    <w:rPr>
      <w:kern w:val="0"/>
      <w:sz w:val="24"/>
      <w:szCs w:val="24"/>
      <w:lang w:val="en-US" w:eastAsia="en-IE"/>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styleId="Hyperlink">
    <w:name w:val="Hyperlink"/>
    <w:basedOn w:val="DefaultParagraphFont"/>
    <w:uiPriority w:val="99"/>
    <w:unhideWhenUsed/>
    <w:rsid w:val="00D23380"/>
    <w:rPr>
      <w:color w:val="467886" w:themeColor="hyperlink"/>
      <w:u w:val="single"/>
    </w:rPr>
  </w:style>
  <w:style w:type="character" w:styleId="UnresolvedMention">
    <w:name w:val="Unresolved Mention"/>
    <w:basedOn w:val="DefaultParagraphFont"/>
    <w:uiPriority w:val="99"/>
    <w:semiHidden/>
    <w:unhideWhenUsed/>
    <w:rsid w:val="00D23380"/>
    <w:rPr>
      <w:color w:val="605E5C"/>
      <w:shd w:val="clear" w:color="auto" w:fill="E1DFDD"/>
    </w:rPr>
  </w:style>
  <w:style w:type="character" w:styleId="CommentReference">
    <w:name w:val="annotation reference"/>
    <w:basedOn w:val="DefaultParagraphFont"/>
    <w:uiPriority w:val="99"/>
    <w:semiHidden/>
    <w:unhideWhenUsed/>
    <w:rsid w:val="008B4632"/>
    <w:rPr>
      <w:sz w:val="16"/>
      <w:szCs w:val="16"/>
    </w:rPr>
  </w:style>
  <w:style w:type="paragraph" w:styleId="CommentText">
    <w:name w:val="annotation text"/>
    <w:basedOn w:val="Normal"/>
    <w:link w:val="CommentTextChar"/>
    <w:uiPriority w:val="99"/>
    <w:unhideWhenUsed/>
    <w:rsid w:val="008B4632"/>
    <w:pPr>
      <w:spacing w:line="240" w:lineRule="auto"/>
    </w:pPr>
    <w:rPr>
      <w:sz w:val="20"/>
      <w:szCs w:val="20"/>
    </w:rPr>
  </w:style>
  <w:style w:type="character" w:customStyle="1" w:styleId="CommentTextChar">
    <w:name w:val="Comment Text Char"/>
    <w:basedOn w:val="DefaultParagraphFont"/>
    <w:link w:val="CommentText"/>
    <w:uiPriority w:val="99"/>
    <w:rsid w:val="008B4632"/>
    <w:rPr>
      <w:sz w:val="20"/>
      <w:szCs w:val="20"/>
    </w:rPr>
  </w:style>
  <w:style w:type="paragraph" w:styleId="CommentSubject">
    <w:name w:val="annotation subject"/>
    <w:basedOn w:val="CommentText"/>
    <w:next w:val="CommentText"/>
    <w:link w:val="CommentSubjectChar"/>
    <w:uiPriority w:val="99"/>
    <w:semiHidden/>
    <w:unhideWhenUsed/>
    <w:rsid w:val="008B4632"/>
    <w:rPr>
      <w:b/>
      <w:bCs/>
    </w:rPr>
  </w:style>
  <w:style w:type="character" w:customStyle="1" w:styleId="CommentSubjectChar">
    <w:name w:val="Comment Subject Char"/>
    <w:basedOn w:val="CommentTextChar"/>
    <w:link w:val="CommentSubject"/>
    <w:uiPriority w:val="99"/>
    <w:semiHidden/>
    <w:rsid w:val="008B4632"/>
    <w:rPr>
      <w:b/>
      <w:bCs/>
      <w:sz w:val="20"/>
      <w:szCs w:val="20"/>
    </w:rPr>
  </w:style>
  <w:style w:type="table" w:styleId="TableGrid">
    <w:name w:val="Table Grid"/>
    <w:basedOn w:val="TableNormal"/>
    <w:uiPriority w:val="39"/>
    <w:rsid w:val="003561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668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68BB"/>
  </w:style>
  <w:style w:type="paragraph" w:styleId="Footer">
    <w:name w:val="footer"/>
    <w:basedOn w:val="Normal"/>
    <w:link w:val="FooterChar"/>
    <w:uiPriority w:val="99"/>
    <w:unhideWhenUsed/>
    <w:rsid w:val="007668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68BB"/>
  </w:style>
  <w:style w:type="paragraph" w:styleId="TOCHeading">
    <w:name w:val="TOC Heading"/>
    <w:basedOn w:val="Heading1"/>
    <w:next w:val="Normal"/>
    <w:uiPriority w:val="39"/>
    <w:unhideWhenUsed/>
    <w:qFormat/>
    <w:rsid w:val="00307ADB"/>
    <w:pPr>
      <w:spacing w:before="240" w:after="0"/>
      <w:outlineLvl w:val="9"/>
    </w:pPr>
    <w:rPr>
      <w:kern w:val="0"/>
      <w:sz w:val="32"/>
      <w:szCs w:val="32"/>
      <w:lang w:val="en-US"/>
      <w14:ligatures w14:val="none"/>
    </w:rPr>
  </w:style>
  <w:style w:type="paragraph" w:styleId="TOC1">
    <w:name w:val="toc 1"/>
    <w:basedOn w:val="Normal"/>
    <w:next w:val="Normal"/>
    <w:autoRedefine/>
    <w:uiPriority w:val="39"/>
    <w:unhideWhenUsed/>
    <w:rsid w:val="00307ADB"/>
    <w:pPr>
      <w:spacing w:after="100"/>
    </w:pPr>
  </w:style>
  <w:style w:type="paragraph" w:styleId="TOC3">
    <w:name w:val="toc 3"/>
    <w:basedOn w:val="Normal"/>
    <w:next w:val="Normal"/>
    <w:autoRedefine/>
    <w:uiPriority w:val="39"/>
    <w:unhideWhenUsed/>
    <w:rsid w:val="00307ADB"/>
    <w:pPr>
      <w:spacing w:after="100"/>
      <w:ind w:left="440"/>
    </w:pPr>
  </w:style>
  <w:style w:type="paragraph" w:styleId="TOC2">
    <w:name w:val="toc 2"/>
    <w:basedOn w:val="Normal"/>
    <w:next w:val="Normal"/>
    <w:autoRedefine/>
    <w:uiPriority w:val="39"/>
    <w:unhideWhenUsed/>
    <w:rsid w:val="00307ADB"/>
    <w:pPr>
      <w:spacing w:after="100"/>
      <w:ind w:left="220"/>
    </w:pPr>
  </w:style>
  <w:style w:type="paragraph" w:styleId="Revision">
    <w:name w:val="Revision"/>
    <w:hidden/>
    <w:uiPriority w:val="99"/>
    <w:semiHidden/>
    <w:rsid w:val="00FA6775"/>
    <w:pPr>
      <w:spacing w:after="0" w:line="240" w:lineRule="auto"/>
    </w:pPr>
  </w:style>
  <w:style w:type="paragraph" w:customStyle="1" w:styleId="TableCaption">
    <w:name w:val="Table Caption"/>
    <w:basedOn w:val="Normal"/>
    <w:qFormat/>
    <w:rsid w:val="004D3697"/>
    <w:pPr>
      <w:spacing w:after="0" w:line="240" w:lineRule="auto"/>
      <w:jc w:val="center"/>
    </w:pPr>
    <w:rPr>
      <w:rFonts w:eastAsiaTheme="minorEastAsia"/>
      <w:b/>
      <w:i/>
      <w:kern w:val="0"/>
      <w:szCs w:val="24"/>
      <w:lang w:val="en-US"/>
      <w14:ligatures w14:val="none"/>
    </w:rPr>
  </w:style>
  <w:style w:type="character" w:styleId="LineNumber">
    <w:name w:val="line number"/>
    <w:basedOn w:val="DefaultParagraphFont"/>
    <w:uiPriority w:val="99"/>
    <w:semiHidden/>
    <w:unhideWhenUsed/>
    <w:rsid w:val="00DF57D9"/>
  </w:style>
  <w:style w:type="paragraph" w:styleId="FootnoteText">
    <w:name w:val="footnote text"/>
    <w:basedOn w:val="Normal"/>
    <w:link w:val="FootnoteTextChar"/>
    <w:uiPriority w:val="99"/>
    <w:semiHidden/>
    <w:unhideWhenUsed/>
    <w:rsid w:val="00D96F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96F5F"/>
    <w:rPr>
      <w:rFonts w:ascii="Times New Roman" w:hAnsi="Times New Roman"/>
      <w:sz w:val="20"/>
      <w:szCs w:val="20"/>
    </w:rPr>
  </w:style>
  <w:style w:type="character" w:styleId="FootnoteReference">
    <w:name w:val="footnote reference"/>
    <w:basedOn w:val="DefaultParagraphFont"/>
    <w:uiPriority w:val="99"/>
    <w:semiHidden/>
    <w:unhideWhenUsed/>
    <w:rsid w:val="00D96F5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47931">
      <w:bodyDiv w:val="1"/>
      <w:marLeft w:val="0"/>
      <w:marRight w:val="0"/>
      <w:marTop w:val="0"/>
      <w:marBottom w:val="0"/>
      <w:divBdr>
        <w:top w:val="none" w:sz="0" w:space="0" w:color="auto"/>
        <w:left w:val="none" w:sz="0" w:space="0" w:color="auto"/>
        <w:bottom w:val="none" w:sz="0" w:space="0" w:color="auto"/>
        <w:right w:val="none" w:sz="0" w:space="0" w:color="auto"/>
      </w:divBdr>
    </w:div>
    <w:div w:id="18745273">
      <w:bodyDiv w:val="1"/>
      <w:marLeft w:val="0"/>
      <w:marRight w:val="0"/>
      <w:marTop w:val="0"/>
      <w:marBottom w:val="0"/>
      <w:divBdr>
        <w:top w:val="none" w:sz="0" w:space="0" w:color="auto"/>
        <w:left w:val="none" w:sz="0" w:space="0" w:color="auto"/>
        <w:bottom w:val="none" w:sz="0" w:space="0" w:color="auto"/>
        <w:right w:val="none" w:sz="0" w:space="0" w:color="auto"/>
      </w:divBdr>
    </w:div>
    <w:div w:id="25910188">
      <w:bodyDiv w:val="1"/>
      <w:marLeft w:val="0"/>
      <w:marRight w:val="0"/>
      <w:marTop w:val="0"/>
      <w:marBottom w:val="0"/>
      <w:divBdr>
        <w:top w:val="none" w:sz="0" w:space="0" w:color="auto"/>
        <w:left w:val="none" w:sz="0" w:space="0" w:color="auto"/>
        <w:bottom w:val="none" w:sz="0" w:space="0" w:color="auto"/>
        <w:right w:val="none" w:sz="0" w:space="0" w:color="auto"/>
      </w:divBdr>
    </w:div>
    <w:div w:id="91055302">
      <w:bodyDiv w:val="1"/>
      <w:marLeft w:val="0"/>
      <w:marRight w:val="0"/>
      <w:marTop w:val="0"/>
      <w:marBottom w:val="0"/>
      <w:divBdr>
        <w:top w:val="none" w:sz="0" w:space="0" w:color="auto"/>
        <w:left w:val="none" w:sz="0" w:space="0" w:color="auto"/>
        <w:bottom w:val="none" w:sz="0" w:space="0" w:color="auto"/>
        <w:right w:val="none" w:sz="0" w:space="0" w:color="auto"/>
      </w:divBdr>
    </w:div>
    <w:div w:id="135924525">
      <w:bodyDiv w:val="1"/>
      <w:marLeft w:val="0"/>
      <w:marRight w:val="0"/>
      <w:marTop w:val="0"/>
      <w:marBottom w:val="0"/>
      <w:divBdr>
        <w:top w:val="none" w:sz="0" w:space="0" w:color="auto"/>
        <w:left w:val="none" w:sz="0" w:space="0" w:color="auto"/>
        <w:bottom w:val="none" w:sz="0" w:space="0" w:color="auto"/>
        <w:right w:val="none" w:sz="0" w:space="0" w:color="auto"/>
      </w:divBdr>
    </w:div>
    <w:div w:id="273906328">
      <w:bodyDiv w:val="1"/>
      <w:marLeft w:val="0"/>
      <w:marRight w:val="0"/>
      <w:marTop w:val="0"/>
      <w:marBottom w:val="0"/>
      <w:divBdr>
        <w:top w:val="none" w:sz="0" w:space="0" w:color="auto"/>
        <w:left w:val="none" w:sz="0" w:space="0" w:color="auto"/>
        <w:bottom w:val="none" w:sz="0" w:space="0" w:color="auto"/>
        <w:right w:val="none" w:sz="0" w:space="0" w:color="auto"/>
      </w:divBdr>
    </w:div>
    <w:div w:id="302807183">
      <w:bodyDiv w:val="1"/>
      <w:marLeft w:val="0"/>
      <w:marRight w:val="0"/>
      <w:marTop w:val="0"/>
      <w:marBottom w:val="0"/>
      <w:divBdr>
        <w:top w:val="none" w:sz="0" w:space="0" w:color="auto"/>
        <w:left w:val="none" w:sz="0" w:space="0" w:color="auto"/>
        <w:bottom w:val="none" w:sz="0" w:space="0" w:color="auto"/>
        <w:right w:val="none" w:sz="0" w:space="0" w:color="auto"/>
      </w:divBdr>
    </w:div>
    <w:div w:id="305669047">
      <w:bodyDiv w:val="1"/>
      <w:marLeft w:val="0"/>
      <w:marRight w:val="0"/>
      <w:marTop w:val="0"/>
      <w:marBottom w:val="0"/>
      <w:divBdr>
        <w:top w:val="none" w:sz="0" w:space="0" w:color="auto"/>
        <w:left w:val="none" w:sz="0" w:space="0" w:color="auto"/>
        <w:bottom w:val="none" w:sz="0" w:space="0" w:color="auto"/>
        <w:right w:val="none" w:sz="0" w:space="0" w:color="auto"/>
      </w:divBdr>
    </w:div>
    <w:div w:id="338124803">
      <w:bodyDiv w:val="1"/>
      <w:marLeft w:val="0"/>
      <w:marRight w:val="0"/>
      <w:marTop w:val="0"/>
      <w:marBottom w:val="0"/>
      <w:divBdr>
        <w:top w:val="none" w:sz="0" w:space="0" w:color="auto"/>
        <w:left w:val="none" w:sz="0" w:space="0" w:color="auto"/>
        <w:bottom w:val="none" w:sz="0" w:space="0" w:color="auto"/>
        <w:right w:val="none" w:sz="0" w:space="0" w:color="auto"/>
      </w:divBdr>
    </w:div>
    <w:div w:id="389501429">
      <w:bodyDiv w:val="1"/>
      <w:marLeft w:val="0"/>
      <w:marRight w:val="0"/>
      <w:marTop w:val="0"/>
      <w:marBottom w:val="0"/>
      <w:divBdr>
        <w:top w:val="none" w:sz="0" w:space="0" w:color="auto"/>
        <w:left w:val="none" w:sz="0" w:space="0" w:color="auto"/>
        <w:bottom w:val="none" w:sz="0" w:space="0" w:color="auto"/>
        <w:right w:val="none" w:sz="0" w:space="0" w:color="auto"/>
      </w:divBdr>
    </w:div>
    <w:div w:id="424347722">
      <w:bodyDiv w:val="1"/>
      <w:marLeft w:val="0"/>
      <w:marRight w:val="0"/>
      <w:marTop w:val="0"/>
      <w:marBottom w:val="0"/>
      <w:divBdr>
        <w:top w:val="none" w:sz="0" w:space="0" w:color="auto"/>
        <w:left w:val="none" w:sz="0" w:space="0" w:color="auto"/>
        <w:bottom w:val="none" w:sz="0" w:space="0" w:color="auto"/>
        <w:right w:val="none" w:sz="0" w:space="0" w:color="auto"/>
      </w:divBdr>
    </w:div>
    <w:div w:id="506529452">
      <w:bodyDiv w:val="1"/>
      <w:marLeft w:val="0"/>
      <w:marRight w:val="0"/>
      <w:marTop w:val="0"/>
      <w:marBottom w:val="0"/>
      <w:divBdr>
        <w:top w:val="none" w:sz="0" w:space="0" w:color="auto"/>
        <w:left w:val="none" w:sz="0" w:space="0" w:color="auto"/>
        <w:bottom w:val="none" w:sz="0" w:space="0" w:color="auto"/>
        <w:right w:val="none" w:sz="0" w:space="0" w:color="auto"/>
      </w:divBdr>
    </w:div>
    <w:div w:id="536359597">
      <w:bodyDiv w:val="1"/>
      <w:marLeft w:val="0"/>
      <w:marRight w:val="0"/>
      <w:marTop w:val="0"/>
      <w:marBottom w:val="0"/>
      <w:divBdr>
        <w:top w:val="none" w:sz="0" w:space="0" w:color="auto"/>
        <w:left w:val="none" w:sz="0" w:space="0" w:color="auto"/>
        <w:bottom w:val="none" w:sz="0" w:space="0" w:color="auto"/>
        <w:right w:val="none" w:sz="0" w:space="0" w:color="auto"/>
      </w:divBdr>
    </w:div>
    <w:div w:id="608507517">
      <w:bodyDiv w:val="1"/>
      <w:marLeft w:val="0"/>
      <w:marRight w:val="0"/>
      <w:marTop w:val="0"/>
      <w:marBottom w:val="0"/>
      <w:divBdr>
        <w:top w:val="none" w:sz="0" w:space="0" w:color="auto"/>
        <w:left w:val="none" w:sz="0" w:space="0" w:color="auto"/>
        <w:bottom w:val="none" w:sz="0" w:space="0" w:color="auto"/>
        <w:right w:val="none" w:sz="0" w:space="0" w:color="auto"/>
      </w:divBdr>
    </w:div>
    <w:div w:id="617878713">
      <w:bodyDiv w:val="1"/>
      <w:marLeft w:val="0"/>
      <w:marRight w:val="0"/>
      <w:marTop w:val="0"/>
      <w:marBottom w:val="0"/>
      <w:divBdr>
        <w:top w:val="none" w:sz="0" w:space="0" w:color="auto"/>
        <w:left w:val="none" w:sz="0" w:space="0" w:color="auto"/>
        <w:bottom w:val="none" w:sz="0" w:space="0" w:color="auto"/>
        <w:right w:val="none" w:sz="0" w:space="0" w:color="auto"/>
      </w:divBdr>
    </w:div>
    <w:div w:id="625506645">
      <w:bodyDiv w:val="1"/>
      <w:marLeft w:val="0"/>
      <w:marRight w:val="0"/>
      <w:marTop w:val="0"/>
      <w:marBottom w:val="0"/>
      <w:divBdr>
        <w:top w:val="none" w:sz="0" w:space="0" w:color="auto"/>
        <w:left w:val="none" w:sz="0" w:space="0" w:color="auto"/>
        <w:bottom w:val="none" w:sz="0" w:space="0" w:color="auto"/>
        <w:right w:val="none" w:sz="0" w:space="0" w:color="auto"/>
      </w:divBdr>
    </w:div>
    <w:div w:id="653143545">
      <w:bodyDiv w:val="1"/>
      <w:marLeft w:val="0"/>
      <w:marRight w:val="0"/>
      <w:marTop w:val="0"/>
      <w:marBottom w:val="0"/>
      <w:divBdr>
        <w:top w:val="none" w:sz="0" w:space="0" w:color="auto"/>
        <w:left w:val="none" w:sz="0" w:space="0" w:color="auto"/>
        <w:bottom w:val="none" w:sz="0" w:space="0" w:color="auto"/>
        <w:right w:val="none" w:sz="0" w:space="0" w:color="auto"/>
      </w:divBdr>
    </w:div>
    <w:div w:id="769812537">
      <w:bodyDiv w:val="1"/>
      <w:marLeft w:val="0"/>
      <w:marRight w:val="0"/>
      <w:marTop w:val="0"/>
      <w:marBottom w:val="0"/>
      <w:divBdr>
        <w:top w:val="none" w:sz="0" w:space="0" w:color="auto"/>
        <w:left w:val="none" w:sz="0" w:space="0" w:color="auto"/>
        <w:bottom w:val="none" w:sz="0" w:space="0" w:color="auto"/>
        <w:right w:val="none" w:sz="0" w:space="0" w:color="auto"/>
      </w:divBdr>
    </w:div>
    <w:div w:id="788865533">
      <w:bodyDiv w:val="1"/>
      <w:marLeft w:val="0"/>
      <w:marRight w:val="0"/>
      <w:marTop w:val="0"/>
      <w:marBottom w:val="0"/>
      <w:divBdr>
        <w:top w:val="none" w:sz="0" w:space="0" w:color="auto"/>
        <w:left w:val="none" w:sz="0" w:space="0" w:color="auto"/>
        <w:bottom w:val="none" w:sz="0" w:space="0" w:color="auto"/>
        <w:right w:val="none" w:sz="0" w:space="0" w:color="auto"/>
      </w:divBdr>
    </w:div>
    <w:div w:id="813060068">
      <w:bodyDiv w:val="1"/>
      <w:marLeft w:val="0"/>
      <w:marRight w:val="0"/>
      <w:marTop w:val="0"/>
      <w:marBottom w:val="0"/>
      <w:divBdr>
        <w:top w:val="none" w:sz="0" w:space="0" w:color="auto"/>
        <w:left w:val="none" w:sz="0" w:space="0" w:color="auto"/>
        <w:bottom w:val="none" w:sz="0" w:space="0" w:color="auto"/>
        <w:right w:val="none" w:sz="0" w:space="0" w:color="auto"/>
      </w:divBdr>
    </w:div>
    <w:div w:id="959841649">
      <w:bodyDiv w:val="1"/>
      <w:marLeft w:val="0"/>
      <w:marRight w:val="0"/>
      <w:marTop w:val="0"/>
      <w:marBottom w:val="0"/>
      <w:divBdr>
        <w:top w:val="none" w:sz="0" w:space="0" w:color="auto"/>
        <w:left w:val="none" w:sz="0" w:space="0" w:color="auto"/>
        <w:bottom w:val="none" w:sz="0" w:space="0" w:color="auto"/>
        <w:right w:val="none" w:sz="0" w:space="0" w:color="auto"/>
      </w:divBdr>
    </w:div>
    <w:div w:id="1034846047">
      <w:bodyDiv w:val="1"/>
      <w:marLeft w:val="0"/>
      <w:marRight w:val="0"/>
      <w:marTop w:val="0"/>
      <w:marBottom w:val="0"/>
      <w:divBdr>
        <w:top w:val="none" w:sz="0" w:space="0" w:color="auto"/>
        <w:left w:val="none" w:sz="0" w:space="0" w:color="auto"/>
        <w:bottom w:val="none" w:sz="0" w:space="0" w:color="auto"/>
        <w:right w:val="none" w:sz="0" w:space="0" w:color="auto"/>
      </w:divBdr>
    </w:div>
    <w:div w:id="1055273152">
      <w:bodyDiv w:val="1"/>
      <w:marLeft w:val="0"/>
      <w:marRight w:val="0"/>
      <w:marTop w:val="0"/>
      <w:marBottom w:val="0"/>
      <w:divBdr>
        <w:top w:val="none" w:sz="0" w:space="0" w:color="auto"/>
        <w:left w:val="none" w:sz="0" w:space="0" w:color="auto"/>
        <w:bottom w:val="none" w:sz="0" w:space="0" w:color="auto"/>
        <w:right w:val="none" w:sz="0" w:space="0" w:color="auto"/>
      </w:divBdr>
    </w:div>
    <w:div w:id="1055855806">
      <w:bodyDiv w:val="1"/>
      <w:marLeft w:val="0"/>
      <w:marRight w:val="0"/>
      <w:marTop w:val="0"/>
      <w:marBottom w:val="0"/>
      <w:divBdr>
        <w:top w:val="none" w:sz="0" w:space="0" w:color="auto"/>
        <w:left w:val="none" w:sz="0" w:space="0" w:color="auto"/>
        <w:bottom w:val="none" w:sz="0" w:space="0" w:color="auto"/>
        <w:right w:val="none" w:sz="0" w:space="0" w:color="auto"/>
      </w:divBdr>
      <w:divsChild>
        <w:div w:id="768813864">
          <w:marLeft w:val="0"/>
          <w:marRight w:val="0"/>
          <w:marTop w:val="240"/>
          <w:marBottom w:val="240"/>
          <w:divBdr>
            <w:top w:val="none" w:sz="0" w:space="0" w:color="auto"/>
            <w:left w:val="none" w:sz="0" w:space="0" w:color="auto"/>
            <w:bottom w:val="none" w:sz="0" w:space="0" w:color="auto"/>
            <w:right w:val="none" w:sz="0" w:space="0" w:color="auto"/>
          </w:divBdr>
        </w:div>
      </w:divsChild>
    </w:div>
    <w:div w:id="1122918088">
      <w:bodyDiv w:val="1"/>
      <w:marLeft w:val="0"/>
      <w:marRight w:val="0"/>
      <w:marTop w:val="0"/>
      <w:marBottom w:val="0"/>
      <w:divBdr>
        <w:top w:val="none" w:sz="0" w:space="0" w:color="auto"/>
        <w:left w:val="none" w:sz="0" w:space="0" w:color="auto"/>
        <w:bottom w:val="none" w:sz="0" w:space="0" w:color="auto"/>
        <w:right w:val="none" w:sz="0" w:space="0" w:color="auto"/>
      </w:divBdr>
    </w:div>
    <w:div w:id="1143041551">
      <w:bodyDiv w:val="1"/>
      <w:marLeft w:val="0"/>
      <w:marRight w:val="0"/>
      <w:marTop w:val="0"/>
      <w:marBottom w:val="0"/>
      <w:divBdr>
        <w:top w:val="none" w:sz="0" w:space="0" w:color="auto"/>
        <w:left w:val="none" w:sz="0" w:space="0" w:color="auto"/>
        <w:bottom w:val="none" w:sz="0" w:space="0" w:color="auto"/>
        <w:right w:val="none" w:sz="0" w:space="0" w:color="auto"/>
      </w:divBdr>
    </w:div>
    <w:div w:id="1246112302">
      <w:bodyDiv w:val="1"/>
      <w:marLeft w:val="0"/>
      <w:marRight w:val="0"/>
      <w:marTop w:val="0"/>
      <w:marBottom w:val="0"/>
      <w:divBdr>
        <w:top w:val="none" w:sz="0" w:space="0" w:color="auto"/>
        <w:left w:val="none" w:sz="0" w:space="0" w:color="auto"/>
        <w:bottom w:val="none" w:sz="0" w:space="0" w:color="auto"/>
        <w:right w:val="none" w:sz="0" w:space="0" w:color="auto"/>
      </w:divBdr>
    </w:div>
    <w:div w:id="1327592330">
      <w:bodyDiv w:val="1"/>
      <w:marLeft w:val="0"/>
      <w:marRight w:val="0"/>
      <w:marTop w:val="0"/>
      <w:marBottom w:val="0"/>
      <w:divBdr>
        <w:top w:val="none" w:sz="0" w:space="0" w:color="auto"/>
        <w:left w:val="none" w:sz="0" w:space="0" w:color="auto"/>
        <w:bottom w:val="none" w:sz="0" w:space="0" w:color="auto"/>
        <w:right w:val="none" w:sz="0" w:space="0" w:color="auto"/>
      </w:divBdr>
    </w:div>
    <w:div w:id="1368138818">
      <w:bodyDiv w:val="1"/>
      <w:marLeft w:val="0"/>
      <w:marRight w:val="0"/>
      <w:marTop w:val="0"/>
      <w:marBottom w:val="0"/>
      <w:divBdr>
        <w:top w:val="none" w:sz="0" w:space="0" w:color="auto"/>
        <w:left w:val="none" w:sz="0" w:space="0" w:color="auto"/>
        <w:bottom w:val="none" w:sz="0" w:space="0" w:color="auto"/>
        <w:right w:val="none" w:sz="0" w:space="0" w:color="auto"/>
      </w:divBdr>
    </w:div>
    <w:div w:id="1393626337">
      <w:bodyDiv w:val="1"/>
      <w:marLeft w:val="0"/>
      <w:marRight w:val="0"/>
      <w:marTop w:val="0"/>
      <w:marBottom w:val="0"/>
      <w:divBdr>
        <w:top w:val="none" w:sz="0" w:space="0" w:color="auto"/>
        <w:left w:val="none" w:sz="0" w:space="0" w:color="auto"/>
        <w:bottom w:val="none" w:sz="0" w:space="0" w:color="auto"/>
        <w:right w:val="none" w:sz="0" w:space="0" w:color="auto"/>
      </w:divBdr>
    </w:div>
    <w:div w:id="1563058106">
      <w:bodyDiv w:val="1"/>
      <w:marLeft w:val="0"/>
      <w:marRight w:val="0"/>
      <w:marTop w:val="0"/>
      <w:marBottom w:val="0"/>
      <w:divBdr>
        <w:top w:val="none" w:sz="0" w:space="0" w:color="auto"/>
        <w:left w:val="none" w:sz="0" w:space="0" w:color="auto"/>
        <w:bottom w:val="none" w:sz="0" w:space="0" w:color="auto"/>
        <w:right w:val="none" w:sz="0" w:space="0" w:color="auto"/>
      </w:divBdr>
    </w:div>
    <w:div w:id="1708023988">
      <w:bodyDiv w:val="1"/>
      <w:marLeft w:val="0"/>
      <w:marRight w:val="0"/>
      <w:marTop w:val="0"/>
      <w:marBottom w:val="0"/>
      <w:divBdr>
        <w:top w:val="none" w:sz="0" w:space="0" w:color="auto"/>
        <w:left w:val="none" w:sz="0" w:space="0" w:color="auto"/>
        <w:bottom w:val="none" w:sz="0" w:space="0" w:color="auto"/>
        <w:right w:val="none" w:sz="0" w:space="0" w:color="auto"/>
      </w:divBdr>
    </w:div>
    <w:div w:id="1755585991">
      <w:bodyDiv w:val="1"/>
      <w:marLeft w:val="0"/>
      <w:marRight w:val="0"/>
      <w:marTop w:val="0"/>
      <w:marBottom w:val="0"/>
      <w:divBdr>
        <w:top w:val="none" w:sz="0" w:space="0" w:color="auto"/>
        <w:left w:val="none" w:sz="0" w:space="0" w:color="auto"/>
        <w:bottom w:val="none" w:sz="0" w:space="0" w:color="auto"/>
        <w:right w:val="none" w:sz="0" w:space="0" w:color="auto"/>
      </w:divBdr>
    </w:div>
    <w:div w:id="1778482877">
      <w:bodyDiv w:val="1"/>
      <w:marLeft w:val="0"/>
      <w:marRight w:val="0"/>
      <w:marTop w:val="0"/>
      <w:marBottom w:val="0"/>
      <w:divBdr>
        <w:top w:val="none" w:sz="0" w:space="0" w:color="auto"/>
        <w:left w:val="none" w:sz="0" w:space="0" w:color="auto"/>
        <w:bottom w:val="none" w:sz="0" w:space="0" w:color="auto"/>
        <w:right w:val="none" w:sz="0" w:space="0" w:color="auto"/>
      </w:divBdr>
      <w:divsChild>
        <w:div w:id="306782061">
          <w:marLeft w:val="0"/>
          <w:marRight w:val="0"/>
          <w:marTop w:val="0"/>
          <w:marBottom w:val="0"/>
          <w:divBdr>
            <w:top w:val="none" w:sz="0" w:space="0" w:color="auto"/>
            <w:left w:val="none" w:sz="0" w:space="0" w:color="auto"/>
            <w:bottom w:val="none" w:sz="0" w:space="0" w:color="auto"/>
            <w:right w:val="none" w:sz="0" w:space="0" w:color="auto"/>
          </w:divBdr>
          <w:divsChild>
            <w:div w:id="144012750">
              <w:marLeft w:val="0"/>
              <w:marRight w:val="0"/>
              <w:marTop w:val="0"/>
              <w:marBottom w:val="0"/>
              <w:divBdr>
                <w:top w:val="none" w:sz="0" w:space="0" w:color="auto"/>
                <w:left w:val="none" w:sz="0" w:space="0" w:color="auto"/>
                <w:bottom w:val="none" w:sz="0" w:space="0" w:color="auto"/>
                <w:right w:val="none" w:sz="0" w:space="0" w:color="auto"/>
              </w:divBdr>
            </w:div>
          </w:divsChild>
        </w:div>
        <w:div w:id="196160057">
          <w:marLeft w:val="0"/>
          <w:marRight w:val="0"/>
          <w:marTop w:val="0"/>
          <w:marBottom w:val="0"/>
          <w:divBdr>
            <w:top w:val="none" w:sz="0" w:space="0" w:color="auto"/>
            <w:left w:val="none" w:sz="0" w:space="0" w:color="auto"/>
            <w:bottom w:val="none" w:sz="0" w:space="0" w:color="auto"/>
            <w:right w:val="none" w:sz="0" w:space="0" w:color="auto"/>
          </w:divBdr>
          <w:divsChild>
            <w:div w:id="2005012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40076">
      <w:bodyDiv w:val="1"/>
      <w:marLeft w:val="0"/>
      <w:marRight w:val="0"/>
      <w:marTop w:val="0"/>
      <w:marBottom w:val="0"/>
      <w:divBdr>
        <w:top w:val="none" w:sz="0" w:space="0" w:color="auto"/>
        <w:left w:val="none" w:sz="0" w:space="0" w:color="auto"/>
        <w:bottom w:val="none" w:sz="0" w:space="0" w:color="auto"/>
        <w:right w:val="none" w:sz="0" w:space="0" w:color="auto"/>
      </w:divBdr>
    </w:div>
    <w:div w:id="2053994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CD30AD-3E62-49A4-AB92-FB4EAA372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6317</Words>
  <Characters>36009</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Casey</dc:creator>
  <cp:keywords/>
  <dc:description/>
  <cp:lastModifiedBy>Miriam Casey</cp:lastModifiedBy>
  <cp:revision>2</cp:revision>
  <cp:lastPrinted>2025-03-12T13:36:00Z</cp:lastPrinted>
  <dcterms:created xsi:type="dcterms:W3CDTF">2025-04-04T14:51:00Z</dcterms:created>
  <dcterms:modified xsi:type="dcterms:W3CDTF">2025-04-04T14:51:00Z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47bd94c2-9b1d-329e-b2dc-a7867198a042</vt:lpwstr>
  </property>
  <property fmtid="{D5CDD505-2E9C-101B-9397-08002B2CF9AE}" pid="4" name="Mendeley Citation Style_1">
    <vt:lpwstr>http://www.zotero.org/styles/preventive-veterinary-medicine</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http://www.zotero.org/styles/chicago-author-date</vt:lpwstr>
  </property>
  <property fmtid="{D5CDD505-2E9C-101B-9397-08002B2CF9AE}" pid="8" name="Mendeley Recent Style Name 1_1">
    <vt:lpwstr>Chicago Manual of Style 17th edition (author-date)</vt:lpwstr>
  </property>
  <property fmtid="{D5CDD505-2E9C-101B-9397-08002B2CF9AE}" pid="9" name="Mendeley Recent Style Id 2_1">
    <vt:lpwstr>http://www.zotero.org/styles/harvard-cite-them-right</vt:lpwstr>
  </property>
  <property fmtid="{D5CDD505-2E9C-101B-9397-08002B2CF9AE}" pid="10" name="Mendeley Recent Style Name 2_1">
    <vt:lpwstr>Cite Them Right 10th edition - Harvard</vt:lpwstr>
  </property>
  <property fmtid="{D5CDD505-2E9C-101B-9397-08002B2CF9AE}" pid="11" name="Mendeley Recent Style Id 3_1">
    <vt:lpwstr>http://www.zotero.org/styles/ieee</vt:lpwstr>
  </property>
  <property fmtid="{D5CDD505-2E9C-101B-9397-08002B2CF9AE}" pid="12" name="Mendeley Recent Style Name 3_1">
    <vt:lpwstr>IEEE</vt:lpwstr>
  </property>
  <property fmtid="{D5CDD505-2E9C-101B-9397-08002B2CF9AE}" pid="13" name="Mendeley Recent Style Id 4_1">
    <vt:lpwstr>http://www.zotero.org/styles/journal-of-general-virology</vt:lpwstr>
  </property>
  <property fmtid="{D5CDD505-2E9C-101B-9397-08002B2CF9AE}" pid="14" name="Mendeley Recent Style Name 4_1">
    <vt:lpwstr>Journal of General Virology</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8th edition</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http://www.zotero.org/styles/preventive-veterinary-medicine</vt:lpwstr>
  </property>
  <property fmtid="{D5CDD505-2E9C-101B-9397-08002B2CF9AE}" pid="22" name="Mendeley Recent Style Name 8_1">
    <vt:lpwstr>Preventive Veterinary Medicine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