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A92B0" w14:textId="6FF502BC" w:rsidR="00C242D8" w:rsidRPr="003E3203" w:rsidRDefault="004850D0" w:rsidP="00C242D8">
      <w:pPr>
        <w:spacing w:line="480" w:lineRule="auto"/>
        <w:jc w:val="center"/>
        <w:rPr>
          <w:rFonts w:ascii="Times New Roman" w:hAnsi="Times New Roman" w:cs="Times New Roman"/>
          <w:b/>
          <w:bCs/>
          <w:sz w:val="32"/>
        </w:rPr>
      </w:pPr>
      <w:r w:rsidRPr="003E3203">
        <w:rPr>
          <w:rFonts w:ascii="Times New Roman" w:hAnsi="Times New Roman" w:cs="Times New Roman"/>
          <w:b/>
          <w:bCs/>
          <w:sz w:val="32"/>
        </w:rPr>
        <w:t>Supp</w:t>
      </w:r>
      <w:r>
        <w:rPr>
          <w:rFonts w:ascii="Times New Roman" w:hAnsi="Times New Roman" w:cs="Times New Roman"/>
          <w:b/>
          <w:bCs/>
          <w:sz w:val="32"/>
        </w:rPr>
        <w:t>lementary</w:t>
      </w:r>
      <w:r w:rsidRPr="003E3203">
        <w:rPr>
          <w:rFonts w:ascii="Times New Roman" w:hAnsi="Times New Roman" w:cs="Times New Roman"/>
          <w:b/>
          <w:bCs/>
          <w:sz w:val="32"/>
        </w:rPr>
        <w:t xml:space="preserve"> </w:t>
      </w:r>
      <w:r w:rsidR="00C242D8" w:rsidRPr="003E3203">
        <w:rPr>
          <w:rFonts w:ascii="Times New Roman" w:hAnsi="Times New Roman" w:cs="Times New Roman"/>
          <w:b/>
          <w:bCs/>
          <w:sz w:val="32"/>
        </w:rPr>
        <w:t xml:space="preserve">Information </w:t>
      </w:r>
    </w:p>
    <w:p w14:paraId="68816BEA" w14:textId="048E20B4" w:rsidR="00537750" w:rsidRPr="003E3203" w:rsidRDefault="00537750" w:rsidP="00C242D8">
      <w:pPr>
        <w:spacing w:line="480" w:lineRule="auto"/>
        <w:jc w:val="center"/>
        <w:rPr>
          <w:rFonts w:ascii="Times New Roman" w:hAnsi="Times New Roman" w:cs="Times New Roman"/>
          <w:b/>
          <w:bCs/>
          <w:sz w:val="32"/>
        </w:rPr>
      </w:pPr>
      <w:r w:rsidRPr="003E3203">
        <w:rPr>
          <w:rFonts w:ascii="Times New Roman" w:hAnsi="Times New Roman" w:cs="Times New Roman"/>
          <w:b/>
          <w:bCs/>
          <w:sz w:val="32"/>
        </w:rPr>
        <w:t xml:space="preserve">Why Do Methane Emissions Occur? </w:t>
      </w:r>
      <w:r w:rsidR="0034280A">
        <w:rPr>
          <w:rFonts w:ascii="Times New Roman" w:hAnsi="Times New Roman" w:cs="Times New Roman"/>
          <w:b/>
          <w:bCs/>
          <w:sz w:val="32"/>
        </w:rPr>
        <w:t xml:space="preserve">Towards a Predictive Framework </w:t>
      </w:r>
      <w:r w:rsidRPr="003E3203">
        <w:rPr>
          <w:rFonts w:ascii="Times New Roman" w:hAnsi="Times New Roman" w:cs="Times New Roman"/>
          <w:b/>
          <w:bCs/>
          <w:sz w:val="32"/>
        </w:rPr>
        <w:t>for Risk-Targeted Mitigation in Oil and Gas Operations</w:t>
      </w:r>
    </w:p>
    <w:p w14:paraId="6637E3FC" w14:textId="5B64A60B" w:rsidR="00715321" w:rsidRPr="004920CB" w:rsidRDefault="00715321" w:rsidP="00715321">
      <w:pPr>
        <w:spacing w:line="480" w:lineRule="auto"/>
        <w:jc w:val="center"/>
        <w:rPr>
          <w:rFonts w:ascii="Times New Roman" w:hAnsi="Times New Roman" w:cs="Times New Roman"/>
          <w:bCs/>
          <w:i/>
          <w:iCs/>
          <w:sz w:val="24"/>
          <w:szCs w:val="24"/>
        </w:rPr>
      </w:pPr>
      <w:r w:rsidRPr="004920CB">
        <w:rPr>
          <w:rFonts w:ascii="Times New Roman" w:hAnsi="Times New Roman" w:cs="Times New Roman"/>
          <w:bCs/>
          <w:i/>
          <w:iCs/>
          <w:sz w:val="24"/>
          <w:szCs w:val="24"/>
        </w:rPr>
        <w:t xml:space="preserve">Abdulmuiz </w:t>
      </w:r>
      <w:r>
        <w:rPr>
          <w:rFonts w:ascii="Times New Roman" w:hAnsi="Times New Roman" w:cs="Times New Roman"/>
          <w:bCs/>
          <w:i/>
          <w:iCs/>
          <w:sz w:val="24"/>
          <w:szCs w:val="24"/>
        </w:rPr>
        <w:t xml:space="preserve">A. </w:t>
      </w:r>
      <w:proofErr w:type="gramStart"/>
      <w:r w:rsidRPr="004920CB">
        <w:rPr>
          <w:rFonts w:ascii="Times New Roman" w:hAnsi="Times New Roman" w:cs="Times New Roman"/>
          <w:bCs/>
          <w:i/>
          <w:iCs/>
          <w:sz w:val="24"/>
          <w:szCs w:val="24"/>
        </w:rPr>
        <w:t>Adekomi</w:t>
      </w:r>
      <w:r w:rsidRPr="004920CB">
        <w:rPr>
          <w:rFonts w:ascii="Times New Roman" w:hAnsi="Times New Roman" w:cs="Times New Roman"/>
          <w:bCs/>
          <w:i/>
          <w:iCs/>
          <w:sz w:val="24"/>
          <w:szCs w:val="24"/>
          <w:vertAlign w:val="superscript"/>
        </w:rPr>
        <w:t>a</w:t>
      </w:r>
      <w:r>
        <w:rPr>
          <w:rFonts w:ascii="Times New Roman" w:hAnsi="Times New Roman" w:cs="Times New Roman"/>
          <w:bCs/>
          <w:i/>
          <w:iCs/>
          <w:sz w:val="24"/>
          <w:szCs w:val="24"/>
          <w:vertAlign w:val="superscript"/>
        </w:rPr>
        <w:t>,b</w:t>
      </w:r>
      <w:proofErr w:type="gramEnd"/>
      <w:r>
        <w:rPr>
          <w:rFonts w:ascii="Times New Roman" w:hAnsi="Times New Roman" w:cs="Times New Roman"/>
          <w:bCs/>
          <w:i/>
          <w:iCs/>
          <w:sz w:val="24"/>
          <w:szCs w:val="24"/>
          <w:vertAlign w:val="superscript"/>
        </w:rPr>
        <w:t>,</w:t>
      </w:r>
      <w:proofErr w:type="gramStart"/>
      <w:r>
        <w:rPr>
          <w:rFonts w:ascii="Times New Roman" w:hAnsi="Times New Roman" w:cs="Times New Roman"/>
          <w:bCs/>
          <w:i/>
          <w:iCs/>
          <w:sz w:val="24"/>
          <w:szCs w:val="24"/>
          <w:vertAlign w:val="superscript"/>
        </w:rPr>
        <w:t>c</w:t>
      </w:r>
      <w:r w:rsidRPr="004920CB">
        <w:rPr>
          <w:rFonts w:ascii="Times New Roman" w:hAnsi="Times New Roman" w:cs="Times New Roman"/>
          <w:bCs/>
          <w:i/>
          <w:iCs/>
          <w:sz w:val="24"/>
          <w:szCs w:val="24"/>
        </w:rPr>
        <w:t>,</w:t>
      </w:r>
      <w:r>
        <w:rPr>
          <w:rFonts w:ascii="Times New Roman" w:hAnsi="Times New Roman" w:cs="Times New Roman"/>
          <w:bCs/>
          <w:i/>
          <w:iCs/>
          <w:sz w:val="24"/>
          <w:szCs w:val="24"/>
        </w:rPr>
        <w:t>Shuting</w:t>
      </w:r>
      <w:proofErr w:type="gramEnd"/>
      <w:r>
        <w:rPr>
          <w:rFonts w:ascii="Times New Roman" w:hAnsi="Times New Roman" w:cs="Times New Roman"/>
          <w:bCs/>
          <w:i/>
          <w:iCs/>
          <w:sz w:val="24"/>
          <w:szCs w:val="24"/>
        </w:rPr>
        <w:t xml:space="preserve"> </w:t>
      </w:r>
      <w:r w:rsidR="005C5A04">
        <w:rPr>
          <w:rFonts w:ascii="Times New Roman" w:hAnsi="Times New Roman" w:cs="Times New Roman"/>
          <w:bCs/>
          <w:i/>
          <w:iCs/>
          <w:sz w:val="24"/>
          <w:szCs w:val="24"/>
        </w:rPr>
        <w:t>(</w:t>
      </w:r>
      <w:r>
        <w:rPr>
          <w:rFonts w:ascii="Times New Roman" w:hAnsi="Times New Roman" w:cs="Times New Roman"/>
          <w:bCs/>
          <w:i/>
          <w:iCs/>
          <w:sz w:val="24"/>
          <w:szCs w:val="24"/>
        </w:rPr>
        <w:t>Lydia</w:t>
      </w:r>
      <w:r w:rsidR="005C5A04">
        <w:rPr>
          <w:rFonts w:ascii="Times New Roman" w:hAnsi="Times New Roman" w:cs="Times New Roman"/>
          <w:bCs/>
          <w:i/>
          <w:iCs/>
          <w:sz w:val="24"/>
          <w:szCs w:val="24"/>
        </w:rPr>
        <w:t>)</w:t>
      </w:r>
      <w:r>
        <w:rPr>
          <w:rFonts w:ascii="Times New Roman" w:hAnsi="Times New Roman" w:cs="Times New Roman"/>
          <w:bCs/>
          <w:i/>
          <w:iCs/>
          <w:sz w:val="24"/>
          <w:szCs w:val="24"/>
        </w:rPr>
        <w:t xml:space="preserve"> </w:t>
      </w:r>
      <w:proofErr w:type="gramStart"/>
      <w:r>
        <w:rPr>
          <w:rFonts w:ascii="Times New Roman" w:hAnsi="Times New Roman" w:cs="Times New Roman"/>
          <w:bCs/>
          <w:i/>
          <w:iCs/>
          <w:sz w:val="24"/>
          <w:szCs w:val="24"/>
        </w:rPr>
        <w:t>Yang</w:t>
      </w:r>
      <w:r w:rsidRPr="00F761D7">
        <w:rPr>
          <w:rFonts w:ascii="Times New Roman" w:hAnsi="Times New Roman" w:cs="Times New Roman"/>
          <w:bCs/>
          <w:i/>
          <w:iCs/>
          <w:sz w:val="24"/>
          <w:szCs w:val="24"/>
          <w:vertAlign w:val="superscript"/>
        </w:rPr>
        <w:t>b</w:t>
      </w:r>
      <w:r>
        <w:rPr>
          <w:rFonts w:ascii="Times New Roman" w:hAnsi="Times New Roman" w:cs="Times New Roman"/>
          <w:bCs/>
          <w:i/>
          <w:iCs/>
          <w:sz w:val="24"/>
          <w:szCs w:val="24"/>
          <w:vertAlign w:val="superscript"/>
        </w:rPr>
        <w:t>,c</w:t>
      </w:r>
      <w:proofErr w:type="gramEnd"/>
      <w:r>
        <w:rPr>
          <w:rFonts w:ascii="Times New Roman" w:hAnsi="Times New Roman" w:cs="Times New Roman"/>
          <w:bCs/>
          <w:i/>
          <w:iCs/>
          <w:sz w:val="24"/>
          <w:szCs w:val="24"/>
        </w:rPr>
        <w:t xml:space="preserve">, Shannon </w:t>
      </w:r>
      <w:proofErr w:type="gramStart"/>
      <w:r>
        <w:rPr>
          <w:rFonts w:ascii="Times New Roman" w:hAnsi="Times New Roman" w:cs="Times New Roman"/>
          <w:bCs/>
          <w:i/>
          <w:iCs/>
          <w:sz w:val="24"/>
          <w:szCs w:val="24"/>
        </w:rPr>
        <w:t>Stokes</w:t>
      </w:r>
      <w:r w:rsidRPr="00DD39B0">
        <w:rPr>
          <w:rFonts w:ascii="Times New Roman" w:hAnsi="Times New Roman" w:cs="Times New Roman"/>
          <w:bCs/>
          <w:i/>
          <w:iCs/>
          <w:sz w:val="24"/>
          <w:szCs w:val="24"/>
          <w:vertAlign w:val="superscript"/>
        </w:rPr>
        <w:t>b,c</w:t>
      </w:r>
      <w:proofErr w:type="gramEnd"/>
      <w:r w:rsidR="00F8669E">
        <w:rPr>
          <w:rFonts w:ascii="Times New Roman" w:hAnsi="Times New Roman" w:cs="Times New Roman"/>
          <w:bCs/>
          <w:i/>
          <w:iCs/>
          <w:sz w:val="24"/>
          <w:szCs w:val="24"/>
        </w:rPr>
        <w:t>,</w:t>
      </w:r>
      <w:r w:rsidR="006347F4">
        <w:rPr>
          <w:rFonts w:ascii="Times New Roman" w:hAnsi="Times New Roman" w:cs="Times New Roman"/>
          <w:bCs/>
          <w:i/>
          <w:iCs/>
          <w:sz w:val="24"/>
          <w:szCs w:val="24"/>
        </w:rPr>
        <w:t xml:space="preserve"> </w:t>
      </w:r>
      <w:r w:rsidR="006B1314">
        <w:rPr>
          <w:rFonts w:ascii="Times New Roman" w:hAnsi="Times New Roman" w:cs="Times New Roman"/>
          <w:bCs/>
          <w:i/>
          <w:iCs/>
          <w:sz w:val="24"/>
          <w:szCs w:val="24"/>
        </w:rPr>
        <w:t>and</w:t>
      </w:r>
      <w:r w:rsidR="00F8669E" w:rsidRPr="00F8669E">
        <w:rPr>
          <w:rFonts w:ascii="Times New Roman" w:hAnsi="Times New Roman" w:cs="Times New Roman"/>
          <w:bCs/>
          <w:i/>
          <w:iCs/>
          <w:sz w:val="24"/>
          <w:szCs w:val="24"/>
        </w:rPr>
        <w:t xml:space="preserve"> </w:t>
      </w:r>
      <w:r w:rsidR="00F8669E">
        <w:rPr>
          <w:rFonts w:ascii="Times New Roman" w:hAnsi="Times New Roman" w:cs="Times New Roman"/>
          <w:bCs/>
          <w:i/>
          <w:iCs/>
          <w:sz w:val="24"/>
          <w:szCs w:val="24"/>
        </w:rPr>
        <w:t>Arvind P.</w:t>
      </w:r>
      <w:r w:rsidR="00F8669E" w:rsidRPr="004920CB">
        <w:rPr>
          <w:rFonts w:ascii="Times New Roman" w:hAnsi="Times New Roman" w:cs="Times New Roman"/>
          <w:bCs/>
          <w:i/>
          <w:iCs/>
          <w:sz w:val="24"/>
          <w:szCs w:val="24"/>
        </w:rPr>
        <w:t xml:space="preserve"> </w:t>
      </w:r>
      <w:proofErr w:type="gramStart"/>
      <w:r w:rsidR="00F8669E">
        <w:rPr>
          <w:rFonts w:ascii="Times New Roman" w:hAnsi="Times New Roman" w:cs="Times New Roman"/>
          <w:bCs/>
          <w:i/>
          <w:iCs/>
          <w:sz w:val="24"/>
          <w:szCs w:val="24"/>
        </w:rPr>
        <w:t>Ravikumar</w:t>
      </w:r>
      <w:r w:rsidR="00F8669E" w:rsidRPr="004920CB">
        <w:rPr>
          <w:rFonts w:ascii="Times New Roman" w:hAnsi="Times New Roman" w:cs="Times New Roman"/>
          <w:bCs/>
          <w:i/>
          <w:iCs/>
          <w:sz w:val="24"/>
          <w:szCs w:val="24"/>
          <w:vertAlign w:val="superscript"/>
        </w:rPr>
        <w:t>a</w:t>
      </w:r>
      <w:r w:rsidR="00F8669E">
        <w:rPr>
          <w:rFonts w:ascii="Times New Roman" w:hAnsi="Times New Roman" w:cs="Times New Roman"/>
          <w:bCs/>
          <w:i/>
          <w:iCs/>
          <w:sz w:val="24"/>
          <w:szCs w:val="24"/>
          <w:vertAlign w:val="superscript"/>
        </w:rPr>
        <w:t>,b</w:t>
      </w:r>
      <w:proofErr w:type="gramEnd"/>
      <w:r w:rsidR="00F8669E">
        <w:rPr>
          <w:rFonts w:ascii="Times New Roman" w:hAnsi="Times New Roman" w:cs="Times New Roman"/>
          <w:bCs/>
          <w:i/>
          <w:iCs/>
          <w:sz w:val="24"/>
          <w:szCs w:val="24"/>
          <w:vertAlign w:val="superscript"/>
        </w:rPr>
        <w:t>,</w:t>
      </w:r>
      <w:proofErr w:type="gramStart"/>
      <w:r w:rsidR="00F8669E">
        <w:rPr>
          <w:rFonts w:ascii="Times New Roman" w:hAnsi="Times New Roman" w:cs="Times New Roman"/>
          <w:bCs/>
          <w:i/>
          <w:iCs/>
          <w:sz w:val="24"/>
          <w:szCs w:val="24"/>
          <w:vertAlign w:val="superscript"/>
        </w:rPr>
        <w:t>c</w:t>
      </w:r>
      <w:r w:rsidR="00F8669E" w:rsidRPr="004920CB">
        <w:rPr>
          <w:rFonts w:ascii="Times New Roman" w:hAnsi="Times New Roman" w:cs="Times New Roman"/>
          <w:bCs/>
          <w:i/>
          <w:iCs/>
          <w:sz w:val="24"/>
          <w:szCs w:val="24"/>
          <w:vertAlign w:val="superscript"/>
        </w:rPr>
        <w:t>,*</w:t>
      </w:r>
      <w:proofErr w:type="gramEnd"/>
    </w:p>
    <w:p w14:paraId="093220D4" w14:textId="77777777" w:rsidR="00715321" w:rsidRDefault="00715321" w:rsidP="00715321">
      <w:pPr>
        <w:spacing w:line="480" w:lineRule="auto"/>
        <w:jc w:val="both"/>
        <w:rPr>
          <w:rFonts w:ascii="Times New Roman" w:hAnsi="Times New Roman" w:cs="Times New Roman"/>
          <w:bCs/>
          <w:sz w:val="24"/>
          <w:szCs w:val="24"/>
        </w:rPr>
      </w:pPr>
      <w:r w:rsidRPr="00425218">
        <w:rPr>
          <w:rFonts w:ascii="Times New Roman" w:hAnsi="Times New Roman" w:cs="Times New Roman"/>
          <w:bCs/>
          <w:sz w:val="24"/>
          <w:szCs w:val="24"/>
          <w:vertAlign w:val="superscript"/>
        </w:rPr>
        <w:t>a</w:t>
      </w:r>
      <w:r w:rsidRPr="00425218">
        <w:rPr>
          <w:rFonts w:ascii="Times New Roman" w:hAnsi="Times New Roman" w:cs="Times New Roman"/>
          <w:bCs/>
          <w:sz w:val="24"/>
          <w:szCs w:val="24"/>
        </w:rPr>
        <w:t xml:space="preserve">Hildebrand Department of Petroleum and Geosystems Engineering, The University of Texas at Austin, Austin, Texas 78712, United States. </w:t>
      </w:r>
    </w:p>
    <w:p w14:paraId="6322162B" w14:textId="77777777" w:rsidR="00715321" w:rsidRDefault="00715321" w:rsidP="00715321">
      <w:pPr>
        <w:spacing w:line="480" w:lineRule="auto"/>
        <w:jc w:val="both"/>
        <w:rPr>
          <w:rFonts w:ascii="Times New Roman" w:hAnsi="Times New Roman" w:cs="Times New Roman"/>
          <w:bCs/>
          <w:sz w:val="24"/>
          <w:szCs w:val="24"/>
        </w:rPr>
      </w:pPr>
      <w:r w:rsidRPr="007354DC">
        <w:rPr>
          <w:rFonts w:ascii="Times New Roman" w:hAnsi="Times New Roman" w:cs="Times New Roman"/>
          <w:bCs/>
          <w:sz w:val="24"/>
          <w:szCs w:val="24"/>
          <w:vertAlign w:val="superscript"/>
        </w:rPr>
        <w:t>b</w:t>
      </w:r>
      <w:r w:rsidRPr="00621E19">
        <w:rPr>
          <w:rFonts w:ascii="Times New Roman" w:hAnsi="Times New Roman" w:cs="Times New Roman"/>
          <w:bCs/>
          <w:sz w:val="24"/>
          <w:szCs w:val="24"/>
        </w:rPr>
        <w:t>Center for Energy and Environmental Systems Analysis (CEESA), The University of Texas at Austin, Austin, Texas 78712, United States</w:t>
      </w:r>
    </w:p>
    <w:p w14:paraId="2DB94F75" w14:textId="77777777" w:rsidR="00715321" w:rsidRPr="00425218" w:rsidRDefault="00715321" w:rsidP="00715321">
      <w:pPr>
        <w:spacing w:line="480" w:lineRule="auto"/>
        <w:jc w:val="both"/>
        <w:rPr>
          <w:rFonts w:ascii="Times New Roman" w:hAnsi="Times New Roman" w:cs="Times New Roman"/>
          <w:bCs/>
          <w:sz w:val="24"/>
          <w:szCs w:val="24"/>
        </w:rPr>
      </w:pPr>
      <w:r w:rsidRPr="007354DC">
        <w:rPr>
          <w:rFonts w:ascii="Times New Roman" w:hAnsi="Times New Roman" w:cs="Times New Roman"/>
          <w:bCs/>
          <w:sz w:val="24"/>
          <w:szCs w:val="24"/>
          <w:vertAlign w:val="superscript"/>
        </w:rPr>
        <w:t>c</w:t>
      </w:r>
      <w:r w:rsidRPr="007354DC">
        <w:rPr>
          <w:rFonts w:ascii="Times New Roman" w:hAnsi="Times New Roman" w:cs="Times New Roman"/>
          <w:bCs/>
          <w:sz w:val="24"/>
          <w:szCs w:val="24"/>
        </w:rPr>
        <w:t>Energy Emissions Modeling and Data Lab, The University of Texas at Austin, Austin, Texas 78712, United States</w:t>
      </w:r>
    </w:p>
    <w:p w14:paraId="5786FC63" w14:textId="3929FB32" w:rsidR="00C242D8" w:rsidRPr="003E3203" w:rsidRDefault="00715321" w:rsidP="00715321">
      <w:pPr>
        <w:spacing w:line="480" w:lineRule="auto"/>
        <w:jc w:val="both"/>
        <w:rPr>
          <w:rFonts w:ascii="Times New Roman" w:hAnsi="Times New Roman" w:cs="Times New Roman"/>
          <w:bCs/>
        </w:rPr>
      </w:pPr>
      <w:r w:rsidRPr="00425218">
        <w:rPr>
          <w:rFonts w:ascii="Times New Roman" w:hAnsi="Times New Roman" w:cs="Times New Roman"/>
          <w:bCs/>
          <w:sz w:val="24"/>
          <w:szCs w:val="24"/>
        </w:rPr>
        <w:t xml:space="preserve">*Corresponding author: </w:t>
      </w:r>
      <w:r w:rsidRPr="00D22740">
        <w:rPr>
          <w:rFonts w:ascii="Times New Roman" w:hAnsi="Times New Roman" w:cs="Times New Roman"/>
          <w:bCs/>
          <w:sz w:val="24"/>
          <w:szCs w:val="24"/>
        </w:rPr>
        <w:t>arvind.ravikumar@austin.utexas.edu</w:t>
      </w:r>
      <w:r w:rsidR="00C242D8" w:rsidRPr="003E3203">
        <w:rPr>
          <w:rFonts w:ascii="Times New Roman" w:hAnsi="Times New Roman" w:cs="Times New Roman"/>
          <w:bCs/>
        </w:rPr>
        <w:br w:type="page"/>
      </w:r>
    </w:p>
    <w:p w14:paraId="5471751D" w14:textId="53A273BC" w:rsidR="00F114DE" w:rsidRDefault="00CE1503" w:rsidP="00F41246">
      <w:pPr>
        <w:spacing w:line="480" w:lineRule="auto"/>
        <w:jc w:val="both"/>
        <w:rPr>
          <w:rFonts w:ascii="Times New Roman" w:eastAsia="DengXian" w:hAnsi="Times New Roman" w:cs="Times New Roman"/>
          <w:b/>
          <w:bCs/>
          <w:sz w:val="24"/>
          <w:szCs w:val="24"/>
        </w:rPr>
      </w:pPr>
      <w:r>
        <w:rPr>
          <w:rFonts w:ascii="Times New Roman" w:eastAsia="DengXian" w:hAnsi="Times New Roman" w:cs="Times New Roman"/>
          <w:b/>
          <w:bCs/>
          <w:sz w:val="24"/>
          <w:szCs w:val="24"/>
        </w:rPr>
        <w:lastRenderedPageBreak/>
        <w:t xml:space="preserve">Supplementary </w:t>
      </w:r>
      <w:bookmarkStart w:id="0" w:name="_Hlk204888843"/>
      <w:r>
        <w:rPr>
          <w:rFonts w:ascii="Times New Roman" w:eastAsia="DengXian" w:hAnsi="Times New Roman" w:cs="Times New Roman"/>
          <w:b/>
          <w:bCs/>
          <w:sz w:val="24"/>
          <w:szCs w:val="24"/>
        </w:rPr>
        <w:t>Note</w:t>
      </w:r>
      <w:bookmarkEnd w:id="0"/>
      <w:r>
        <w:rPr>
          <w:rFonts w:ascii="Times New Roman" w:eastAsia="DengXian" w:hAnsi="Times New Roman" w:cs="Times New Roman"/>
          <w:b/>
          <w:bCs/>
          <w:sz w:val="24"/>
          <w:szCs w:val="24"/>
        </w:rPr>
        <w:t xml:space="preserve"> </w:t>
      </w:r>
      <w:r w:rsidR="00F114DE" w:rsidRPr="00F114DE">
        <w:rPr>
          <w:rFonts w:ascii="Times New Roman" w:eastAsia="DengXian" w:hAnsi="Times New Roman" w:cs="Times New Roman"/>
          <w:b/>
          <w:bCs/>
          <w:sz w:val="24"/>
          <w:szCs w:val="24"/>
        </w:rPr>
        <w:t xml:space="preserve">S1. Cause Analysis Data Classification </w:t>
      </w:r>
      <w:r w:rsidR="00955BD5">
        <w:rPr>
          <w:rFonts w:ascii="Times New Roman" w:eastAsia="DengXian" w:hAnsi="Times New Roman" w:cs="Times New Roman"/>
          <w:b/>
          <w:bCs/>
          <w:sz w:val="24"/>
          <w:szCs w:val="24"/>
        </w:rPr>
        <w:t>Framework</w:t>
      </w:r>
    </w:p>
    <w:p w14:paraId="788B8F6B" w14:textId="75E51C89" w:rsidR="00A75F9B" w:rsidRDefault="00A75F9B" w:rsidP="00A75F9B">
      <w:pPr>
        <w:spacing w:line="480" w:lineRule="auto"/>
        <w:ind w:firstLine="720"/>
        <w:jc w:val="both"/>
        <w:rPr>
          <w:rFonts w:ascii="Times New Roman" w:hAnsi="Times New Roman" w:cs="Times New Roman"/>
          <w:noProof/>
          <w:sz w:val="24"/>
          <w:szCs w:val="24"/>
        </w:rPr>
      </w:pPr>
      <w:r w:rsidRPr="00A75F9B">
        <w:rPr>
          <w:rFonts w:ascii="Times New Roman" w:hAnsi="Times New Roman" w:cs="Times New Roman"/>
          <w:noProof/>
          <w:sz w:val="24"/>
          <w:szCs w:val="24"/>
        </w:rPr>
        <w:t xml:space="preserve">This section outlines the methodology used to classify operator-submitted causal attributions for methane emission events into standardized </w:t>
      </w:r>
      <w:r w:rsidR="003A5DC3">
        <w:rPr>
          <w:rFonts w:ascii="Times New Roman" w:hAnsi="Times New Roman" w:cs="Times New Roman"/>
          <w:noProof/>
          <w:sz w:val="24"/>
          <w:szCs w:val="24"/>
        </w:rPr>
        <w:t>causal categories</w:t>
      </w:r>
      <w:r w:rsidRPr="00A75F9B">
        <w:rPr>
          <w:rFonts w:ascii="Times New Roman" w:hAnsi="Times New Roman" w:cs="Times New Roman"/>
          <w:noProof/>
          <w:sz w:val="24"/>
          <w:szCs w:val="24"/>
        </w:rPr>
        <w:t xml:space="preserve">. </w:t>
      </w:r>
      <w:r w:rsidR="00F028A7" w:rsidRPr="00A75F9B">
        <w:rPr>
          <w:rFonts w:ascii="Times New Roman" w:hAnsi="Times New Roman" w:cs="Times New Roman"/>
          <w:noProof/>
          <w:sz w:val="24"/>
          <w:szCs w:val="24"/>
        </w:rPr>
        <w:t xml:space="preserve">The goal was to enable consistent and actionable </w:t>
      </w:r>
      <w:r w:rsidR="00F028A7">
        <w:rPr>
          <w:rFonts w:ascii="Times New Roman" w:hAnsi="Times New Roman" w:cs="Times New Roman"/>
          <w:noProof/>
          <w:sz w:val="24"/>
          <w:szCs w:val="24"/>
        </w:rPr>
        <w:t>causal analysis</w:t>
      </w:r>
      <w:r w:rsidR="00F028A7" w:rsidRPr="00A75F9B">
        <w:rPr>
          <w:rFonts w:ascii="Times New Roman" w:hAnsi="Times New Roman" w:cs="Times New Roman"/>
          <w:noProof/>
          <w:sz w:val="24"/>
          <w:szCs w:val="24"/>
        </w:rPr>
        <w:t xml:space="preserve"> across the basin-wide dataset.</w:t>
      </w:r>
    </w:p>
    <w:p w14:paraId="533F1219" w14:textId="092581F9" w:rsidR="000C1E00" w:rsidRDefault="00CE1503" w:rsidP="00336F6A">
      <w:pPr>
        <w:spacing w:line="480" w:lineRule="auto"/>
        <w:jc w:val="both"/>
        <w:rPr>
          <w:rFonts w:ascii="Times New Roman" w:eastAsia="DengXian" w:hAnsi="Times New Roman" w:cs="Times New Roman"/>
          <w:b/>
          <w:bCs/>
          <w:sz w:val="24"/>
          <w:szCs w:val="24"/>
        </w:rPr>
      </w:pPr>
      <w:r>
        <w:rPr>
          <w:rFonts w:ascii="Times New Roman" w:eastAsia="DengXian" w:hAnsi="Times New Roman" w:cs="Times New Roman"/>
          <w:b/>
          <w:bCs/>
          <w:sz w:val="24"/>
          <w:szCs w:val="24"/>
        </w:rPr>
        <w:t xml:space="preserve">Supplementary Note </w:t>
      </w:r>
      <w:r w:rsidR="000C1E00" w:rsidRPr="00F114DE">
        <w:rPr>
          <w:rFonts w:ascii="Times New Roman" w:eastAsia="DengXian" w:hAnsi="Times New Roman" w:cs="Times New Roman"/>
          <w:b/>
          <w:bCs/>
          <w:sz w:val="24"/>
          <w:szCs w:val="24"/>
        </w:rPr>
        <w:t>S1.</w:t>
      </w:r>
      <w:r w:rsidR="000C1E00">
        <w:rPr>
          <w:rFonts w:ascii="Times New Roman" w:eastAsia="DengXian" w:hAnsi="Times New Roman" w:cs="Times New Roman"/>
          <w:b/>
          <w:bCs/>
          <w:sz w:val="24"/>
          <w:szCs w:val="24"/>
        </w:rPr>
        <w:t>1</w:t>
      </w:r>
      <w:r>
        <w:rPr>
          <w:rFonts w:ascii="Times New Roman" w:eastAsia="DengXian" w:hAnsi="Times New Roman" w:cs="Times New Roman"/>
          <w:b/>
          <w:bCs/>
          <w:sz w:val="24"/>
          <w:szCs w:val="24"/>
        </w:rPr>
        <w:t>.</w:t>
      </w:r>
      <w:r w:rsidR="000C1E00" w:rsidRPr="00F114DE">
        <w:rPr>
          <w:rFonts w:ascii="Times New Roman" w:eastAsia="DengXian" w:hAnsi="Times New Roman" w:cs="Times New Roman"/>
          <w:b/>
          <w:bCs/>
          <w:sz w:val="24"/>
          <w:szCs w:val="24"/>
        </w:rPr>
        <w:t xml:space="preserve"> </w:t>
      </w:r>
      <w:r w:rsidR="006F0496" w:rsidRPr="006F0496">
        <w:rPr>
          <w:rFonts w:ascii="Times New Roman" w:eastAsia="DengXian" w:hAnsi="Times New Roman" w:cs="Times New Roman"/>
          <w:b/>
          <w:bCs/>
          <w:sz w:val="24"/>
          <w:szCs w:val="24"/>
        </w:rPr>
        <w:t>Initial Operator-Submitted Causal Attributions</w:t>
      </w:r>
    </w:p>
    <w:p w14:paraId="350F864E" w14:textId="0DB7264C" w:rsidR="006F0496" w:rsidRPr="00CF4309" w:rsidRDefault="006175B9" w:rsidP="00202A9E">
      <w:pPr>
        <w:spacing w:line="480" w:lineRule="auto"/>
        <w:ind w:firstLine="720"/>
        <w:jc w:val="both"/>
        <w:rPr>
          <w:rFonts w:ascii="Times New Roman" w:hAnsi="Times New Roman" w:cs="Times New Roman"/>
          <w:noProof/>
          <w:sz w:val="24"/>
          <w:szCs w:val="24"/>
        </w:rPr>
      </w:pPr>
      <w:r w:rsidRPr="006175B9">
        <w:rPr>
          <w:rFonts w:ascii="Times New Roman" w:hAnsi="Times New Roman" w:cs="Times New Roman"/>
          <w:noProof/>
          <w:sz w:val="24"/>
          <w:szCs w:val="24"/>
        </w:rPr>
        <w:t xml:space="preserve">Following aerial measurement campaigns conducted in </w:t>
      </w:r>
      <w:r w:rsidR="0067698B">
        <w:rPr>
          <w:rFonts w:ascii="Times New Roman" w:hAnsi="Times New Roman" w:cs="Times New Roman"/>
          <w:noProof/>
          <w:sz w:val="24"/>
          <w:szCs w:val="24"/>
        </w:rPr>
        <w:t>2024</w:t>
      </w:r>
      <w:r w:rsidR="00A60738">
        <w:rPr>
          <w:rFonts w:ascii="Times New Roman" w:hAnsi="Times New Roman" w:cs="Times New Roman"/>
          <w:noProof/>
          <w:sz w:val="24"/>
          <w:szCs w:val="24"/>
        </w:rPr>
        <w:t>,</w:t>
      </w:r>
      <w:r w:rsidR="00077B15" w:rsidRPr="00077B15">
        <w:t xml:space="preserve"> </w:t>
      </w:r>
      <w:r w:rsidR="00077B15" w:rsidRPr="00077B15">
        <w:rPr>
          <w:rFonts w:ascii="Times New Roman" w:hAnsi="Times New Roman" w:cs="Times New Roman"/>
          <w:noProof/>
          <w:sz w:val="24"/>
          <w:szCs w:val="24"/>
        </w:rPr>
        <w:t>five participating operators submitted causal attributions for 1,669 emission events</w:t>
      </w:r>
      <w:r w:rsidRPr="006175B9">
        <w:rPr>
          <w:rFonts w:ascii="Times New Roman" w:hAnsi="Times New Roman" w:cs="Times New Roman"/>
          <w:noProof/>
          <w:sz w:val="24"/>
          <w:szCs w:val="24"/>
        </w:rPr>
        <w:t xml:space="preserve">. </w:t>
      </w:r>
      <w:r w:rsidR="00F028A7">
        <w:rPr>
          <w:rFonts w:ascii="Times New Roman" w:hAnsi="Times New Roman" w:cs="Times New Roman"/>
          <w:noProof/>
          <w:sz w:val="24"/>
          <w:szCs w:val="24"/>
        </w:rPr>
        <w:t>Each</w:t>
      </w:r>
      <w:r w:rsidR="00F028A7" w:rsidRPr="00F037C4">
        <w:rPr>
          <w:rFonts w:ascii="Times New Roman" w:hAnsi="Times New Roman" w:cs="Times New Roman"/>
          <w:noProof/>
          <w:sz w:val="24"/>
          <w:szCs w:val="24"/>
        </w:rPr>
        <w:t xml:space="preserve"> operator applied varying emission rate thresholds to emissions detected via aerial surveys</w:t>
      </w:r>
      <w:r w:rsidR="00F028A7">
        <w:rPr>
          <w:rFonts w:ascii="Times New Roman" w:hAnsi="Times New Roman" w:cs="Times New Roman"/>
          <w:noProof/>
          <w:sz w:val="24"/>
          <w:szCs w:val="24"/>
        </w:rPr>
        <w:t xml:space="preserve">, </w:t>
      </w:r>
      <w:r w:rsidR="00F028A7" w:rsidRPr="00F037C4">
        <w:rPr>
          <w:rFonts w:ascii="Times New Roman" w:hAnsi="Times New Roman" w:cs="Times New Roman"/>
          <w:noProof/>
          <w:sz w:val="24"/>
          <w:szCs w:val="24"/>
        </w:rPr>
        <w:t xml:space="preserve">from inclusive of all detected sources to </w:t>
      </w:r>
      <w:r w:rsidR="00F028A7" w:rsidRPr="00387686">
        <w:rPr>
          <w:rFonts w:ascii="Times New Roman" w:hAnsi="Times New Roman" w:cs="Times New Roman"/>
          <w:noProof/>
          <w:sz w:val="24"/>
          <w:szCs w:val="24"/>
        </w:rPr>
        <w:t>focusing only on those exceeding 25 kg/h</w:t>
      </w:r>
      <w:r w:rsidR="00F028A7" w:rsidRPr="00F037C4">
        <w:rPr>
          <w:rFonts w:ascii="Times New Roman" w:hAnsi="Times New Roman" w:cs="Times New Roman"/>
          <w:noProof/>
          <w:sz w:val="24"/>
          <w:szCs w:val="24"/>
        </w:rPr>
        <w:t>, reflecting variations in internal policies, resource availability, and operational priorities.</w:t>
      </w:r>
      <w:r w:rsidR="00F037C4" w:rsidRPr="00F037C4">
        <w:rPr>
          <w:rFonts w:ascii="Times New Roman" w:hAnsi="Times New Roman" w:cs="Times New Roman"/>
          <w:noProof/>
          <w:sz w:val="24"/>
          <w:szCs w:val="24"/>
        </w:rPr>
        <w:t xml:space="preserve"> </w:t>
      </w:r>
      <w:r w:rsidR="00DC34BD" w:rsidRPr="00DC34BD">
        <w:rPr>
          <w:rFonts w:ascii="Times New Roman" w:hAnsi="Times New Roman" w:cs="Times New Roman"/>
          <w:noProof/>
          <w:sz w:val="24"/>
          <w:szCs w:val="24"/>
        </w:rPr>
        <w:t>Operators conducted preliminary investigations using site-level knowledge, maintenance logs, and diagnostic records. These attributions were then reviewed by the research team for consistency, with follow-up clarification requested as needed.</w:t>
      </w:r>
      <w:r w:rsidR="00CF4309">
        <w:rPr>
          <w:rFonts w:ascii="Times New Roman" w:hAnsi="Times New Roman" w:cs="Times New Roman"/>
          <w:noProof/>
          <w:sz w:val="24"/>
          <w:szCs w:val="24"/>
        </w:rPr>
        <w:t xml:space="preserve"> </w:t>
      </w:r>
      <w:r w:rsidR="00F028A7" w:rsidRPr="00DC34BD">
        <w:rPr>
          <w:rFonts w:ascii="Times New Roman" w:hAnsi="Times New Roman" w:cs="Times New Roman"/>
          <w:noProof/>
          <w:sz w:val="24"/>
          <w:szCs w:val="24"/>
        </w:rPr>
        <w:t xml:space="preserve">The raw dataset included 61 unique </w:t>
      </w:r>
      <w:r w:rsidR="00F028A7">
        <w:rPr>
          <w:rFonts w:ascii="Times New Roman" w:hAnsi="Times New Roman" w:cs="Times New Roman"/>
          <w:noProof/>
          <w:sz w:val="24"/>
          <w:szCs w:val="24"/>
        </w:rPr>
        <w:t>cause</w:t>
      </w:r>
      <w:r w:rsidR="00F028A7" w:rsidRPr="00DC34BD">
        <w:rPr>
          <w:rFonts w:ascii="Times New Roman" w:hAnsi="Times New Roman" w:cs="Times New Roman"/>
          <w:noProof/>
          <w:sz w:val="24"/>
          <w:szCs w:val="24"/>
        </w:rPr>
        <w:t xml:space="preserve"> descriptions, reflecting significant heterogeneity in terms of terminology and specificity across operators.</w:t>
      </w:r>
      <w:r w:rsidR="00CF4309">
        <w:rPr>
          <w:rFonts w:ascii="Times New Roman" w:hAnsi="Times New Roman" w:cs="Times New Roman"/>
          <w:noProof/>
          <w:sz w:val="24"/>
          <w:szCs w:val="24"/>
        </w:rPr>
        <w:t xml:space="preserve"> </w:t>
      </w:r>
      <w:r w:rsidR="00F028A7" w:rsidRPr="00202A9E">
        <w:rPr>
          <w:rFonts w:ascii="Times New Roman" w:hAnsi="Times New Roman" w:cs="Times New Roman"/>
          <w:noProof/>
          <w:sz w:val="24"/>
          <w:szCs w:val="24"/>
        </w:rPr>
        <w:t>Fig. S1</w:t>
      </w:r>
      <w:r w:rsidR="00F028A7" w:rsidRPr="00DC34BD">
        <w:rPr>
          <w:rFonts w:ascii="Times New Roman" w:hAnsi="Times New Roman" w:cs="Times New Roman"/>
          <w:noProof/>
          <w:sz w:val="24"/>
          <w:szCs w:val="24"/>
        </w:rPr>
        <w:t xml:space="preserve"> </w:t>
      </w:r>
      <w:r w:rsidR="00F028A7" w:rsidRPr="005A01CB">
        <w:rPr>
          <w:rFonts w:ascii="Times New Roman" w:hAnsi="Times New Roman" w:cs="Times New Roman"/>
          <w:noProof/>
          <w:sz w:val="24"/>
          <w:szCs w:val="24"/>
        </w:rPr>
        <w:t>shows the distribution of emission events across these unharmonized operator-provided descriptions</w:t>
      </w:r>
      <w:r w:rsidR="00F028A7">
        <w:rPr>
          <w:rFonts w:ascii="Times New Roman" w:hAnsi="Times New Roman" w:cs="Times New Roman"/>
          <w:noProof/>
          <w:sz w:val="24"/>
          <w:szCs w:val="24"/>
        </w:rPr>
        <w:t xml:space="preserve"> of the events.</w:t>
      </w:r>
    </w:p>
    <w:p w14:paraId="59010105" w14:textId="77777777" w:rsidR="000C1E00" w:rsidRPr="00F41246" w:rsidRDefault="000C1E00" w:rsidP="000C1E00">
      <w:pPr>
        <w:spacing w:line="480" w:lineRule="auto"/>
        <w:jc w:val="both"/>
        <w:rPr>
          <w:rFonts w:ascii="Times New Roman" w:hAnsi="Times New Roman" w:cs="Times New Roman"/>
          <w:noProof/>
          <w:sz w:val="24"/>
          <w:szCs w:val="24"/>
        </w:rPr>
      </w:pPr>
    </w:p>
    <w:p w14:paraId="4DFDEB7A" w14:textId="77777777" w:rsidR="00F41246" w:rsidRDefault="00F41246" w:rsidP="00EF1E44">
      <w:pPr>
        <w:rPr>
          <w:rFonts w:ascii="Times New Roman" w:hAnsi="Times New Roman" w:cs="Times New Roman"/>
          <w:noProof/>
        </w:rPr>
      </w:pPr>
    </w:p>
    <w:p w14:paraId="43FCE2A0" w14:textId="3A7002E1" w:rsidR="00AA6F46" w:rsidRPr="003E3203" w:rsidRDefault="00A0032B" w:rsidP="005C7991">
      <w:pPr>
        <w:jc w:val="center"/>
        <w:rPr>
          <w:rFonts w:ascii="Times New Roman" w:hAnsi="Times New Roman" w:cs="Times New Roman"/>
        </w:rPr>
      </w:pPr>
      <w:r w:rsidRPr="003E3203">
        <w:rPr>
          <w:rFonts w:ascii="Times New Roman" w:hAnsi="Times New Roman" w:cs="Times New Roman"/>
          <w:noProof/>
        </w:rPr>
        <w:lastRenderedPageBreak/>
        <w:drawing>
          <wp:inline distT="0" distB="0" distL="0" distR="0" wp14:anchorId="608D2338" wp14:editId="407F0905">
            <wp:extent cx="4301582" cy="3683000"/>
            <wp:effectExtent l="0" t="0" r="3810" b="0"/>
            <wp:docPr id="5" name="Picture 16" descr="A graph of text on a white background&#10;&#10;AI-generated content may be incorrect.">
              <a:extLst xmlns:a="http://schemas.openxmlformats.org/drawingml/2006/main">
                <a:ext uri="{FF2B5EF4-FFF2-40B4-BE49-F238E27FC236}">
                  <a16:creationId xmlns:a16="http://schemas.microsoft.com/office/drawing/2014/main" id="{E7CF1B17-EFAF-ED0C-11B3-17846DBF98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6" descr="A graph of text on a white background&#10;&#10;AI-generated content may be incorrect.">
                      <a:extLst>
                        <a:ext uri="{FF2B5EF4-FFF2-40B4-BE49-F238E27FC236}">
                          <a16:creationId xmlns:a16="http://schemas.microsoft.com/office/drawing/2014/main" id="{E7CF1B17-EFAF-ED0C-11B3-17846DBF9878}"/>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7152" cy="3687769"/>
                    </a:xfrm>
                    <a:prstGeom prst="rect">
                      <a:avLst/>
                    </a:prstGeom>
                    <a:noFill/>
                  </pic:spPr>
                </pic:pic>
              </a:graphicData>
            </a:graphic>
          </wp:inline>
        </w:drawing>
      </w:r>
    </w:p>
    <w:p w14:paraId="1077B372" w14:textId="11AE0EE7" w:rsidR="0051774D" w:rsidRDefault="002D2A46" w:rsidP="00FF61B7">
      <w:pPr>
        <w:spacing w:line="240" w:lineRule="auto"/>
        <w:jc w:val="both"/>
        <w:rPr>
          <w:rFonts w:ascii="Times New Roman" w:eastAsia="DengXian" w:hAnsi="Times New Roman" w:cs="Times New Roman"/>
          <w:sz w:val="24"/>
          <w:szCs w:val="24"/>
        </w:rPr>
      </w:pPr>
      <w:r>
        <w:rPr>
          <w:rFonts w:ascii="Times New Roman" w:eastAsia="DengXian" w:hAnsi="Times New Roman" w:cs="Times New Roman"/>
          <w:b/>
          <w:bCs/>
          <w:sz w:val="24"/>
          <w:szCs w:val="24"/>
        </w:rPr>
        <w:t xml:space="preserve">Supplementary </w:t>
      </w:r>
      <w:r w:rsidR="00AA6F46" w:rsidRPr="003E3203">
        <w:rPr>
          <w:rFonts w:ascii="Times New Roman" w:eastAsia="DengXian" w:hAnsi="Times New Roman" w:cs="Times New Roman"/>
          <w:b/>
          <w:bCs/>
          <w:sz w:val="24"/>
          <w:szCs w:val="24"/>
        </w:rPr>
        <w:t>Fig 1</w:t>
      </w:r>
      <w:r w:rsidR="00AA6F46" w:rsidRPr="003E3203">
        <w:rPr>
          <w:rFonts w:ascii="Times New Roman" w:eastAsia="DengXian" w:hAnsi="Times New Roman" w:cs="Times New Roman"/>
          <w:sz w:val="24"/>
          <w:szCs w:val="24"/>
        </w:rPr>
        <w:t xml:space="preserve">. </w:t>
      </w:r>
      <w:r w:rsidR="00184CD9" w:rsidRPr="00184CD9">
        <w:rPr>
          <w:rFonts w:ascii="Times New Roman" w:eastAsia="DengXian" w:hAnsi="Times New Roman" w:cs="Times New Roman"/>
          <w:sz w:val="24"/>
          <w:szCs w:val="24"/>
        </w:rPr>
        <w:t>Distribution of operator-reported emission events across unharmonized cause descriptions</w:t>
      </w:r>
      <w:r w:rsidR="00184CD9">
        <w:rPr>
          <w:rFonts w:ascii="Times New Roman" w:eastAsia="DengXian" w:hAnsi="Times New Roman" w:cs="Times New Roman"/>
          <w:sz w:val="24"/>
          <w:szCs w:val="24"/>
        </w:rPr>
        <w:t xml:space="preserve">. </w:t>
      </w:r>
      <w:r w:rsidR="00184CD9" w:rsidRPr="00184CD9">
        <w:rPr>
          <w:rFonts w:ascii="Times New Roman" w:eastAsia="DengXian" w:hAnsi="Times New Roman" w:cs="Times New Roman"/>
          <w:sz w:val="24"/>
          <w:szCs w:val="24"/>
        </w:rPr>
        <w:t xml:space="preserve">The </w:t>
      </w:r>
      <w:r w:rsidR="00184CD9">
        <w:rPr>
          <w:rFonts w:ascii="Times New Roman" w:eastAsia="DengXian" w:hAnsi="Times New Roman" w:cs="Times New Roman"/>
          <w:sz w:val="24"/>
          <w:szCs w:val="24"/>
        </w:rPr>
        <w:t>plot show</w:t>
      </w:r>
      <w:r w:rsidR="00202A9E">
        <w:rPr>
          <w:rFonts w:ascii="Times New Roman" w:eastAsia="DengXian" w:hAnsi="Times New Roman" w:cs="Times New Roman"/>
          <w:sz w:val="24"/>
          <w:szCs w:val="24"/>
        </w:rPr>
        <w:t>s</w:t>
      </w:r>
      <w:r w:rsidR="00184CD9">
        <w:rPr>
          <w:rFonts w:ascii="Times New Roman" w:eastAsia="DengXian" w:hAnsi="Times New Roman" w:cs="Times New Roman"/>
          <w:sz w:val="24"/>
          <w:szCs w:val="24"/>
        </w:rPr>
        <w:t xml:space="preserve"> the distribution of</w:t>
      </w:r>
      <w:r w:rsidR="00184CD9" w:rsidRPr="00184CD9">
        <w:rPr>
          <w:rFonts w:ascii="Times New Roman" w:eastAsia="DengXian" w:hAnsi="Times New Roman" w:cs="Times New Roman"/>
          <w:sz w:val="24"/>
          <w:szCs w:val="24"/>
        </w:rPr>
        <w:t xml:space="preserve"> 1,669 methane emission events reported by operators, categorized into 61 </w:t>
      </w:r>
      <w:r w:rsidR="00202A9E" w:rsidRPr="00184CD9">
        <w:rPr>
          <w:rFonts w:ascii="Times New Roman" w:eastAsia="DengXian" w:hAnsi="Times New Roman" w:cs="Times New Roman"/>
          <w:sz w:val="24"/>
          <w:szCs w:val="24"/>
        </w:rPr>
        <w:t>varieties</w:t>
      </w:r>
      <w:r w:rsidR="00184CD9" w:rsidRPr="00184CD9">
        <w:rPr>
          <w:rFonts w:ascii="Times New Roman" w:eastAsia="DengXian" w:hAnsi="Times New Roman" w:cs="Times New Roman"/>
          <w:sz w:val="24"/>
          <w:szCs w:val="24"/>
        </w:rPr>
        <w:t xml:space="preserve"> of causes, showing the spread and categorization across different emission sources. </w:t>
      </w:r>
      <w:r w:rsidR="00F028A7" w:rsidRPr="00184CD9">
        <w:rPr>
          <w:rFonts w:ascii="Times New Roman" w:eastAsia="DengXian" w:hAnsi="Times New Roman" w:cs="Times New Roman"/>
          <w:sz w:val="24"/>
          <w:szCs w:val="24"/>
        </w:rPr>
        <w:t>This classification provides insight into the range of emission causes before harmonization, highlighting the potential areas for further standardization and analysis.</w:t>
      </w:r>
    </w:p>
    <w:p w14:paraId="3B9BB496" w14:textId="77777777" w:rsidR="007B45F3" w:rsidRDefault="007B45F3" w:rsidP="00FF61B7">
      <w:pPr>
        <w:spacing w:line="240" w:lineRule="auto"/>
        <w:jc w:val="both"/>
        <w:rPr>
          <w:rFonts w:ascii="Times New Roman" w:eastAsia="DengXian" w:hAnsi="Times New Roman" w:cs="Times New Roman"/>
          <w:sz w:val="24"/>
          <w:szCs w:val="24"/>
        </w:rPr>
      </w:pPr>
    </w:p>
    <w:p w14:paraId="5D7C0BCA" w14:textId="4CDA6DD7" w:rsidR="00A34708" w:rsidRPr="00EB2558" w:rsidRDefault="00CE1503" w:rsidP="00EB2558">
      <w:pPr>
        <w:spacing w:line="480" w:lineRule="auto"/>
        <w:jc w:val="both"/>
        <w:rPr>
          <w:rFonts w:ascii="Times New Roman" w:eastAsia="DengXian" w:hAnsi="Times New Roman" w:cs="Times New Roman"/>
          <w:b/>
          <w:bCs/>
          <w:sz w:val="24"/>
          <w:szCs w:val="24"/>
        </w:rPr>
      </w:pPr>
      <w:r>
        <w:rPr>
          <w:rFonts w:ascii="Times New Roman" w:eastAsia="DengXian" w:hAnsi="Times New Roman" w:cs="Times New Roman"/>
          <w:b/>
          <w:bCs/>
          <w:sz w:val="24"/>
          <w:szCs w:val="24"/>
        </w:rPr>
        <w:t xml:space="preserve">Supplementary Note </w:t>
      </w:r>
      <w:r w:rsidR="00A34708" w:rsidRPr="00F114DE">
        <w:rPr>
          <w:rFonts w:ascii="Times New Roman" w:eastAsia="DengXian" w:hAnsi="Times New Roman" w:cs="Times New Roman"/>
          <w:b/>
          <w:bCs/>
          <w:sz w:val="24"/>
          <w:szCs w:val="24"/>
        </w:rPr>
        <w:t>S1.</w:t>
      </w:r>
      <w:r w:rsidR="00EB2558">
        <w:rPr>
          <w:rFonts w:ascii="Times New Roman" w:eastAsia="DengXian" w:hAnsi="Times New Roman" w:cs="Times New Roman"/>
          <w:b/>
          <w:bCs/>
          <w:sz w:val="24"/>
          <w:szCs w:val="24"/>
        </w:rPr>
        <w:t>2</w:t>
      </w:r>
      <w:r>
        <w:rPr>
          <w:rFonts w:ascii="Times New Roman" w:eastAsia="DengXian" w:hAnsi="Times New Roman" w:cs="Times New Roman"/>
          <w:b/>
          <w:bCs/>
          <w:sz w:val="24"/>
          <w:szCs w:val="24"/>
        </w:rPr>
        <w:t>.</w:t>
      </w:r>
      <w:r w:rsidR="00A34708" w:rsidRPr="00F114DE">
        <w:rPr>
          <w:rFonts w:ascii="Times New Roman" w:eastAsia="DengXian" w:hAnsi="Times New Roman" w:cs="Times New Roman"/>
          <w:b/>
          <w:bCs/>
          <w:sz w:val="24"/>
          <w:szCs w:val="24"/>
        </w:rPr>
        <w:t xml:space="preserve"> </w:t>
      </w:r>
      <w:r w:rsidR="00EB2558" w:rsidRPr="00EB2558">
        <w:rPr>
          <w:rFonts w:ascii="Times New Roman" w:eastAsia="DengXian" w:hAnsi="Times New Roman" w:cs="Times New Roman"/>
          <w:b/>
          <w:bCs/>
          <w:sz w:val="24"/>
          <w:szCs w:val="24"/>
        </w:rPr>
        <w:t xml:space="preserve">Harmonization of </w:t>
      </w:r>
      <w:r w:rsidR="001008FC">
        <w:rPr>
          <w:rFonts w:ascii="Times New Roman" w:eastAsia="DengXian" w:hAnsi="Times New Roman" w:cs="Times New Roman"/>
          <w:b/>
          <w:bCs/>
          <w:sz w:val="24"/>
          <w:szCs w:val="24"/>
        </w:rPr>
        <w:t>Cause</w:t>
      </w:r>
      <w:r w:rsidR="00EB2558" w:rsidRPr="00EB2558">
        <w:rPr>
          <w:rFonts w:ascii="Times New Roman" w:eastAsia="DengXian" w:hAnsi="Times New Roman" w:cs="Times New Roman"/>
          <w:b/>
          <w:bCs/>
          <w:sz w:val="24"/>
          <w:szCs w:val="24"/>
        </w:rPr>
        <w:t xml:space="preserve"> Descriptions and Initial Categorization</w:t>
      </w:r>
    </w:p>
    <w:p w14:paraId="46D38404" w14:textId="637AE4C0" w:rsidR="0046788B" w:rsidRPr="00184CD9" w:rsidRDefault="00891EF8" w:rsidP="00945BB7">
      <w:pPr>
        <w:spacing w:line="480" w:lineRule="auto"/>
        <w:ind w:firstLine="720"/>
        <w:jc w:val="both"/>
        <w:rPr>
          <w:rFonts w:ascii="Times New Roman" w:eastAsia="DengXian" w:hAnsi="Times New Roman" w:cs="Times New Roman"/>
          <w:sz w:val="24"/>
          <w:szCs w:val="24"/>
        </w:rPr>
      </w:pPr>
      <w:r w:rsidRPr="00891EF8">
        <w:rPr>
          <w:rFonts w:ascii="Times New Roman" w:eastAsia="DengXian" w:hAnsi="Times New Roman" w:cs="Times New Roman"/>
          <w:sz w:val="24"/>
          <w:szCs w:val="24"/>
        </w:rPr>
        <w:t xml:space="preserve">To enable structured </w:t>
      </w:r>
      <w:r w:rsidR="004B6A4C">
        <w:rPr>
          <w:rFonts w:ascii="Times New Roman" w:eastAsia="DengXian" w:hAnsi="Times New Roman" w:cs="Times New Roman"/>
          <w:sz w:val="24"/>
          <w:szCs w:val="24"/>
        </w:rPr>
        <w:t>causal analysis</w:t>
      </w:r>
      <w:r w:rsidRPr="00891EF8">
        <w:rPr>
          <w:rFonts w:ascii="Times New Roman" w:eastAsia="DengXian" w:hAnsi="Times New Roman" w:cs="Times New Roman"/>
          <w:sz w:val="24"/>
          <w:szCs w:val="24"/>
        </w:rPr>
        <w:t xml:space="preserve">, the 61 operator-provided descriptions were systematically grouped into 11 harmonized </w:t>
      </w:r>
      <w:r w:rsidR="00CA204A">
        <w:rPr>
          <w:rFonts w:ascii="Times New Roman" w:eastAsia="DengXian" w:hAnsi="Times New Roman" w:cs="Times New Roman"/>
          <w:sz w:val="24"/>
          <w:szCs w:val="24"/>
        </w:rPr>
        <w:t xml:space="preserve">causal </w:t>
      </w:r>
      <w:r w:rsidRPr="00891EF8">
        <w:rPr>
          <w:rFonts w:ascii="Times New Roman" w:eastAsia="DengXian" w:hAnsi="Times New Roman" w:cs="Times New Roman"/>
          <w:sz w:val="24"/>
          <w:szCs w:val="24"/>
        </w:rPr>
        <w:t xml:space="preserve">categories. This process involved consolidating similar </w:t>
      </w:r>
      <w:r w:rsidR="00BE7BF8">
        <w:rPr>
          <w:rFonts w:ascii="Times New Roman" w:eastAsia="DengXian" w:hAnsi="Times New Roman" w:cs="Times New Roman"/>
          <w:sz w:val="24"/>
          <w:szCs w:val="24"/>
        </w:rPr>
        <w:t>cause</w:t>
      </w:r>
      <w:r w:rsidRPr="00891EF8">
        <w:rPr>
          <w:rFonts w:ascii="Times New Roman" w:eastAsia="DengXian" w:hAnsi="Times New Roman" w:cs="Times New Roman"/>
          <w:sz w:val="24"/>
          <w:szCs w:val="24"/>
        </w:rPr>
        <w:t xml:space="preserve"> types (e.g., “dump valve stuck open,” “valve left open,” and “valve hung open” were grouped under “Incorrect Valve Position”)</w:t>
      </w:r>
      <w:r w:rsidR="00BE7BF8">
        <w:rPr>
          <w:rFonts w:ascii="Times New Roman" w:eastAsia="DengXian" w:hAnsi="Times New Roman" w:cs="Times New Roman"/>
          <w:sz w:val="24"/>
          <w:szCs w:val="24"/>
        </w:rPr>
        <w:t>.</w:t>
      </w:r>
      <w:r w:rsidR="005F519F" w:rsidRPr="005F519F">
        <w:rPr>
          <w:rFonts w:ascii="Times New Roman" w:eastAsia="DengXian" w:hAnsi="Times New Roman" w:cs="Times New Roman"/>
          <w:sz w:val="24"/>
          <w:szCs w:val="24"/>
        </w:rPr>
        <w:t xml:space="preserve"> </w:t>
      </w:r>
      <w:r w:rsidR="00F028A7">
        <w:rPr>
          <w:rFonts w:ascii="Times New Roman" w:eastAsia="DengXian" w:hAnsi="Times New Roman" w:cs="Times New Roman"/>
          <w:sz w:val="24"/>
          <w:szCs w:val="24"/>
        </w:rPr>
        <w:t>The consolidated causal categories were reviewed with all participating operators to ensure consistency, identify and correct errors, and solicit buy-in for the future categorization of emission events.</w:t>
      </w:r>
      <w:r w:rsidR="00A60738">
        <w:rPr>
          <w:rFonts w:ascii="Times New Roman" w:eastAsia="DengXian" w:hAnsi="Times New Roman" w:cs="Times New Roman"/>
          <w:sz w:val="24"/>
          <w:szCs w:val="24"/>
        </w:rPr>
        <w:t xml:space="preserve"> </w:t>
      </w:r>
      <w:r w:rsidR="005F519F" w:rsidRPr="005F519F">
        <w:rPr>
          <w:rFonts w:ascii="Times New Roman" w:eastAsia="DengXian" w:hAnsi="Times New Roman" w:cs="Times New Roman"/>
          <w:sz w:val="24"/>
          <w:szCs w:val="24"/>
        </w:rPr>
        <w:t xml:space="preserve">These 11 categories encompass nine </w:t>
      </w:r>
      <w:r w:rsidR="00CA204A">
        <w:rPr>
          <w:rFonts w:ascii="Times New Roman" w:eastAsia="DengXian" w:hAnsi="Times New Roman" w:cs="Times New Roman"/>
          <w:sz w:val="24"/>
          <w:szCs w:val="24"/>
        </w:rPr>
        <w:t>causal categories</w:t>
      </w:r>
      <w:r w:rsidR="005F519F" w:rsidRPr="005F519F">
        <w:rPr>
          <w:rFonts w:ascii="Times New Roman" w:eastAsia="DengXian" w:hAnsi="Times New Roman" w:cs="Times New Roman"/>
          <w:sz w:val="24"/>
          <w:szCs w:val="24"/>
        </w:rPr>
        <w:t xml:space="preserve"> alongside "Normal Operations" and "Unknown 3rd Party/Unidentified" sources. The nine </w:t>
      </w:r>
      <w:r w:rsidR="007C5BA0">
        <w:rPr>
          <w:rFonts w:ascii="Times New Roman" w:eastAsia="DengXian" w:hAnsi="Times New Roman" w:cs="Times New Roman"/>
          <w:sz w:val="24"/>
          <w:szCs w:val="24"/>
        </w:rPr>
        <w:t>causal</w:t>
      </w:r>
      <w:r w:rsidR="005F519F" w:rsidRPr="005F519F">
        <w:rPr>
          <w:rFonts w:ascii="Times New Roman" w:eastAsia="DengXian" w:hAnsi="Times New Roman" w:cs="Times New Roman"/>
          <w:sz w:val="24"/>
          <w:szCs w:val="24"/>
        </w:rPr>
        <w:t xml:space="preserve"> categories identified were: </w:t>
      </w:r>
      <w:r w:rsidR="000F6395">
        <w:rPr>
          <w:rFonts w:ascii="Times New Roman" w:eastAsia="DengXian" w:hAnsi="Times New Roman" w:cs="Times New Roman"/>
          <w:sz w:val="24"/>
          <w:szCs w:val="24"/>
        </w:rPr>
        <w:t>abnormal tank emissions</w:t>
      </w:r>
      <w:r w:rsidR="005F519F" w:rsidRPr="005F519F">
        <w:rPr>
          <w:rFonts w:ascii="Times New Roman" w:eastAsia="DengXian" w:hAnsi="Times New Roman" w:cs="Times New Roman"/>
          <w:sz w:val="24"/>
          <w:szCs w:val="24"/>
        </w:rPr>
        <w:t xml:space="preserve">, </w:t>
      </w:r>
      <w:r w:rsidR="00571B13">
        <w:rPr>
          <w:rFonts w:ascii="Times New Roman" w:eastAsia="DengXian" w:hAnsi="Times New Roman" w:cs="Times New Roman"/>
          <w:sz w:val="24"/>
          <w:szCs w:val="24"/>
        </w:rPr>
        <w:t>m</w:t>
      </w:r>
      <w:r w:rsidR="00571B13" w:rsidRPr="005F519F">
        <w:rPr>
          <w:rFonts w:ascii="Times New Roman" w:eastAsia="DengXian" w:hAnsi="Times New Roman" w:cs="Times New Roman"/>
          <w:sz w:val="24"/>
          <w:szCs w:val="24"/>
        </w:rPr>
        <w:t xml:space="preserve">echanical failures, incorrect valve position, </w:t>
      </w:r>
      <w:r w:rsidR="00571B13" w:rsidRPr="005F519F">
        <w:rPr>
          <w:rFonts w:ascii="Times New Roman" w:eastAsia="DengXian" w:hAnsi="Times New Roman" w:cs="Times New Roman"/>
          <w:sz w:val="24"/>
          <w:szCs w:val="24"/>
        </w:rPr>
        <w:lastRenderedPageBreak/>
        <w:t>unlit/malfunctioning flare, maintenance venting, blowdown, well</w:t>
      </w:r>
      <w:r w:rsidR="000F6395">
        <w:rPr>
          <w:rFonts w:ascii="Times New Roman" w:eastAsia="DengXian" w:hAnsi="Times New Roman" w:cs="Times New Roman"/>
          <w:sz w:val="24"/>
          <w:szCs w:val="24"/>
        </w:rPr>
        <w:t xml:space="preserve"> </w:t>
      </w:r>
      <w:r w:rsidR="00571B13" w:rsidRPr="005F519F">
        <w:rPr>
          <w:rFonts w:ascii="Times New Roman" w:eastAsia="DengXian" w:hAnsi="Times New Roman" w:cs="Times New Roman"/>
          <w:sz w:val="24"/>
          <w:szCs w:val="24"/>
        </w:rPr>
        <w:t>unloading, drilling/completions, and heater malfunction</w:t>
      </w:r>
      <w:r w:rsidR="005F519F" w:rsidRPr="005F519F">
        <w:rPr>
          <w:rFonts w:ascii="Times New Roman" w:eastAsia="DengXian" w:hAnsi="Times New Roman" w:cs="Times New Roman"/>
          <w:sz w:val="24"/>
          <w:szCs w:val="24"/>
        </w:rPr>
        <w:t>.</w:t>
      </w:r>
      <w:r w:rsidR="00470F34">
        <w:rPr>
          <w:rFonts w:ascii="Times New Roman" w:eastAsia="DengXian" w:hAnsi="Times New Roman" w:cs="Times New Roman"/>
          <w:sz w:val="24"/>
          <w:szCs w:val="24"/>
        </w:rPr>
        <w:t xml:space="preserve"> </w:t>
      </w:r>
      <w:r w:rsidR="00470F34" w:rsidRPr="00470F34">
        <w:rPr>
          <w:rFonts w:ascii="Times New Roman" w:eastAsia="DengXian" w:hAnsi="Times New Roman" w:cs="Times New Roman"/>
          <w:sz w:val="24"/>
          <w:szCs w:val="24"/>
        </w:rPr>
        <w:t xml:space="preserve">To address the potential for misattribution between process-driven events and component-level failures, particularly in interconnected systems, an attribution hierarchy was established. For instance, an emission detected at a storage tank that occurred concurrently with a documented 'well unloading' operation was categorized as 'well unloading' based on the operator's determination of the primary causal driver. Conversely, an emission from a tank with no concurrent planned operations was investigated for equipment-related issues and categorized as 'abnormal tank emissions' (e.g., due to a malfunctioning controller or leaking thief hatch). </w:t>
      </w:r>
      <w:r w:rsidR="000271ED" w:rsidRPr="00470F34">
        <w:rPr>
          <w:rFonts w:ascii="Times New Roman" w:eastAsia="DengXian" w:hAnsi="Times New Roman" w:cs="Times New Roman"/>
          <w:sz w:val="24"/>
          <w:szCs w:val="24"/>
        </w:rPr>
        <w:t xml:space="preserve">While this protocol aimed to minimize misattribution, we acknowledge that distinguishing between these types presents uncertainty, as discussed </w:t>
      </w:r>
      <w:r w:rsidR="000271ED" w:rsidRPr="00184CD9">
        <w:rPr>
          <w:rFonts w:ascii="Times New Roman" w:eastAsia="DengXian" w:hAnsi="Times New Roman" w:cs="Times New Roman"/>
          <w:sz w:val="24"/>
          <w:szCs w:val="24"/>
        </w:rPr>
        <w:t xml:space="preserve">in </w:t>
      </w:r>
      <w:r w:rsidR="000271ED">
        <w:rPr>
          <w:rFonts w:ascii="Times New Roman" w:eastAsia="DengXian" w:hAnsi="Times New Roman" w:cs="Times New Roman"/>
          <w:sz w:val="24"/>
          <w:szCs w:val="24"/>
        </w:rPr>
        <w:t>the m</w:t>
      </w:r>
      <w:r w:rsidR="000271ED" w:rsidRPr="00202A9E">
        <w:rPr>
          <w:rFonts w:ascii="Times New Roman" w:eastAsia="DengXian" w:hAnsi="Times New Roman" w:cs="Times New Roman"/>
          <w:sz w:val="24"/>
          <w:szCs w:val="24"/>
        </w:rPr>
        <w:t xml:space="preserve">ain </w:t>
      </w:r>
      <w:r w:rsidR="000271ED">
        <w:rPr>
          <w:rFonts w:ascii="Times New Roman" w:eastAsia="DengXian" w:hAnsi="Times New Roman" w:cs="Times New Roman"/>
          <w:sz w:val="24"/>
          <w:szCs w:val="24"/>
        </w:rPr>
        <w:t>t</w:t>
      </w:r>
      <w:r w:rsidR="000271ED" w:rsidRPr="00202A9E">
        <w:rPr>
          <w:rFonts w:ascii="Times New Roman" w:eastAsia="DengXian" w:hAnsi="Times New Roman" w:cs="Times New Roman"/>
          <w:sz w:val="24"/>
          <w:szCs w:val="24"/>
        </w:rPr>
        <w:t xml:space="preserve">ext </w:t>
      </w:r>
      <w:r w:rsidR="000271ED">
        <w:rPr>
          <w:rFonts w:ascii="Times New Roman" w:eastAsia="DengXian" w:hAnsi="Times New Roman" w:cs="Times New Roman"/>
          <w:sz w:val="24"/>
          <w:szCs w:val="24"/>
        </w:rPr>
        <w:t>(</w:t>
      </w:r>
      <w:r w:rsidR="000271ED" w:rsidRPr="00202A9E">
        <w:rPr>
          <w:rFonts w:ascii="Times New Roman" w:eastAsia="DengXian" w:hAnsi="Times New Roman" w:cs="Times New Roman"/>
          <w:sz w:val="24"/>
          <w:szCs w:val="24"/>
        </w:rPr>
        <w:t>Section 2.4</w:t>
      </w:r>
      <w:r w:rsidR="000271ED">
        <w:rPr>
          <w:rFonts w:ascii="Times New Roman" w:eastAsia="DengXian" w:hAnsi="Times New Roman" w:cs="Times New Roman"/>
          <w:sz w:val="24"/>
          <w:szCs w:val="24"/>
        </w:rPr>
        <w:t>)</w:t>
      </w:r>
      <w:r w:rsidR="000271ED" w:rsidRPr="00184CD9">
        <w:rPr>
          <w:rFonts w:ascii="Times New Roman" w:eastAsia="DengXian" w:hAnsi="Times New Roman" w:cs="Times New Roman"/>
          <w:sz w:val="24"/>
          <w:szCs w:val="24"/>
        </w:rPr>
        <w:t>.</w:t>
      </w:r>
      <w:r w:rsidR="00470F34" w:rsidRPr="00184CD9">
        <w:rPr>
          <w:rFonts w:ascii="Times New Roman" w:eastAsia="DengXian" w:hAnsi="Times New Roman" w:cs="Times New Roman"/>
          <w:sz w:val="24"/>
          <w:szCs w:val="24"/>
        </w:rPr>
        <w:t xml:space="preserve"> </w:t>
      </w:r>
      <w:r w:rsidR="00FC422E" w:rsidRPr="00184CD9">
        <w:rPr>
          <w:rFonts w:ascii="Times New Roman" w:eastAsia="DengXian" w:hAnsi="Times New Roman" w:cs="Times New Roman"/>
          <w:sz w:val="24"/>
          <w:szCs w:val="24"/>
        </w:rPr>
        <w:t>Therefore,</w:t>
      </w:r>
      <w:r w:rsidR="00FC422E" w:rsidRPr="00184CD9">
        <w:t xml:space="preserve"> </w:t>
      </w:r>
      <w:r w:rsidR="00FC422E" w:rsidRPr="00184CD9">
        <w:rPr>
          <w:rFonts w:ascii="Times New Roman" w:eastAsia="DengXian" w:hAnsi="Times New Roman" w:cs="Times New Roman"/>
          <w:sz w:val="24"/>
          <w:szCs w:val="24"/>
        </w:rPr>
        <w:t xml:space="preserve">operator reporting consistency and research team review were critical in mitigating uncertainty. </w:t>
      </w:r>
      <w:r w:rsidR="000271ED" w:rsidRPr="00184CD9">
        <w:rPr>
          <w:rFonts w:ascii="Times New Roman" w:eastAsia="DengXian" w:hAnsi="Times New Roman" w:cs="Times New Roman"/>
          <w:sz w:val="24"/>
          <w:szCs w:val="24"/>
        </w:rPr>
        <w:t xml:space="preserve">Supplementary </w:t>
      </w:r>
      <w:r w:rsidR="000271ED" w:rsidRPr="00202A9E">
        <w:rPr>
          <w:rFonts w:ascii="Times New Roman" w:eastAsia="DengXian" w:hAnsi="Times New Roman" w:cs="Times New Roman"/>
          <w:sz w:val="24"/>
          <w:szCs w:val="24"/>
        </w:rPr>
        <w:t>Fig. 2</w:t>
      </w:r>
      <w:r w:rsidR="000271ED" w:rsidRPr="00184CD9">
        <w:rPr>
          <w:rFonts w:ascii="Times New Roman" w:eastAsia="DengXian" w:hAnsi="Times New Roman" w:cs="Times New Roman"/>
          <w:sz w:val="24"/>
          <w:szCs w:val="24"/>
        </w:rPr>
        <w:t xml:space="preserve"> shows the distribution of all 1,669 events across the 11 harmonized categories.</w:t>
      </w:r>
      <w:r w:rsidR="00945BB7" w:rsidRPr="00184CD9">
        <w:rPr>
          <w:rFonts w:ascii="Times New Roman" w:eastAsia="DengXian" w:hAnsi="Times New Roman" w:cs="Times New Roman"/>
          <w:sz w:val="24"/>
          <w:szCs w:val="24"/>
        </w:rPr>
        <w:t xml:space="preserve"> </w:t>
      </w:r>
      <w:r w:rsidR="000271ED" w:rsidRPr="00184CD9">
        <w:rPr>
          <w:rFonts w:ascii="Times New Roman" w:eastAsia="DengXian" w:hAnsi="Times New Roman" w:cs="Times New Roman"/>
          <w:sz w:val="24"/>
          <w:szCs w:val="24"/>
        </w:rPr>
        <w:t xml:space="preserve">The full mapping of operator descriptions to harmonized categories is provided in </w:t>
      </w:r>
      <w:r w:rsidR="000271ED" w:rsidRPr="00202A9E">
        <w:rPr>
          <w:rFonts w:ascii="Times New Roman" w:eastAsia="DengXian" w:hAnsi="Times New Roman" w:cs="Times New Roman"/>
          <w:sz w:val="24"/>
          <w:szCs w:val="24"/>
        </w:rPr>
        <w:t>Table 1</w:t>
      </w:r>
      <w:r w:rsidR="000271ED">
        <w:rPr>
          <w:rFonts w:ascii="Times New Roman" w:eastAsia="DengXian" w:hAnsi="Times New Roman" w:cs="Times New Roman"/>
          <w:sz w:val="24"/>
          <w:szCs w:val="24"/>
        </w:rPr>
        <w:t xml:space="preserve"> (m</w:t>
      </w:r>
      <w:r w:rsidR="000271ED" w:rsidRPr="00202A9E">
        <w:rPr>
          <w:rFonts w:ascii="Times New Roman" w:eastAsia="DengXian" w:hAnsi="Times New Roman" w:cs="Times New Roman"/>
          <w:sz w:val="24"/>
          <w:szCs w:val="24"/>
        </w:rPr>
        <w:t xml:space="preserve">ain </w:t>
      </w:r>
      <w:r w:rsidR="000271ED">
        <w:rPr>
          <w:rFonts w:ascii="Times New Roman" w:eastAsia="DengXian" w:hAnsi="Times New Roman" w:cs="Times New Roman"/>
          <w:sz w:val="24"/>
          <w:szCs w:val="24"/>
        </w:rPr>
        <w:t>t</w:t>
      </w:r>
      <w:r w:rsidR="000271ED" w:rsidRPr="00202A9E">
        <w:rPr>
          <w:rFonts w:ascii="Times New Roman" w:eastAsia="DengXian" w:hAnsi="Times New Roman" w:cs="Times New Roman"/>
          <w:sz w:val="24"/>
          <w:szCs w:val="24"/>
        </w:rPr>
        <w:t>ext</w:t>
      </w:r>
      <w:r w:rsidR="000271ED">
        <w:rPr>
          <w:rFonts w:ascii="Times New Roman" w:eastAsia="DengXian" w:hAnsi="Times New Roman" w:cs="Times New Roman"/>
          <w:sz w:val="24"/>
          <w:szCs w:val="24"/>
        </w:rPr>
        <w:t>)</w:t>
      </w:r>
      <w:r w:rsidR="000271ED" w:rsidRPr="00184CD9">
        <w:rPr>
          <w:rFonts w:ascii="Times New Roman" w:eastAsia="DengXian" w:hAnsi="Times New Roman" w:cs="Times New Roman"/>
          <w:sz w:val="24"/>
          <w:szCs w:val="24"/>
        </w:rPr>
        <w:t>.</w:t>
      </w:r>
      <w:r w:rsidR="006E04DC" w:rsidRPr="00184CD9">
        <w:rPr>
          <w:rFonts w:ascii="Times New Roman" w:eastAsia="DengXian" w:hAnsi="Times New Roman" w:cs="Times New Roman"/>
          <w:sz w:val="24"/>
          <w:szCs w:val="24"/>
        </w:rPr>
        <w:t xml:space="preserve"> </w:t>
      </w:r>
      <w:r w:rsidR="002D2A46" w:rsidRPr="00184CD9">
        <w:rPr>
          <w:rFonts w:ascii="Times New Roman" w:eastAsia="DengXian" w:hAnsi="Times New Roman" w:cs="Times New Roman"/>
          <w:sz w:val="24"/>
          <w:szCs w:val="24"/>
        </w:rPr>
        <w:t xml:space="preserve">Supplementary </w:t>
      </w:r>
      <w:r w:rsidR="00401F75" w:rsidRPr="00202A9E">
        <w:rPr>
          <w:rFonts w:ascii="Times New Roman" w:eastAsia="DengXian" w:hAnsi="Times New Roman" w:cs="Times New Roman"/>
          <w:sz w:val="24"/>
          <w:szCs w:val="24"/>
        </w:rPr>
        <w:t>Fig</w:t>
      </w:r>
      <w:r w:rsidR="002D2A46" w:rsidRPr="00202A9E">
        <w:rPr>
          <w:rFonts w:ascii="Times New Roman" w:eastAsia="DengXian" w:hAnsi="Times New Roman" w:cs="Times New Roman"/>
          <w:sz w:val="24"/>
          <w:szCs w:val="24"/>
        </w:rPr>
        <w:t xml:space="preserve">. </w:t>
      </w:r>
      <w:r w:rsidR="00401F75" w:rsidRPr="00202A9E">
        <w:rPr>
          <w:rFonts w:ascii="Times New Roman" w:eastAsia="DengXian" w:hAnsi="Times New Roman" w:cs="Times New Roman"/>
          <w:sz w:val="24"/>
          <w:szCs w:val="24"/>
        </w:rPr>
        <w:t>3</w:t>
      </w:r>
      <w:r w:rsidR="00401F75" w:rsidRPr="00184CD9">
        <w:rPr>
          <w:rFonts w:ascii="Times New Roman" w:eastAsia="DengXian" w:hAnsi="Times New Roman" w:cs="Times New Roman"/>
          <w:sz w:val="24"/>
          <w:szCs w:val="24"/>
        </w:rPr>
        <w:t xml:space="preserve"> shows the distribution of total emission rate attributable to events across the 11 harmonized </w:t>
      </w:r>
      <w:r w:rsidR="00663043" w:rsidRPr="00184CD9">
        <w:rPr>
          <w:rFonts w:ascii="Times New Roman" w:eastAsia="DengXian" w:hAnsi="Times New Roman" w:cs="Times New Roman"/>
          <w:sz w:val="24"/>
          <w:szCs w:val="24"/>
        </w:rPr>
        <w:t>causal categories</w:t>
      </w:r>
      <w:r w:rsidR="00401F75" w:rsidRPr="00184CD9">
        <w:rPr>
          <w:rFonts w:ascii="Times New Roman" w:eastAsia="DengXian" w:hAnsi="Times New Roman" w:cs="Times New Roman"/>
          <w:sz w:val="24"/>
          <w:szCs w:val="24"/>
        </w:rPr>
        <w:t xml:space="preserve">. </w:t>
      </w:r>
    </w:p>
    <w:p w14:paraId="72FE736F" w14:textId="77777777" w:rsidR="00E006A5" w:rsidRDefault="00E006A5" w:rsidP="00945BB7">
      <w:pPr>
        <w:spacing w:line="480" w:lineRule="auto"/>
        <w:ind w:firstLine="720"/>
        <w:jc w:val="both"/>
        <w:rPr>
          <w:rFonts w:ascii="Times New Roman" w:eastAsia="DengXian" w:hAnsi="Times New Roman" w:cs="Times New Roman"/>
          <w:sz w:val="24"/>
          <w:szCs w:val="24"/>
        </w:rPr>
      </w:pPr>
    </w:p>
    <w:p w14:paraId="37C2CC08" w14:textId="4C5F2E9D" w:rsidR="00B21076" w:rsidRDefault="00ED5A8E" w:rsidP="00B21076">
      <w:pPr>
        <w:spacing w:line="240" w:lineRule="auto"/>
        <w:rPr>
          <w:rFonts w:ascii="Times New Roman" w:eastAsia="Times New Roman" w:hAnsi="Times New Roman" w:cs="Times New Roman"/>
          <w:b/>
          <w:bCs/>
          <w:color w:val="000000"/>
          <w:sz w:val="24"/>
          <w:szCs w:val="24"/>
          <w:lang w:eastAsia="en-US"/>
        </w:rPr>
      </w:pPr>
      <w:r w:rsidRPr="00ED5A8E">
        <w:rPr>
          <w:rFonts w:ascii="Times New Roman" w:eastAsia="DengXian" w:hAnsi="Times New Roman" w:cs="Times New Roman"/>
          <w:noProof/>
          <w:sz w:val="24"/>
          <w:szCs w:val="24"/>
        </w:rPr>
        <w:lastRenderedPageBreak/>
        <w:drawing>
          <wp:inline distT="0" distB="0" distL="0" distR="0" wp14:anchorId="7A625BF4" wp14:editId="431C3084">
            <wp:extent cx="5492750" cy="3121882"/>
            <wp:effectExtent l="0" t="0" r="0" b="2540"/>
            <wp:docPr id="975599525" name="Picture 3" descr="A graph with blue bars&#10;&#10;AI-generated content may be incorrect.">
              <a:extLst xmlns:a="http://schemas.openxmlformats.org/drawingml/2006/main">
                <a:ext uri="{FF2B5EF4-FFF2-40B4-BE49-F238E27FC236}">
                  <a16:creationId xmlns:a16="http://schemas.microsoft.com/office/drawing/2014/main" id="{BF50275F-4138-23F4-5C0F-6B19D7CC36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graph with blue bars&#10;&#10;AI-generated content may be incorrect.">
                      <a:extLst>
                        <a:ext uri="{FF2B5EF4-FFF2-40B4-BE49-F238E27FC236}">
                          <a16:creationId xmlns:a16="http://schemas.microsoft.com/office/drawing/2014/main" id="{BF50275F-4138-23F4-5C0F-6B19D7CC36E2}"/>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17567" cy="3135987"/>
                    </a:xfrm>
                    <a:prstGeom prst="rect">
                      <a:avLst/>
                    </a:prstGeom>
                  </pic:spPr>
                </pic:pic>
              </a:graphicData>
            </a:graphic>
          </wp:inline>
        </w:drawing>
      </w:r>
    </w:p>
    <w:p w14:paraId="7FF06350" w14:textId="2565A501" w:rsidR="001F4519" w:rsidRDefault="002D2A46" w:rsidP="00B21076">
      <w:pPr>
        <w:spacing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
          <w:bCs/>
          <w:color w:val="000000"/>
          <w:sz w:val="24"/>
          <w:szCs w:val="24"/>
          <w:lang w:eastAsia="en-US"/>
        </w:rPr>
        <w:t xml:space="preserve">Supplementary </w:t>
      </w:r>
      <w:r w:rsidR="0046788B" w:rsidRPr="003E3203">
        <w:rPr>
          <w:rFonts w:ascii="Times New Roman" w:eastAsia="Times New Roman" w:hAnsi="Times New Roman" w:cs="Times New Roman"/>
          <w:b/>
          <w:bCs/>
          <w:color w:val="000000"/>
          <w:sz w:val="24"/>
          <w:szCs w:val="24"/>
          <w:lang w:eastAsia="en-US"/>
        </w:rPr>
        <w:t>Fig</w:t>
      </w:r>
      <w:r>
        <w:rPr>
          <w:rFonts w:ascii="Times New Roman" w:eastAsia="Times New Roman" w:hAnsi="Times New Roman" w:cs="Times New Roman"/>
          <w:b/>
          <w:bCs/>
          <w:color w:val="000000"/>
          <w:sz w:val="24"/>
          <w:szCs w:val="24"/>
          <w:lang w:eastAsia="en-US"/>
        </w:rPr>
        <w:t>.</w:t>
      </w:r>
      <w:r w:rsidR="0046788B" w:rsidRPr="003E3203">
        <w:rPr>
          <w:rFonts w:ascii="Times New Roman" w:eastAsia="Times New Roman" w:hAnsi="Times New Roman" w:cs="Times New Roman"/>
          <w:b/>
          <w:bCs/>
          <w:color w:val="000000"/>
          <w:sz w:val="24"/>
          <w:szCs w:val="24"/>
          <w:lang w:eastAsia="en-US"/>
        </w:rPr>
        <w:t xml:space="preserve"> </w:t>
      </w:r>
      <w:r w:rsidR="0046788B">
        <w:rPr>
          <w:rFonts w:ascii="Times New Roman" w:eastAsia="Times New Roman" w:hAnsi="Times New Roman" w:cs="Times New Roman"/>
          <w:b/>
          <w:bCs/>
          <w:color w:val="000000"/>
          <w:sz w:val="24"/>
          <w:szCs w:val="24"/>
          <w:lang w:eastAsia="en-US"/>
        </w:rPr>
        <w:t>2</w:t>
      </w:r>
      <w:r w:rsidR="0046788B" w:rsidRPr="003E3203">
        <w:rPr>
          <w:rFonts w:ascii="Times New Roman" w:eastAsia="Times New Roman" w:hAnsi="Times New Roman" w:cs="Times New Roman"/>
          <w:color w:val="000000"/>
          <w:sz w:val="24"/>
          <w:szCs w:val="24"/>
          <w:lang w:eastAsia="en-US"/>
        </w:rPr>
        <w:t xml:space="preserve">: </w:t>
      </w:r>
      <w:r w:rsidR="00E64314" w:rsidRPr="00E64314">
        <w:rPr>
          <w:rFonts w:ascii="Times New Roman" w:eastAsia="Times New Roman" w:hAnsi="Times New Roman" w:cs="Times New Roman"/>
          <w:color w:val="000000"/>
          <w:sz w:val="24"/>
          <w:szCs w:val="24"/>
          <w:lang w:eastAsia="en-US"/>
        </w:rPr>
        <w:t xml:space="preserve">Distribution of 1,669 methane emission events across 11 harmonized </w:t>
      </w:r>
      <w:r w:rsidR="00865DFF">
        <w:rPr>
          <w:rFonts w:ascii="Times New Roman" w:eastAsia="Times New Roman" w:hAnsi="Times New Roman" w:cs="Times New Roman"/>
          <w:color w:val="000000"/>
          <w:sz w:val="24"/>
          <w:szCs w:val="24"/>
          <w:lang w:eastAsia="en-US"/>
        </w:rPr>
        <w:t>caus</w:t>
      </w:r>
      <w:r w:rsidR="00663043">
        <w:rPr>
          <w:rFonts w:ascii="Times New Roman" w:eastAsia="Times New Roman" w:hAnsi="Times New Roman" w:cs="Times New Roman"/>
          <w:color w:val="000000"/>
          <w:sz w:val="24"/>
          <w:szCs w:val="24"/>
          <w:lang w:eastAsia="en-US"/>
        </w:rPr>
        <w:t>al</w:t>
      </w:r>
      <w:r w:rsidR="00E64314" w:rsidRPr="00E64314">
        <w:rPr>
          <w:rFonts w:ascii="Times New Roman" w:eastAsia="Times New Roman" w:hAnsi="Times New Roman" w:cs="Times New Roman"/>
          <w:color w:val="000000"/>
          <w:sz w:val="24"/>
          <w:szCs w:val="24"/>
          <w:lang w:eastAsia="en-US"/>
        </w:rPr>
        <w:t xml:space="preserve"> categories. </w:t>
      </w:r>
      <w:r w:rsidR="00C20868" w:rsidRPr="00C20868">
        <w:rPr>
          <w:rFonts w:ascii="Times New Roman" w:eastAsia="Times New Roman" w:hAnsi="Times New Roman" w:cs="Times New Roman"/>
          <w:color w:val="000000"/>
          <w:sz w:val="24"/>
          <w:szCs w:val="24"/>
          <w:lang w:eastAsia="en-US"/>
        </w:rPr>
        <w:t>These categories include nine distinct operational causal mechanisms, along with "Normal Operations" and "Unknown 3rd Party/Unidentified" sources. The number of emission events in each category is annotated above each corresponding bar, providing a clear overview of the frequency distribution across the categorized causes</w:t>
      </w:r>
      <w:r w:rsidR="00E64314" w:rsidRPr="00E64314">
        <w:rPr>
          <w:rFonts w:ascii="Times New Roman" w:eastAsia="Times New Roman" w:hAnsi="Times New Roman" w:cs="Times New Roman"/>
          <w:color w:val="000000"/>
          <w:sz w:val="24"/>
          <w:szCs w:val="24"/>
          <w:lang w:eastAsia="en-US"/>
        </w:rPr>
        <w:t>.</w:t>
      </w:r>
    </w:p>
    <w:p w14:paraId="2E3DBB69" w14:textId="77777777" w:rsidR="00D31E11" w:rsidRDefault="00D31E11" w:rsidP="00B21076">
      <w:pPr>
        <w:spacing w:line="240" w:lineRule="auto"/>
        <w:rPr>
          <w:rFonts w:ascii="Times New Roman" w:eastAsia="Times New Roman" w:hAnsi="Times New Roman" w:cs="Times New Roman"/>
          <w:color w:val="000000"/>
          <w:sz w:val="24"/>
          <w:szCs w:val="24"/>
          <w:lang w:eastAsia="en-US"/>
        </w:rPr>
      </w:pPr>
    </w:p>
    <w:p w14:paraId="0A49CFDE" w14:textId="125FEA19" w:rsidR="001F4519" w:rsidRPr="001F4519" w:rsidRDefault="00ED5A8E" w:rsidP="001F4519">
      <w:pPr>
        <w:spacing w:line="240" w:lineRule="auto"/>
        <w:jc w:val="both"/>
        <w:rPr>
          <w:rFonts w:ascii="Times New Roman" w:eastAsia="DengXian" w:hAnsi="Times New Roman" w:cs="Times New Roman"/>
          <w:sz w:val="24"/>
          <w:szCs w:val="24"/>
        </w:rPr>
      </w:pPr>
      <w:r w:rsidRPr="00ED5A8E">
        <w:rPr>
          <w:rFonts w:ascii="Times New Roman" w:eastAsia="DengXian" w:hAnsi="Times New Roman" w:cs="Times New Roman"/>
          <w:noProof/>
          <w:sz w:val="24"/>
          <w:szCs w:val="24"/>
        </w:rPr>
        <w:drawing>
          <wp:inline distT="0" distB="0" distL="0" distR="0" wp14:anchorId="04A48BA4" wp14:editId="55553A12">
            <wp:extent cx="5594350" cy="3179629"/>
            <wp:effectExtent l="0" t="0" r="6350" b="1905"/>
            <wp:docPr id="390832441" name="Picture 3" descr="A graph with blue bars&#10;&#10;AI-generated content may be incorrect.">
              <a:extLst xmlns:a="http://schemas.openxmlformats.org/drawingml/2006/main">
                <a:ext uri="{FF2B5EF4-FFF2-40B4-BE49-F238E27FC236}">
                  <a16:creationId xmlns:a16="http://schemas.microsoft.com/office/drawing/2014/main" id="{ABF8DD1B-D0C9-6CC5-60DF-A1308E8EBC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graph with blue bars&#10;&#10;AI-generated content may be incorrect.">
                      <a:extLst>
                        <a:ext uri="{FF2B5EF4-FFF2-40B4-BE49-F238E27FC236}">
                          <a16:creationId xmlns:a16="http://schemas.microsoft.com/office/drawing/2014/main" id="{ABF8DD1B-D0C9-6CC5-60DF-A1308E8EBCD3}"/>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22052" cy="3195374"/>
                    </a:xfrm>
                    <a:prstGeom prst="rect">
                      <a:avLst/>
                    </a:prstGeom>
                  </pic:spPr>
                </pic:pic>
              </a:graphicData>
            </a:graphic>
          </wp:inline>
        </w:drawing>
      </w:r>
    </w:p>
    <w:p w14:paraId="5CE719E3" w14:textId="5AC8828B" w:rsidR="00D31E11" w:rsidRDefault="002D2A46" w:rsidP="001F4519">
      <w:pPr>
        <w:spacing w:line="24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
          <w:bCs/>
          <w:color w:val="000000"/>
          <w:sz w:val="24"/>
          <w:szCs w:val="24"/>
          <w:lang w:eastAsia="en-US"/>
        </w:rPr>
        <w:t>Supplementary</w:t>
      </w:r>
      <w:r w:rsidRPr="003E3203">
        <w:rPr>
          <w:rFonts w:ascii="Times New Roman" w:eastAsia="Times New Roman" w:hAnsi="Times New Roman" w:cs="Times New Roman"/>
          <w:b/>
          <w:bCs/>
          <w:color w:val="000000"/>
          <w:sz w:val="24"/>
          <w:szCs w:val="24"/>
          <w:lang w:eastAsia="en-US"/>
        </w:rPr>
        <w:t xml:space="preserve"> </w:t>
      </w:r>
      <w:r w:rsidR="001F4519" w:rsidRPr="003E3203">
        <w:rPr>
          <w:rFonts w:ascii="Times New Roman" w:eastAsia="Times New Roman" w:hAnsi="Times New Roman" w:cs="Times New Roman"/>
          <w:b/>
          <w:bCs/>
          <w:color w:val="000000"/>
          <w:sz w:val="24"/>
          <w:szCs w:val="24"/>
          <w:lang w:eastAsia="en-US"/>
        </w:rPr>
        <w:t>Fig</w:t>
      </w:r>
      <w:r>
        <w:rPr>
          <w:rFonts w:ascii="Times New Roman" w:eastAsia="Times New Roman" w:hAnsi="Times New Roman" w:cs="Times New Roman"/>
          <w:b/>
          <w:bCs/>
          <w:color w:val="000000"/>
          <w:sz w:val="24"/>
          <w:szCs w:val="24"/>
          <w:lang w:eastAsia="en-US"/>
        </w:rPr>
        <w:t>.</w:t>
      </w:r>
      <w:r w:rsidR="001F4519" w:rsidRPr="003E3203">
        <w:rPr>
          <w:rFonts w:ascii="Times New Roman" w:eastAsia="Times New Roman" w:hAnsi="Times New Roman" w:cs="Times New Roman"/>
          <w:b/>
          <w:bCs/>
          <w:color w:val="000000"/>
          <w:sz w:val="24"/>
          <w:szCs w:val="24"/>
          <w:lang w:eastAsia="en-US"/>
        </w:rPr>
        <w:t xml:space="preserve"> </w:t>
      </w:r>
      <w:r w:rsidR="003D1A84">
        <w:rPr>
          <w:rFonts w:ascii="Times New Roman" w:eastAsia="Times New Roman" w:hAnsi="Times New Roman" w:cs="Times New Roman"/>
          <w:b/>
          <w:bCs/>
          <w:color w:val="000000"/>
          <w:sz w:val="24"/>
          <w:szCs w:val="24"/>
          <w:lang w:eastAsia="en-US"/>
        </w:rPr>
        <w:t>3</w:t>
      </w:r>
      <w:r w:rsidR="001F4519" w:rsidRPr="003E3203">
        <w:rPr>
          <w:rFonts w:ascii="Times New Roman" w:eastAsia="Times New Roman" w:hAnsi="Times New Roman" w:cs="Times New Roman"/>
          <w:color w:val="000000"/>
          <w:sz w:val="24"/>
          <w:szCs w:val="24"/>
          <w:lang w:eastAsia="en-US"/>
        </w:rPr>
        <w:t xml:space="preserve">: </w:t>
      </w:r>
      <w:r w:rsidR="003E265F" w:rsidRPr="003E265F">
        <w:rPr>
          <w:rFonts w:ascii="Times New Roman" w:eastAsia="Times New Roman" w:hAnsi="Times New Roman" w:cs="Times New Roman"/>
          <w:color w:val="000000"/>
          <w:sz w:val="24"/>
          <w:szCs w:val="24"/>
          <w:lang w:eastAsia="en-US"/>
        </w:rPr>
        <w:t xml:space="preserve">Distribution of total measured methane emissions </w:t>
      </w:r>
      <w:r w:rsidR="003E265F">
        <w:rPr>
          <w:rFonts w:ascii="Times New Roman" w:eastAsia="Times New Roman" w:hAnsi="Times New Roman" w:cs="Times New Roman"/>
          <w:color w:val="000000"/>
          <w:sz w:val="24"/>
          <w:szCs w:val="24"/>
          <w:lang w:eastAsia="en-US"/>
        </w:rPr>
        <w:t xml:space="preserve">rate </w:t>
      </w:r>
      <w:r w:rsidR="003E265F" w:rsidRPr="003E265F">
        <w:rPr>
          <w:rFonts w:ascii="Times New Roman" w:eastAsia="Times New Roman" w:hAnsi="Times New Roman" w:cs="Times New Roman"/>
          <w:color w:val="000000"/>
          <w:sz w:val="24"/>
          <w:szCs w:val="24"/>
          <w:lang w:eastAsia="en-US"/>
        </w:rPr>
        <w:t xml:space="preserve">across the 11 harmonized </w:t>
      </w:r>
      <w:r w:rsidR="00663043">
        <w:rPr>
          <w:rFonts w:ascii="Times New Roman" w:eastAsia="Times New Roman" w:hAnsi="Times New Roman" w:cs="Times New Roman"/>
          <w:color w:val="000000"/>
          <w:sz w:val="24"/>
          <w:szCs w:val="24"/>
          <w:lang w:eastAsia="en-US"/>
        </w:rPr>
        <w:t>causal</w:t>
      </w:r>
      <w:r w:rsidR="003E265F" w:rsidRPr="003E265F">
        <w:rPr>
          <w:rFonts w:ascii="Times New Roman" w:eastAsia="Times New Roman" w:hAnsi="Times New Roman" w:cs="Times New Roman"/>
          <w:color w:val="000000"/>
          <w:sz w:val="24"/>
          <w:szCs w:val="24"/>
          <w:lang w:eastAsia="en-US"/>
        </w:rPr>
        <w:t xml:space="preserve"> categories. These categories include nine distinct </w:t>
      </w:r>
      <w:r w:rsidR="002A13B5">
        <w:rPr>
          <w:rFonts w:ascii="Times New Roman" w:eastAsia="Times New Roman" w:hAnsi="Times New Roman" w:cs="Times New Roman"/>
          <w:color w:val="000000"/>
          <w:sz w:val="24"/>
          <w:szCs w:val="24"/>
          <w:lang w:eastAsia="en-US"/>
        </w:rPr>
        <w:t>causal categories</w:t>
      </w:r>
      <w:r w:rsidR="003E265F" w:rsidRPr="003E265F">
        <w:rPr>
          <w:rFonts w:ascii="Times New Roman" w:eastAsia="Times New Roman" w:hAnsi="Times New Roman" w:cs="Times New Roman"/>
          <w:color w:val="000000"/>
          <w:sz w:val="24"/>
          <w:szCs w:val="24"/>
          <w:lang w:eastAsia="en-US"/>
        </w:rPr>
        <w:t xml:space="preserve">, "Normal </w:t>
      </w:r>
      <w:r w:rsidR="003E265F" w:rsidRPr="003E265F">
        <w:rPr>
          <w:rFonts w:ascii="Times New Roman" w:eastAsia="Times New Roman" w:hAnsi="Times New Roman" w:cs="Times New Roman"/>
          <w:color w:val="000000"/>
          <w:sz w:val="24"/>
          <w:szCs w:val="24"/>
          <w:lang w:eastAsia="en-US"/>
        </w:rPr>
        <w:lastRenderedPageBreak/>
        <w:t xml:space="preserve">Operations," and "Unknown 3rd Party/Unidentified" sources. </w:t>
      </w:r>
      <w:r w:rsidR="000271ED" w:rsidRPr="003E265F">
        <w:rPr>
          <w:rFonts w:ascii="Times New Roman" w:eastAsia="Times New Roman" w:hAnsi="Times New Roman" w:cs="Times New Roman"/>
          <w:color w:val="000000"/>
          <w:sz w:val="24"/>
          <w:szCs w:val="24"/>
          <w:lang w:eastAsia="en-US"/>
        </w:rPr>
        <w:t xml:space="preserve">The total methane </w:t>
      </w:r>
      <w:r w:rsidR="000271ED">
        <w:rPr>
          <w:rFonts w:ascii="Times New Roman" w:eastAsia="Times New Roman" w:hAnsi="Times New Roman" w:cs="Times New Roman"/>
          <w:color w:val="000000"/>
          <w:sz w:val="24"/>
          <w:szCs w:val="24"/>
          <w:lang w:eastAsia="en-US"/>
        </w:rPr>
        <w:t xml:space="preserve">emission rates </w:t>
      </w:r>
      <w:r w:rsidR="000271ED" w:rsidRPr="003E265F">
        <w:rPr>
          <w:rFonts w:ascii="Times New Roman" w:eastAsia="Times New Roman" w:hAnsi="Times New Roman" w:cs="Times New Roman"/>
          <w:color w:val="000000"/>
          <w:sz w:val="24"/>
          <w:szCs w:val="24"/>
          <w:lang w:eastAsia="en-US"/>
        </w:rPr>
        <w:t xml:space="preserve">attributed to each category are annotated above </w:t>
      </w:r>
      <w:r w:rsidR="000271ED" w:rsidRPr="00C20868">
        <w:rPr>
          <w:rFonts w:ascii="Times New Roman" w:eastAsia="Times New Roman" w:hAnsi="Times New Roman" w:cs="Times New Roman"/>
          <w:color w:val="000000"/>
          <w:sz w:val="24"/>
          <w:szCs w:val="24"/>
          <w:lang w:eastAsia="en-US"/>
        </w:rPr>
        <w:t>the corresponding bars, providing insights into the relative contribution of each causal category to the overall emission</w:t>
      </w:r>
      <w:r w:rsidR="006050A3">
        <w:rPr>
          <w:rFonts w:ascii="Times New Roman" w:eastAsia="Times New Roman" w:hAnsi="Times New Roman" w:cs="Times New Roman"/>
          <w:color w:val="000000"/>
          <w:sz w:val="24"/>
          <w:szCs w:val="24"/>
          <w:lang w:eastAsia="en-US"/>
        </w:rPr>
        <w:t xml:space="preserve"> mass</w:t>
      </w:r>
      <w:r w:rsidR="000271ED" w:rsidRPr="00C20868">
        <w:rPr>
          <w:rFonts w:ascii="Times New Roman" w:eastAsia="Times New Roman" w:hAnsi="Times New Roman" w:cs="Times New Roman"/>
          <w:color w:val="000000"/>
          <w:sz w:val="24"/>
          <w:szCs w:val="24"/>
          <w:lang w:eastAsia="en-US"/>
        </w:rPr>
        <w:t xml:space="preserve"> profile.</w:t>
      </w:r>
    </w:p>
    <w:p w14:paraId="5E82E90A" w14:textId="77777777" w:rsidR="0046788B" w:rsidRDefault="0046788B" w:rsidP="00202A9E">
      <w:pPr>
        <w:spacing w:line="240" w:lineRule="auto"/>
        <w:jc w:val="both"/>
        <w:rPr>
          <w:rFonts w:ascii="Times New Roman" w:eastAsia="Times New Roman" w:hAnsi="Times New Roman" w:cs="Times New Roman"/>
          <w:color w:val="000000"/>
          <w:sz w:val="24"/>
          <w:szCs w:val="24"/>
          <w:lang w:eastAsia="en-US"/>
        </w:rPr>
      </w:pPr>
    </w:p>
    <w:p w14:paraId="3B9DBAE8" w14:textId="3872215A" w:rsidR="00E64314" w:rsidRPr="00EB2558" w:rsidRDefault="00CE1503" w:rsidP="00E64314">
      <w:pPr>
        <w:spacing w:line="480" w:lineRule="auto"/>
        <w:jc w:val="both"/>
        <w:rPr>
          <w:rFonts w:ascii="Times New Roman" w:eastAsia="DengXian" w:hAnsi="Times New Roman" w:cs="Times New Roman"/>
          <w:b/>
          <w:bCs/>
          <w:sz w:val="24"/>
          <w:szCs w:val="24"/>
        </w:rPr>
      </w:pPr>
      <w:r>
        <w:rPr>
          <w:rFonts w:ascii="Times New Roman" w:eastAsia="DengXian" w:hAnsi="Times New Roman" w:cs="Times New Roman"/>
          <w:b/>
          <w:bCs/>
          <w:sz w:val="24"/>
          <w:szCs w:val="24"/>
        </w:rPr>
        <w:t xml:space="preserve">Supplementary Note </w:t>
      </w:r>
      <w:r w:rsidR="00E64314" w:rsidRPr="00F114DE">
        <w:rPr>
          <w:rFonts w:ascii="Times New Roman" w:eastAsia="DengXian" w:hAnsi="Times New Roman" w:cs="Times New Roman"/>
          <w:b/>
          <w:bCs/>
          <w:sz w:val="24"/>
          <w:szCs w:val="24"/>
        </w:rPr>
        <w:t>S1.</w:t>
      </w:r>
      <w:r w:rsidR="00B05081">
        <w:rPr>
          <w:rFonts w:ascii="Times New Roman" w:eastAsia="DengXian" w:hAnsi="Times New Roman" w:cs="Times New Roman"/>
          <w:b/>
          <w:bCs/>
          <w:sz w:val="24"/>
          <w:szCs w:val="24"/>
        </w:rPr>
        <w:t>3</w:t>
      </w:r>
      <w:r>
        <w:rPr>
          <w:rFonts w:ascii="Times New Roman" w:eastAsia="DengXian" w:hAnsi="Times New Roman" w:cs="Times New Roman"/>
          <w:b/>
          <w:bCs/>
          <w:sz w:val="24"/>
          <w:szCs w:val="24"/>
        </w:rPr>
        <w:t>.</w:t>
      </w:r>
      <w:r w:rsidR="00E64314" w:rsidRPr="00F114DE">
        <w:rPr>
          <w:rFonts w:ascii="Times New Roman" w:eastAsia="DengXian" w:hAnsi="Times New Roman" w:cs="Times New Roman"/>
          <w:b/>
          <w:bCs/>
          <w:sz w:val="24"/>
          <w:szCs w:val="24"/>
        </w:rPr>
        <w:t xml:space="preserve"> </w:t>
      </w:r>
      <w:r w:rsidR="00663043">
        <w:rPr>
          <w:rFonts w:ascii="Times New Roman" w:eastAsia="DengXian" w:hAnsi="Times New Roman" w:cs="Times New Roman"/>
          <w:b/>
          <w:bCs/>
          <w:sz w:val="24"/>
          <w:szCs w:val="24"/>
        </w:rPr>
        <w:t xml:space="preserve">Causal Categories </w:t>
      </w:r>
      <w:r w:rsidR="00865DFF" w:rsidRPr="00E64314">
        <w:rPr>
          <w:rFonts w:ascii="Times New Roman" w:eastAsia="DengXian" w:hAnsi="Times New Roman" w:cs="Times New Roman"/>
          <w:b/>
          <w:bCs/>
          <w:sz w:val="24"/>
          <w:szCs w:val="24"/>
        </w:rPr>
        <w:t>Exclusion</w:t>
      </w:r>
      <w:r w:rsidR="00865DFF">
        <w:rPr>
          <w:rFonts w:ascii="Times New Roman" w:eastAsia="DengXian" w:hAnsi="Times New Roman" w:cs="Times New Roman"/>
          <w:b/>
          <w:bCs/>
          <w:sz w:val="24"/>
          <w:szCs w:val="24"/>
        </w:rPr>
        <w:t>s</w:t>
      </w:r>
    </w:p>
    <w:p w14:paraId="04CDE4F4" w14:textId="2BA93EA0" w:rsidR="003E577A" w:rsidRDefault="000271ED">
      <w:pPr>
        <w:spacing w:line="480" w:lineRule="auto"/>
        <w:ind w:firstLine="720"/>
        <w:jc w:val="both"/>
        <w:rPr>
          <w:rFonts w:ascii="Times New Roman" w:eastAsia="DengXian" w:hAnsi="Times New Roman" w:cs="Times New Roman"/>
          <w:sz w:val="24"/>
          <w:szCs w:val="24"/>
        </w:rPr>
      </w:pPr>
      <w:r w:rsidRPr="00EB60DF">
        <w:rPr>
          <w:rFonts w:ascii="Times New Roman" w:eastAsia="DengXian" w:hAnsi="Times New Roman" w:cs="Times New Roman"/>
          <w:sz w:val="24"/>
          <w:szCs w:val="24"/>
        </w:rPr>
        <w:t xml:space="preserve">To focus </w:t>
      </w:r>
      <w:r>
        <w:rPr>
          <w:rFonts w:ascii="Times New Roman" w:eastAsia="DengXian" w:hAnsi="Times New Roman" w:cs="Times New Roman"/>
          <w:sz w:val="24"/>
          <w:szCs w:val="24"/>
        </w:rPr>
        <w:t>the causal analysis</w:t>
      </w:r>
      <w:r w:rsidRPr="00EB60DF">
        <w:rPr>
          <w:rFonts w:ascii="Times New Roman" w:eastAsia="DengXian" w:hAnsi="Times New Roman" w:cs="Times New Roman"/>
          <w:sz w:val="24"/>
          <w:szCs w:val="24"/>
        </w:rPr>
        <w:t xml:space="preserve"> on </w:t>
      </w:r>
      <w:r>
        <w:rPr>
          <w:rFonts w:ascii="Times New Roman" w:eastAsia="DengXian" w:hAnsi="Times New Roman" w:cs="Times New Roman"/>
          <w:sz w:val="24"/>
          <w:szCs w:val="24"/>
        </w:rPr>
        <w:t xml:space="preserve">actionable </w:t>
      </w:r>
      <w:r w:rsidRPr="00EB60DF">
        <w:rPr>
          <w:rFonts w:ascii="Times New Roman" w:eastAsia="DengXian" w:hAnsi="Times New Roman" w:cs="Times New Roman"/>
          <w:sz w:val="24"/>
          <w:szCs w:val="24"/>
        </w:rPr>
        <w:t>emission events, two categories were excluded</w:t>
      </w:r>
      <w:r w:rsidRPr="007B544A">
        <w:rPr>
          <w:rFonts w:ascii="Times New Roman" w:eastAsia="DengXian" w:hAnsi="Times New Roman" w:cs="Times New Roman"/>
          <w:sz w:val="24"/>
          <w:szCs w:val="24"/>
        </w:rPr>
        <w:t>:</w:t>
      </w:r>
      <w:r>
        <w:rPr>
          <w:rFonts w:ascii="Times New Roman" w:eastAsia="DengXian" w:hAnsi="Times New Roman" w:cs="Times New Roman"/>
          <w:sz w:val="24"/>
          <w:szCs w:val="24"/>
        </w:rPr>
        <w:t xml:space="preserve"> n</w:t>
      </w:r>
      <w:r w:rsidRPr="007B544A">
        <w:rPr>
          <w:rFonts w:ascii="Times New Roman" w:eastAsia="DengXian" w:hAnsi="Times New Roman" w:cs="Times New Roman"/>
          <w:sz w:val="24"/>
          <w:szCs w:val="24"/>
        </w:rPr>
        <w:t xml:space="preserve">ormal </w:t>
      </w:r>
      <w:r>
        <w:rPr>
          <w:rFonts w:ascii="Times New Roman" w:eastAsia="DengXian" w:hAnsi="Times New Roman" w:cs="Times New Roman"/>
          <w:sz w:val="24"/>
          <w:szCs w:val="24"/>
        </w:rPr>
        <w:t>o</w:t>
      </w:r>
      <w:r w:rsidRPr="007B544A">
        <w:rPr>
          <w:rFonts w:ascii="Times New Roman" w:eastAsia="DengXian" w:hAnsi="Times New Roman" w:cs="Times New Roman"/>
          <w:sz w:val="24"/>
          <w:szCs w:val="24"/>
        </w:rPr>
        <w:t>perations</w:t>
      </w:r>
      <w:r>
        <w:rPr>
          <w:rFonts w:ascii="Times New Roman" w:eastAsia="DengXian" w:hAnsi="Times New Roman" w:cs="Times New Roman"/>
          <w:sz w:val="24"/>
          <w:szCs w:val="24"/>
        </w:rPr>
        <w:t>,</w:t>
      </w:r>
      <w:r w:rsidRPr="007B544A">
        <w:rPr>
          <w:rFonts w:ascii="Times New Roman" w:eastAsia="DengXian" w:hAnsi="Times New Roman" w:cs="Times New Roman"/>
          <w:sz w:val="24"/>
          <w:szCs w:val="24"/>
        </w:rPr>
        <w:t xml:space="preserve"> </w:t>
      </w:r>
      <w:r>
        <w:rPr>
          <w:rFonts w:ascii="Times New Roman" w:eastAsia="DengXian" w:hAnsi="Times New Roman" w:cs="Times New Roman"/>
          <w:sz w:val="24"/>
          <w:szCs w:val="24"/>
        </w:rPr>
        <w:t xml:space="preserve">representing </w:t>
      </w:r>
      <w:r w:rsidRPr="007B544A">
        <w:rPr>
          <w:rFonts w:ascii="Times New Roman" w:eastAsia="DengXian" w:hAnsi="Times New Roman" w:cs="Times New Roman"/>
          <w:sz w:val="24"/>
          <w:szCs w:val="24"/>
        </w:rPr>
        <w:t>26.2% of the events</w:t>
      </w:r>
      <w:r>
        <w:rPr>
          <w:rFonts w:ascii="Times New Roman" w:eastAsia="DengXian" w:hAnsi="Times New Roman" w:cs="Times New Roman"/>
          <w:sz w:val="24"/>
          <w:szCs w:val="24"/>
        </w:rPr>
        <w:t>,</w:t>
      </w:r>
      <w:r w:rsidRPr="007B544A">
        <w:rPr>
          <w:rFonts w:ascii="Times New Roman" w:eastAsia="DengXian" w:hAnsi="Times New Roman" w:cs="Times New Roman"/>
          <w:sz w:val="24"/>
          <w:szCs w:val="24"/>
        </w:rPr>
        <w:t xml:space="preserve"> </w:t>
      </w:r>
      <w:r>
        <w:rPr>
          <w:rFonts w:ascii="Times New Roman" w:eastAsia="DengXian" w:hAnsi="Times New Roman" w:cs="Times New Roman"/>
          <w:sz w:val="24"/>
          <w:szCs w:val="24"/>
        </w:rPr>
        <w:t>which are the</w:t>
      </w:r>
      <w:r w:rsidRPr="007B544A">
        <w:rPr>
          <w:rFonts w:ascii="Times New Roman" w:eastAsia="DengXian" w:hAnsi="Times New Roman" w:cs="Times New Roman"/>
          <w:sz w:val="24"/>
          <w:szCs w:val="24"/>
        </w:rPr>
        <w:t xml:space="preserve"> expected, routine emissions from standard equipment functions operating as designed (e.g., compressor rod packing vents)</w:t>
      </w:r>
      <w:r>
        <w:rPr>
          <w:rFonts w:ascii="Times New Roman" w:eastAsia="DengXian" w:hAnsi="Times New Roman" w:cs="Times New Roman"/>
          <w:sz w:val="24"/>
          <w:szCs w:val="24"/>
        </w:rPr>
        <w:t>, and u</w:t>
      </w:r>
      <w:r w:rsidRPr="007B544A">
        <w:rPr>
          <w:rFonts w:ascii="Times New Roman" w:eastAsia="DengXian" w:hAnsi="Times New Roman" w:cs="Times New Roman"/>
          <w:sz w:val="24"/>
          <w:szCs w:val="24"/>
        </w:rPr>
        <w:t>nknown/</w:t>
      </w:r>
      <w:r>
        <w:rPr>
          <w:rFonts w:ascii="Times New Roman" w:eastAsia="DengXian" w:hAnsi="Times New Roman" w:cs="Times New Roman"/>
          <w:sz w:val="24"/>
          <w:szCs w:val="24"/>
        </w:rPr>
        <w:t>third party, representing 13% of emission events, including</w:t>
      </w:r>
      <w:r w:rsidRPr="007B544A">
        <w:rPr>
          <w:rFonts w:ascii="Times New Roman" w:eastAsia="DengXian" w:hAnsi="Times New Roman" w:cs="Times New Roman"/>
          <w:sz w:val="24"/>
          <w:szCs w:val="24"/>
        </w:rPr>
        <w:t xml:space="preserve"> emissions where a conclusive cause could not be identified on a participating operator's asset, or emissions clearly originating from the infrastructure of non-participating third-party companies.</w:t>
      </w:r>
      <w:r w:rsidR="00B05081">
        <w:rPr>
          <w:rFonts w:ascii="Times New Roman" w:eastAsia="DengXian" w:hAnsi="Times New Roman" w:cs="Times New Roman"/>
          <w:sz w:val="24"/>
          <w:szCs w:val="24"/>
        </w:rPr>
        <w:t xml:space="preserve"> </w:t>
      </w:r>
      <w:r w:rsidRPr="00AB5E0D">
        <w:rPr>
          <w:rFonts w:ascii="Times New Roman" w:eastAsia="DengXian" w:hAnsi="Times New Roman" w:cs="Times New Roman"/>
          <w:sz w:val="24"/>
          <w:szCs w:val="24"/>
        </w:rPr>
        <w:t xml:space="preserve">After these exclusions, 1,011 emission events remained for a detailed </w:t>
      </w:r>
      <w:r>
        <w:rPr>
          <w:rFonts w:ascii="Times New Roman" w:eastAsia="DengXian" w:hAnsi="Times New Roman" w:cs="Times New Roman"/>
          <w:sz w:val="24"/>
          <w:szCs w:val="24"/>
        </w:rPr>
        <w:t>causal analysis</w:t>
      </w:r>
      <w:r w:rsidRPr="00AB5E0D">
        <w:rPr>
          <w:rFonts w:ascii="Times New Roman" w:eastAsia="DengXian" w:hAnsi="Times New Roman" w:cs="Times New Roman"/>
          <w:sz w:val="24"/>
          <w:szCs w:val="24"/>
        </w:rPr>
        <w:t>.</w:t>
      </w:r>
      <w:r w:rsidR="00AB5E0D">
        <w:rPr>
          <w:rFonts w:ascii="Times New Roman" w:eastAsia="DengXian" w:hAnsi="Times New Roman" w:cs="Times New Roman"/>
          <w:sz w:val="24"/>
          <w:szCs w:val="24"/>
        </w:rPr>
        <w:t xml:space="preserve"> </w:t>
      </w:r>
      <w:r w:rsidR="002D2A46" w:rsidRPr="00C20868">
        <w:rPr>
          <w:rFonts w:ascii="Times New Roman" w:eastAsia="DengXian" w:hAnsi="Times New Roman" w:cs="Times New Roman"/>
          <w:sz w:val="24"/>
          <w:szCs w:val="24"/>
        </w:rPr>
        <w:t xml:space="preserve">Supplementary </w:t>
      </w:r>
      <w:r w:rsidR="00AB5E0D" w:rsidRPr="00202A9E">
        <w:rPr>
          <w:rFonts w:ascii="Times New Roman" w:eastAsia="DengXian" w:hAnsi="Times New Roman" w:cs="Times New Roman"/>
          <w:sz w:val="24"/>
          <w:szCs w:val="24"/>
        </w:rPr>
        <w:t>Fig</w:t>
      </w:r>
      <w:r w:rsidR="002D2A46" w:rsidRPr="00202A9E">
        <w:rPr>
          <w:rFonts w:ascii="Times New Roman" w:eastAsia="DengXian" w:hAnsi="Times New Roman" w:cs="Times New Roman"/>
          <w:sz w:val="24"/>
          <w:szCs w:val="24"/>
        </w:rPr>
        <w:t>.</w:t>
      </w:r>
      <w:r w:rsidR="00AB5E0D" w:rsidRPr="00202A9E">
        <w:rPr>
          <w:rFonts w:ascii="Times New Roman" w:eastAsia="DengXian" w:hAnsi="Times New Roman" w:cs="Times New Roman"/>
          <w:sz w:val="24"/>
          <w:szCs w:val="24"/>
        </w:rPr>
        <w:t xml:space="preserve"> </w:t>
      </w:r>
      <w:r w:rsidR="00C31F8E" w:rsidRPr="00202A9E">
        <w:rPr>
          <w:rFonts w:ascii="Times New Roman" w:eastAsia="DengXian" w:hAnsi="Times New Roman" w:cs="Times New Roman"/>
          <w:sz w:val="24"/>
          <w:szCs w:val="24"/>
        </w:rPr>
        <w:t>4</w:t>
      </w:r>
      <w:r w:rsidR="00AB5E0D" w:rsidRPr="00AB5E0D">
        <w:rPr>
          <w:rFonts w:ascii="Times New Roman" w:eastAsia="DengXian" w:hAnsi="Times New Roman" w:cs="Times New Roman"/>
          <w:sz w:val="24"/>
          <w:szCs w:val="24"/>
        </w:rPr>
        <w:t xml:space="preserve"> shows the distribution of these events across the nine harmonized </w:t>
      </w:r>
      <w:r w:rsidR="00663043">
        <w:rPr>
          <w:rFonts w:ascii="Times New Roman" w:eastAsia="DengXian" w:hAnsi="Times New Roman" w:cs="Times New Roman"/>
          <w:sz w:val="24"/>
          <w:szCs w:val="24"/>
        </w:rPr>
        <w:t>causal categories</w:t>
      </w:r>
      <w:r w:rsidR="00AB5E0D" w:rsidRPr="00AB5E0D">
        <w:rPr>
          <w:rFonts w:ascii="Times New Roman" w:eastAsia="DengXian" w:hAnsi="Times New Roman" w:cs="Times New Roman"/>
          <w:sz w:val="24"/>
          <w:szCs w:val="24"/>
        </w:rPr>
        <w:t>.</w:t>
      </w:r>
    </w:p>
    <w:p w14:paraId="50353FDF" w14:textId="77777777" w:rsidR="00C20868" w:rsidRPr="007B544A" w:rsidRDefault="00C20868" w:rsidP="00202A9E">
      <w:pPr>
        <w:spacing w:line="480" w:lineRule="auto"/>
        <w:ind w:firstLine="720"/>
        <w:jc w:val="both"/>
        <w:rPr>
          <w:rFonts w:ascii="Times New Roman" w:eastAsia="DengXian" w:hAnsi="Times New Roman" w:cs="Times New Roman"/>
          <w:sz w:val="24"/>
          <w:szCs w:val="24"/>
        </w:rPr>
      </w:pPr>
    </w:p>
    <w:p w14:paraId="3DA3C737" w14:textId="45E39017" w:rsidR="00A1283C" w:rsidRPr="00E06FED" w:rsidRDefault="00ED5A8E" w:rsidP="00E06FED">
      <w:pPr>
        <w:spacing w:line="240" w:lineRule="auto"/>
        <w:jc w:val="both"/>
        <w:rPr>
          <w:rFonts w:ascii="Times New Roman" w:eastAsia="DengXian" w:hAnsi="Times New Roman" w:cs="Times New Roman"/>
          <w:sz w:val="24"/>
          <w:szCs w:val="24"/>
        </w:rPr>
      </w:pPr>
      <w:r w:rsidRPr="00ED5A8E">
        <w:rPr>
          <w:rFonts w:ascii="Times New Roman" w:eastAsia="Times New Roman" w:hAnsi="Times New Roman" w:cs="Times New Roman"/>
          <w:noProof/>
          <w:sz w:val="24"/>
          <w:szCs w:val="24"/>
          <w:lang w:eastAsia="en-US"/>
        </w:rPr>
        <w:drawing>
          <wp:inline distT="0" distB="0" distL="0" distR="0" wp14:anchorId="63D34277" wp14:editId="2295511B">
            <wp:extent cx="5835650" cy="3336137"/>
            <wp:effectExtent l="0" t="0" r="0" b="0"/>
            <wp:docPr id="7127870" name="Picture 3" descr="A graph of a bar graph&#10;&#10;AI-generated content may be incorrect.">
              <a:extLst xmlns:a="http://schemas.openxmlformats.org/drawingml/2006/main">
                <a:ext uri="{FF2B5EF4-FFF2-40B4-BE49-F238E27FC236}">
                  <a16:creationId xmlns:a16="http://schemas.microsoft.com/office/drawing/2014/main" id="{0F5A7829-2EC3-FA7A-7F62-669024C618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graph of a bar graph&#10;&#10;AI-generated content may be incorrect.">
                      <a:extLst>
                        <a:ext uri="{FF2B5EF4-FFF2-40B4-BE49-F238E27FC236}">
                          <a16:creationId xmlns:a16="http://schemas.microsoft.com/office/drawing/2014/main" id="{0F5A7829-2EC3-FA7A-7F62-669024C618DA}"/>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71577" cy="3356676"/>
                    </a:xfrm>
                    <a:prstGeom prst="rect">
                      <a:avLst/>
                    </a:prstGeom>
                  </pic:spPr>
                </pic:pic>
              </a:graphicData>
            </a:graphic>
          </wp:inline>
        </w:drawing>
      </w:r>
      <w:r w:rsidR="00A1283C" w:rsidRPr="003E3203">
        <w:rPr>
          <w:rFonts w:ascii="Times New Roman" w:eastAsia="Times New Roman" w:hAnsi="Times New Roman" w:cs="Times New Roman"/>
          <w:color w:val="000000"/>
          <w:shd w:val="clear" w:color="auto" w:fill="FFFFFF"/>
          <w:lang w:eastAsia="en-US"/>
        </w:rPr>
        <w:br/>
      </w:r>
      <w:r w:rsidR="002D2A46">
        <w:rPr>
          <w:rFonts w:ascii="Times New Roman" w:eastAsia="Times New Roman" w:hAnsi="Times New Roman" w:cs="Times New Roman"/>
          <w:b/>
          <w:bCs/>
          <w:color w:val="000000"/>
          <w:sz w:val="24"/>
          <w:szCs w:val="24"/>
          <w:lang w:eastAsia="en-US"/>
        </w:rPr>
        <w:t>Supplementary</w:t>
      </w:r>
      <w:r w:rsidR="002D2A46" w:rsidRPr="003E3203">
        <w:rPr>
          <w:rFonts w:ascii="Times New Roman" w:eastAsia="Times New Roman" w:hAnsi="Times New Roman" w:cs="Times New Roman"/>
          <w:b/>
          <w:bCs/>
          <w:color w:val="000000"/>
          <w:sz w:val="24"/>
          <w:szCs w:val="24"/>
          <w:lang w:eastAsia="en-US"/>
        </w:rPr>
        <w:t xml:space="preserve"> </w:t>
      </w:r>
      <w:r w:rsidR="00A1283C" w:rsidRPr="003E3203">
        <w:rPr>
          <w:rFonts w:ascii="Times New Roman" w:eastAsia="Times New Roman" w:hAnsi="Times New Roman" w:cs="Times New Roman"/>
          <w:b/>
          <w:bCs/>
          <w:color w:val="000000"/>
          <w:sz w:val="24"/>
          <w:szCs w:val="24"/>
          <w:lang w:eastAsia="en-US"/>
        </w:rPr>
        <w:t>Fig</w:t>
      </w:r>
      <w:r w:rsidR="002D2A46">
        <w:rPr>
          <w:rFonts w:ascii="Times New Roman" w:eastAsia="Times New Roman" w:hAnsi="Times New Roman" w:cs="Times New Roman"/>
          <w:b/>
          <w:bCs/>
          <w:color w:val="000000"/>
          <w:sz w:val="24"/>
          <w:szCs w:val="24"/>
          <w:lang w:eastAsia="en-US"/>
        </w:rPr>
        <w:t>.</w:t>
      </w:r>
      <w:r w:rsidR="00A1283C" w:rsidRPr="003E3203">
        <w:rPr>
          <w:rFonts w:ascii="Times New Roman" w:eastAsia="Times New Roman" w:hAnsi="Times New Roman" w:cs="Times New Roman"/>
          <w:b/>
          <w:bCs/>
          <w:color w:val="000000"/>
          <w:sz w:val="24"/>
          <w:szCs w:val="24"/>
          <w:lang w:eastAsia="en-US"/>
        </w:rPr>
        <w:t xml:space="preserve"> </w:t>
      </w:r>
      <w:r w:rsidR="00E34234">
        <w:rPr>
          <w:rFonts w:ascii="Times New Roman" w:eastAsia="Times New Roman" w:hAnsi="Times New Roman" w:cs="Times New Roman"/>
          <w:b/>
          <w:bCs/>
          <w:color w:val="000000"/>
          <w:sz w:val="24"/>
          <w:szCs w:val="24"/>
          <w:lang w:eastAsia="en-US"/>
        </w:rPr>
        <w:t>4</w:t>
      </w:r>
      <w:r w:rsidR="00A1283C" w:rsidRPr="003E3203">
        <w:rPr>
          <w:rFonts w:ascii="Times New Roman" w:eastAsia="Times New Roman" w:hAnsi="Times New Roman" w:cs="Times New Roman"/>
          <w:color w:val="000000"/>
          <w:sz w:val="24"/>
          <w:szCs w:val="24"/>
          <w:lang w:eastAsia="en-US"/>
        </w:rPr>
        <w:t xml:space="preserve">: </w:t>
      </w:r>
      <w:r w:rsidR="00FE1E04" w:rsidRPr="00FE1E04">
        <w:rPr>
          <w:rFonts w:ascii="Times New Roman" w:eastAsia="Times New Roman" w:hAnsi="Times New Roman" w:cs="Times New Roman"/>
          <w:color w:val="000000"/>
          <w:sz w:val="24"/>
          <w:szCs w:val="24"/>
          <w:lang w:eastAsia="en-US"/>
        </w:rPr>
        <w:t xml:space="preserve">Distribution of 1,011 actionable methane emission events across nine </w:t>
      </w:r>
      <w:r w:rsidR="00FE1E04" w:rsidRPr="00FE1E04">
        <w:rPr>
          <w:rFonts w:ascii="Times New Roman" w:eastAsia="Times New Roman" w:hAnsi="Times New Roman" w:cs="Times New Roman"/>
          <w:color w:val="000000"/>
          <w:sz w:val="24"/>
          <w:szCs w:val="24"/>
          <w:lang w:eastAsia="en-US"/>
        </w:rPr>
        <w:lastRenderedPageBreak/>
        <w:t xml:space="preserve">harmonized </w:t>
      </w:r>
      <w:r w:rsidR="00663043">
        <w:rPr>
          <w:rFonts w:ascii="Times New Roman" w:eastAsia="Times New Roman" w:hAnsi="Times New Roman" w:cs="Times New Roman"/>
          <w:color w:val="000000"/>
          <w:sz w:val="24"/>
          <w:szCs w:val="24"/>
          <w:lang w:eastAsia="en-US"/>
        </w:rPr>
        <w:t>causal categories</w:t>
      </w:r>
      <w:r w:rsidR="00FE1E04" w:rsidRPr="00FE1E04">
        <w:rPr>
          <w:rFonts w:ascii="Times New Roman" w:eastAsia="Times New Roman" w:hAnsi="Times New Roman" w:cs="Times New Roman"/>
          <w:color w:val="000000"/>
          <w:sz w:val="24"/>
          <w:szCs w:val="24"/>
          <w:lang w:eastAsia="en-US"/>
        </w:rPr>
        <w:t xml:space="preserve">, after excluding “Normal Operations” and “Unknown/Third Party.” </w:t>
      </w:r>
      <w:r w:rsidR="000271ED" w:rsidRPr="00FE1E04">
        <w:rPr>
          <w:rFonts w:ascii="Times New Roman" w:eastAsia="Times New Roman" w:hAnsi="Times New Roman" w:cs="Times New Roman"/>
          <w:color w:val="000000"/>
          <w:sz w:val="24"/>
          <w:szCs w:val="24"/>
          <w:lang w:eastAsia="en-US"/>
        </w:rPr>
        <w:t>The Y-axis shows the percentage frequency relative to 1,011 events.</w:t>
      </w:r>
    </w:p>
    <w:p w14:paraId="4F1E5AF4" w14:textId="77777777" w:rsidR="00A1283C" w:rsidRDefault="00A1283C" w:rsidP="00A1283C">
      <w:pPr>
        <w:overflowPunct w:val="0"/>
        <w:autoSpaceDE w:val="0"/>
        <w:autoSpaceDN w:val="0"/>
        <w:adjustRightInd w:val="0"/>
        <w:spacing w:after="0" w:line="480" w:lineRule="auto"/>
        <w:ind w:firstLine="720"/>
        <w:jc w:val="both"/>
        <w:textAlignment w:val="baseline"/>
        <w:rPr>
          <w:rFonts w:ascii="Times New Roman" w:eastAsia="Times New Roman" w:hAnsi="Times New Roman" w:cs="Times New Roman"/>
          <w:color w:val="000000"/>
          <w:sz w:val="24"/>
          <w:szCs w:val="24"/>
          <w:lang w:eastAsia="en-US"/>
        </w:rPr>
      </w:pPr>
    </w:p>
    <w:p w14:paraId="7FBA9745" w14:textId="7925E8C1" w:rsidR="0021700E" w:rsidRPr="00C20868" w:rsidRDefault="001A243A" w:rsidP="00E006A5">
      <w:pPr>
        <w:overflowPunct w:val="0"/>
        <w:autoSpaceDE w:val="0"/>
        <w:autoSpaceDN w:val="0"/>
        <w:adjustRightInd w:val="0"/>
        <w:spacing w:after="0" w:line="480" w:lineRule="auto"/>
        <w:ind w:firstLine="720"/>
        <w:jc w:val="both"/>
        <w:textAlignment w:val="baseline"/>
        <w:rPr>
          <w:rFonts w:ascii="Times New Roman" w:eastAsia="Times New Roman" w:hAnsi="Times New Roman" w:cs="Times New Roman"/>
          <w:color w:val="000000"/>
          <w:sz w:val="24"/>
          <w:szCs w:val="24"/>
          <w:lang w:eastAsia="en-US"/>
        </w:rPr>
      </w:pPr>
      <w:r w:rsidRPr="00C20868">
        <w:rPr>
          <w:rFonts w:ascii="Times New Roman" w:eastAsia="Times New Roman" w:hAnsi="Times New Roman" w:cs="Times New Roman"/>
          <w:color w:val="000000"/>
          <w:sz w:val="24"/>
          <w:szCs w:val="24"/>
          <w:lang w:eastAsia="en-US"/>
        </w:rPr>
        <w:t>This classification process, from raw operator inputs (</w:t>
      </w:r>
      <w:r w:rsidR="002D2A46" w:rsidRPr="00202A9E">
        <w:rPr>
          <w:rFonts w:ascii="Times New Roman" w:eastAsia="Times New Roman" w:hAnsi="Times New Roman" w:cs="Times New Roman"/>
          <w:color w:val="000000"/>
          <w:sz w:val="24"/>
          <w:szCs w:val="24"/>
          <w:lang w:eastAsia="en-US"/>
        </w:rPr>
        <w:t xml:space="preserve">Supplementary </w:t>
      </w:r>
      <w:r w:rsidRPr="00202A9E">
        <w:rPr>
          <w:rFonts w:ascii="Times New Roman" w:eastAsia="Times New Roman" w:hAnsi="Times New Roman" w:cs="Times New Roman"/>
          <w:color w:val="000000"/>
          <w:sz w:val="24"/>
          <w:szCs w:val="24"/>
          <w:lang w:eastAsia="en-US"/>
        </w:rPr>
        <w:t>Fig</w:t>
      </w:r>
      <w:r w:rsidR="002D2A46" w:rsidRPr="00202A9E">
        <w:rPr>
          <w:rFonts w:ascii="Times New Roman" w:eastAsia="Times New Roman" w:hAnsi="Times New Roman" w:cs="Times New Roman"/>
          <w:color w:val="000000"/>
          <w:sz w:val="24"/>
          <w:szCs w:val="24"/>
          <w:lang w:eastAsia="en-US"/>
        </w:rPr>
        <w:t>. 1</w:t>
      </w:r>
      <w:r w:rsidRPr="00C20868">
        <w:rPr>
          <w:rFonts w:ascii="Times New Roman" w:eastAsia="Times New Roman" w:hAnsi="Times New Roman" w:cs="Times New Roman"/>
          <w:color w:val="000000"/>
          <w:sz w:val="24"/>
          <w:szCs w:val="24"/>
          <w:lang w:eastAsia="en-US"/>
        </w:rPr>
        <w:t>) to harmonized categories (</w:t>
      </w:r>
      <w:r w:rsidR="002D2A46" w:rsidRPr="00202A9E">
        <w:rPr>
          <w:rFonts w:ascii="Times New Roman" w:eastAsia="Times New Roman" w:hAnsi="Times New Roman" w:cs="Times New Roman"/>
          <w:color w:val="000000"/>
          <w:sz w:val="24"/>
          <w:szCs w:val="24"/>
          <w:lang w:eastAsia="en-US"/>
        </w:rPr>
        <w:t xml:space="preserve">Supplementary </w:t>
      </w:r>
      <w:r w:rsidRPr="00202A9E">
        <w:rPr>
          <w:rFonts w:ascii="Times New Roman" w:eastAsia="Times New Roman" w:hAnsi="Times New Roman" w:cs="Times New Roman"/>
          <w:color w:val="000000"/>
          <w:sz w:val="24"/>
          <w:szCs w:val="24"/>
          <w:lang w:eastAsia="en-US"/>
        </w:rPr>
        <w:t>Fig</w:t>
      </w:r>
      <w:r w:rsidR="002D2A46" w:rsidRPr="00202A9E">
        <w:rPr>
          <w:rFonts w:ascii="Times New Roman" w:eastAsia="Times New Roman" w:hAnsi="Times New Roman" w:cs="Times New Roman"/>
          <w:color w:val="000000"/>
          <w:sz w:val="24"/>
          <w:szCs w:val="24"/>
          <w:lang w:eastAsia="en-US"/>
        </w:rPr>
        <w:t>.</w:t>
      </w:r>
      <w:r w:rsidRPr="00202A9E">
        <w:rPr>
          <w:rFonts w:ascii="Times New Roman" w:eastAsia="Times New Roman" w:hAnsi="Times New Roman" w:cs="Times New Roman"/>
          <w:color w:val="000000"/>
          <w:sz w:val="24"/>
          <w:szCs w:val="24"/>
          <w:lang w:eastAsia="en-US"/>
        </w:rPr>
        <w:t xml:space="preserve"> 2</w:t>
      </w:r>
      <w:r w:rsidRPr="00C20868">
        <w:rPr>
          <w:rFonts w:ascii="Times New Roman" w:eastAsia="Times New Roman" w:hAnsi="Times New Roman" w:cs="Times New Roman"/>
          <w:color w:val="000000"/>
          <w:sz w:val="24"/>
          <w:szCs w:val="24"/>
          <w:lang w:eastAsia="en-US"/>
        </w:rPr>
        <w:t xml:space="preserve">), to a refined </w:t>
      </w:r>
      <w:r w:rsidR="00663043" w:rsidRPr="00C20868">
        <w:rPr>
          <w:rFonts w:ascii="Times New Roman" w:eastAsia="Times New Roman" w:hAnsi="Times New Roman" w:cs="Times New Roman"/>
          <w:color w:val="000000"/>
          <w:sz w:val="24"/>
          <w:szCs w:val="24"/>
          <w:lang w:eastAsia="en-US"/>
        </w:rPr>
        <w:t>analyzed</w:t>
      </w:r>
      <w:r w:rsidRPr="00C20868">
        <w:rPr>
          <w:rFonts w:ascii="Times New Roman" w:eastAsia="Times New Roman" w:hAnsi="Times New Roman" w:cs="Times New Roman"/>
          <w:color w:val="000000"/>
          <w:sz w:val="24"/>
          <w:szCs w:val="24"/>
          <w:lang w:eastAsia="en-US"/>
        </w:rPr>
        <w:t xml:space="preserve"> dataset (</w:t>
      </w:r>
      <w:r w:rsidR="002D2A46" w:rsidRPr="00202A9E">
        <w:rPr>
          <w:rFonts w:ascii="Times New Roman" w:eastAsia="Times New Roman" w:hAnsi="Times New Roman" w:cs="Times New Roman"/>
          <w:color w:val="000000"/>
          <w:sz w:val="24"/>
          <w:szCs w:val="24"/>
          <w:lang w:eastAsia="en-US"/>
        </w:rPr>
        <w:t xml:space="preserve">Supplementary </w:t>
      </w:r>
      <w:r w:rsidRPr="00202A9E">
        <w:rPr>
          <w:rFonts w:ascii="Times New Roman" w:eastAsia="Times New Roman" w:hAnsi="Times New Roman" w:cs="Times New Roman"/>
          <w:color w:val="000000"/>
          <w:sz w:val="24"/>
          <w:szCs w:val="24"/>
          <w:lang w:eastAsia="en-US"/>
        </w:rPr>
        <w:t>Fig</w:t>
      </w:r>
      <w:r w:rsidR="002D2A46" w:rsidRPr="00202A9E">
        <w:rPr>
          <w:rFonts w:ascii="Times New Roman" w:eastAsia="Times New Roman" w:hAnsi="Times New Roman" w:cs="Times New Roman"/>
          <w:color w:val="000000"/>
          <w:sz w:val="24"/>
          <w:szCs w:val="24"/>
          <w:lang w:eastAsia="en-US"/>
        </w:rPr>
        <w:t>.</w:t>
      </w:r>
      <w:r w:rsidRPr="00202A9E">
        <w:rPr>
          <w:rFonts w:ascii="Times New Roman" w:eastAsia="Times New Roman" w:hAnsi="Times New Roman" w:cs="Times New Roman"/>
          <w:color w:val="000000"/>
          <w:sz w:val="24"/>
          <w:szCs w:val="24"/>
          <w:lang w:eastAsia="en-US"/>
        </w:rPr>
        <w:t xml:space="preserve"> </w:t>
      </w:r>
      <w:r w:rsidR="00411296" w:rsidRPr="00202A9E">
        <w:rPr>
          <w:rFonts w:ascii="Times New Roman" w:eastAsia="Times New Roman" w:hAnsi="Times New Roman" w:cs="Times New Roman"/>
          <w:color w:val="000000"/>
          <w:sz w:val="24"/>
          <w:szCs w:val="24"/>
          <w:lang w:eastAsia="en-US"/>
        </w:rPr>
        <w:t>4</w:t>
      </w:r>
      <w:r w:rsidRPr="00C20868">
        <w:rPr>
          <w:rFonts w:ascii="Times New Roman" w:eastAsia="Times New Roman" w:hAnsi="Times New Roman" w:cs="Times New Roman"/>
          <w:color w:val="000000"/>
          <w:sz w:val="24"/>
          <w:szCs w:val="24"/>
          <w:lang w:eastAsia="en-US"/>
        </w:rPr>
        <w:t xml:space="preserve">), provides a consistent foundation for </w:t>
      </w:r>
      <w:r w:rsidR="00663043" w:rsidRPr="00C20868">
        <w:rPr>
          <w:rFonts w:ascii="Times New Roman" w:eastAsia="Times New Roman" w:hAnsi="Times New Roman" w:cs="Times New Roman"/>
          <w:color w:val="000000"/>
          <w:sz w:val="24"/>
          <w:szCs w:val="24"/>
          <w:lang w:eastAsia="en-US"/>
        </w:rPr>
        <w:t xml:space="preserve">causal analysis </w:t>
      </w:r>
      <w:r w:rsidRPr="00C20868">
        <w:rPr>
          <w:rFonts w:ascii="Times New Roman" w:eastAsia="Times New Roman" w:hAnsi="Times New Roman" w:cs="Times New Roman"/>
          <w:color w:val="000000"/>
          <w:sz w:val="24"/>
          <w:szCs w:val="24"/>
          <w:lang w:eastAsia="en-US"/>
        </w:rPr>
        <w:t>across the Appalachian Basin</w:t>
      </w:r>
      <w:r w:rsidR="0064759F" w:rsidRPr="00C20868">
        <w:rPr>
          <w:rFonts w:ascii="Times New Roman" w:eastAsia="Times New Roman" w:hAnsi="Times New Roman" w:cs="Times New Roman"/>
          <w:color w:val="000000"/>
          <w:sz w:val="24"/>
          <w:szCs w:val="24"/>
          <w:lang w:eastAsia="en-US"/>
        </w:rPr>
        <w:t xml:space="preserve"> for this study</w:t>
      </w:r>
      <w:r w:rsidR="00E8096F" w:rsidRPr="00C20868">
        <w:rPr>
          <w:rFonts w:ascii="Times New Roman" w:eastAsia="Times New Roman" w:hAnsi="Times New Roman" w:cs="Times New Roman"/>
          <w:color w:val="000000"/>
          <w:sz w:val="24"/>
          <w:szCs w:val="24"/>
          <w:lang w:eastAsia="en-US"/>
        </w:rPr>
        <w:t xml:space="preserve">. </w:t>
      </w:r>
    </w:p>
    <w:p w14:paraId="36340679" w14:textId="77777777" w:rsidR="0021700E" w:rsidRPr="002D7B0D" w:rsidRDefault="0021700E" w:rsidP="002D7B0D">
      <w:pPr>
        <w:overflowPunct w:val="0"/>
        <w:autoSpaceDE w:val="0"/>
        <w:autoSpaceDN w:val="0"/>
        <w:adjustRightInd w:val="0"/>
        <w:spacing w:after="0" w:line="480" w:lineRule="auto"/>
        <w:ind w:firstLine="720"/>
        <w:jc w:val="both"/>
        <w:textAlignment w:val="baseline"/>
        <w:rPr>
          <w:rFonts w:ascii="Times New Roman" w:eastAsia="Times New Roman" w:hAnsi="Times New Roman" w:cs="Times New Roman"/>
          <w:color w:val="000000"/>
          <w:sz w:val="24"/>
          <w:szCs w:val="24"/>
          <w:lang w:eastAsia="en-US"/>
        </w:rPr>
      </w:pPr>
    </w:p>
    <w:p w14:paraId="3352F393" w14:textId="339BBC1E" w:rsidR="00DD3F0F" w:rsidRPr="000A36E3" w:rsidRDefault="00DD3F0F" w:rsidP="00DD3F0F">
      <w:pPr>
        <w:overflowPunct w:val="0"/>
        <w:autoSpaceDE w:val="0"/>
        <w:autoSpaceDN w:val="0"/>
        <w:adjustRightInd w:val="0"/>
        <w:spacing w:after="0" w:line="240" w:lineRule="auto"/>
        <w:jc w:val="both"/>
        <w:textAlignment w:val="baseline"/>
        <w:rPr>
          <w:rFonts w:eastAsia="Times New Roman"/>
          <w:color w:val="000000"/>
          <w:shd w:val="clear" w:color="auto" w:fill="FFFFFF"/>
          <w:lang w:eastAsia="en-US"/>
        </w:rPr>
      </w:pPr>
      <w:r w:rsidRPr="003E3203">
        <w:rPr>
          <w:rFonts w:ascii="Times New Roman" w:eastAsia="Times New Roman" w:hAnsi="Times New Roman" w:cs="Times New Roman"/>
          <w:color w:val="000000"/>
          <w:shd w:val="clear" w:color="auto" w:fill="FFFFFF"/>
          <w:lang w:eastAsia="en-US"/>
        </w:rPr>
        <w:t xml:space="preserve">       </w:t>
      </w:r>
      <w:r w:rsidR="00F349BF" w:rsidRPr="00F349BF">
        <w:rPr>
          <w:noProof/>
          <w14:ligatures w14:val="standardContextual"/>
        </w:rPr>
        <w:t xml:space="preserve"> </w:t>
      </w:r>
      <w:r w:rsidR="00ED5A8E" w:rsidRPr="00ED5A8E">
        <w:rPr>
          <w:noProof/>
          <w14:ligatures w14:val="standardContextual"/>
        </w:rPr>
        <w:drawing>
          <wp:inline distT="0" distB="0" distL="0" distR="0" wp14:anchorId="2CF2535B" wp14:editId="4E72BBA4">
            <wp:extent cx="5753100" cy="3290275"/>
            <wp:effectExtent l="0" t="0" r="0" b="5715"/>
            <wp:docPr id="878956050" name="Picture 3" descr="A graph with numbers and a number of numbers&#10;&#10;AI-generated content may be incorrect.">
              <a:extLst xmlns:a="http://schemas.openxmlformats.org/drawingml/2006/main">
                <a:ext uri="{FF2B5EF4-FFF2-40B4-BE49-F238E27FC236}">
                  <a16:creationId xmlns:a16="http://schemas.microsoft.com/office/drawing/2014/main" id="{696A20A8-1ABB-3330-1B60-D29CDBCCFB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graph with numbers and a number of numbers&#10;&#10;AI-generated content may be incorrect.">
                      <a:extLst>
                        <a:ext uri="{FF2B5EF4-FFF2-40B4-BE49-F238E27FC236}">
                          <a16:creationId xmlns:a16="http://schemas.microsoft.com/office/drawing/2014/main" id="{696A20A8-1ABB-3330-1B60-D29CDBCCFB90}"/>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19129" cy="3328038"/>
                    </a:xfrm>
                    <a:prstGeom prst="rect">
                      <a:avLst/>
                    </a:prstGeom>
                  </pic:spPr>
                </pic:pic>
              </a:graphicData>
            </a:graphic>
          </wp:inline>
        </w:drawing>
      </w:r>
    </w:p>
    <w:p w14:paraId="10571E31" w14:textId="701950D9" w:rsidR="00DD3F0F" w:rsidRPr="003E3203" w:rsidRDefault="00DD3F0F" w:rsidP="00DD3F0F">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en-US"/>
        </w:rPr>
      </w:pPr>
      <w:r w:rsidRPr="003E3203">
        <w:rPr>
          <w:rFonts w:ascii="Times New Roman" w:eastAsia="Times New Roman" w:hAnsi="Times New Roman" w:cs="Times New Roman"/>
          <w:color w:val="000000"/>
          <w:shd w:val="clear" w:color="auto" w:fill="FFFFFF"/>
          <w:lang w:eastAsia="en-US"/>
        </w:rPr>
        <w:br/>
      </w:r>
      <w:r w:rsidR="002D2A46">
        <w:rPr>
          <w:rFonts w:ascii="Times New Roman" w:eastAsia="Times New Roman" w:hAnsi="Times New Roman" w:cs="Times New Roman"/>
          <w:b/>
          <w:bCs/>
          <w:color w:val="000000"/>
          <w:sz w:val="24"/>
          <w:szCs w:val="24"/>
          <w:lang w:eastAsia="en-US"/>
        </w:rPr>
        <w:t xml:space="preserve">Supplementary </w:t>
      </w:r>
      <w:r w:rsidRPr="003E3203">
        <w:rPr>
          <w:rFonts w:ascii="Times New Roman" w:eastAsia="Times New Roman" w:hAnsi="Times New Roman" w:cs="Times New Roman"/>
          <w:b/>
          <w:bCs/>
          <w:color w:val="000000"/>
          <w:sz w:val="24"/>
          <w:szCs w:val="24"/>
          <w:lang w:eastAsia="en-US"/>
        </w:rPr>
        <w:t>Fig</w:t>
      </w:r>
      <w:r w:rsidR="002D2A46">
        <w:rPr>
          <w:rFonts w:ascii="Times New Roman" w:eastAsia="Times New Roman" w:hAnsi="Times New Roman" w:cs="Times New Roman"/>
          <w:b/>
          <w:bCs/>
          <w:color w:val="000000"/>
          <w:sz w:val="24"/>
          <w:szCs w:val="24"/>
          <w:lang w:eastAsia="en-US"/>
        </w:rPr>
        <w:t>.</w:t>
      </w:r>
      <w:r w:rsidRPr="003E3203">
        <w:rPr>
          <w:rFonts w:ascii="Times New Roman" w:eastAsia="Times New Roman" w:hAnsi="Times New Roman" w:cs="Times New Roman"/>
          <w:b/>
          <w:bCs/>
          <w:color w:val="000000"/>
          <w:sz w:val="24"/>
          <w:szCs w:val="24"/>
          <w:lang w:eastAsia="en-US"/>
        </w:rPr>
        <w:t xml:space="preserve"> </w:t>
      </w:r>
      <w:r w:rsidR="00E34234">
        <w:rPr>
          <w:rFonts w:ascii="Times New Roman" w:eastAsia="Times New Roman" w:hAnsi="Times New Roman" w:cs="Times New Roman"/>
          <w:b/>
          <w:bCs/>
          <w:color w:val="000000"/>
          <w:sz w:val="24"/>
          <w:szCs w:val="24"/>
          <w:lang w:eastAsia="en-US"/>
        </w:rPr>
        <w:t>5</w:t>
      </w:r>
      <w:r w:rsidRPr="003E3203">
        <w:rPr>
          <w:rFonts w:ascii="Times New Roman" w:eastAsia="Times New Roman" w:hAnsi="Times New Roman" w:cs="Times New Roman"/>
          <w:color w:val="000000"/>
          <w:sz w:val="24"/>
          <w:szCs w:val="24"/>
          <w:lang w:eastAsia="en-US"/>
        </w:rPr>
        <w:t xml:space="preserve">: </w:t>
      </w:r>
      <w:r w:rsidR="00C20868" w:rsidRPr="00C20868">
        <w:rPr>
          <w:rFonts w:ascii="Times New Roman" w:eastAsia="Times New Roman" w:hAnsi="Times New Roman" w:cs="Times New Roman"/>
          <w:color w:val="000000"/>
          <w:sz w:val="24"/>
          <w:szCs w:val="24"/>
          <w:lang w:eastAsia="en-US"/>
        </w:rPr>
        <w:t>Basin-wide assessment of methane emission causal categories, excluding normal operations and unidentified sources</w:t>
      </w:r>
      <w:r w:rsidRPr="00B00FCD">
        <w:rPr>
          <w:rFonts w:ascii="Times New Roman" w:eastAsia="Times New Roman" w:hAnsi="Times New Roman" w:cs="Times New Roman"/>
          <w:color w:val="000000"/>
          <w:sz w:val="24"/>
          <w:szCs w:val="24"/>
          <w:lang w:eastAsia="en-US"/>
        </w:rPr>
        <w:t xml:space="preserve">. </w:t>
      </w:r>
      <w:r w:rsidR="000271ED" w:rsidRPr="00B00FCD">
        <w:rPr>
          <w:rFonts w:ascii="Times New Roman" w:eastAsia="Times New Roman" w:hAnsi="Times New Roman" w:cs="Times New Roman"/>
          <w:color w:val="000000"/>
          <w:sz w:val="24"/>
          <w:szCs w:val="24"/>
          <w:lang w:eastAsia="en-US"/>
        </w:rPr>
        <w:t xml:space="preserve">The total emission rates (kg/h) are </w:t>
      </w:r>
      <w:r w:rsidR="000271ED">
        <w:rPr>
          <w:rFonts w:ascii="Times New Roman" w:eastAsia="Times New Roman" w:hAnsi="Times New Roman" w:cs="Times New Roman"/>
          <w:color w:val="000000"/>
          <w:sz w:val="24"/>
          <w:szCs w:val="24"/>
          <w:lang w:eastAsia="en-US"/>
        </w:rPr>
        <w:t xml:space="preserve">annotated on the bars, </w:t>
      </w:r>
      <w:r w:rsidR="000271ED" w:rsidRPr="00B00FCD">
        <w:rPr>
          <w:rFonts w:ascii="Times New Roman" w:eastAsia="Times New Roman" w:hAnsi="Times New Roman" w:cs="Times New Roman"/>
          <w:color w:val="000000"/>
          <w:sz w:val="24"/>
          <w:szCs w:val="24"/>
          <w:lang w:eastAsia="en-US"/>
        </w:rPr>
        <w:t xml:space="preserve">revealing significant disparities across </w:t>
      </w:r>
      <w:r w:rsidR="000271ED">
        <w:rPr>
          <w:rFonts w:ascii="Times New Roman" w:eastAsia="Times New Roman" w:hAnsi="Times New Roman" w:cs="Times New Roman"/>
          <w:color w:val="000000"/>
          <w:sz w:val="24"/>
          <w:szCs w:val="24"/>
          <w:lang w:eastAsia="en-US"/>
        </w:rPr>
        <w:t>the causal</w:t>
      </w:r>
      <w:r w:rsidR="000271ED" w:rsidRPr="00B00FCD">
        <w:rPr>
          <w:rFonts w:ascii="Times New Roman" w:eastAsia="Times New Roman" w:hAnsi="Times New Roman" w:cs="Times New Roman"/>
          <w:color w:val="000000"/>
          <w:sz w:val="24"/>
          <w:szCs w:val="24"/>
          <w:lang w:eastAsia="en-US"/>
        </w:rPr>
        <w:t xml:space="preserve"> categories.</w:t>
      </w:r>
    </w:p>
    <w:p w14:paraId="792E028B" w14:textId="77777777" w:rsidR="00DD3F0F" w:rsidRPr="003E3203" w:rsidRDefault="00DD3F0F" w:rsidP="00DD3F0F">
      <w:pPr>
        <w:overflowPunct w:val="0"/>
        <w:autoSpaceDE w:val="0"/>
        <w:autoSpaceDN w:val="0"/>
        <w:adjustRightInd w:val="0"/>
        <w:spacing w:after="0" w:line="480" w:lineRule="auto"/>
        <w:ind w:firstLine="720"/>
        <w:jc w:val="both"/>
        <w:textAlignment w:val="baseline"/>
        <w:rPr>
          <w:rFonts w:ascii="Times New Roman" w:eastAsia="Times New Roman" w:hAnsi="Times New Roman" w:cs="Times New Roman"/>
          <w:color w:val="000000"/>
          <w:sz w:val="24"/>
          <w:szCs w:val="24"/>
          <w:lang w:eastAsia="en-US"/>
        </w:rPr>
      </w:pPr>
    </w:p>
    <w:p w14:paraId="6E1F68C7" w14:textId="7C0294BF" w:rsidR="00C20868" w:rsidRDefault="000271ED" w:rsidP="00202A9E">
      <w:pPr>
        <w:overflowPunct w:val="0"/>
        <w:autoSpaceDE w:val="0"/>
        <w:autoSpaceDN w:val="0"/>
        <w:adjustRightInd w:val="0"/>
        <w:spacing w:after="0" w:line="480" w:lineRule="auto"/>
        <w:ind w:firstLine="720"/>
        <w:jc w:val="both"/>
        <w:textAlignment w:val="baseline"/>
        <w:rPr>
          <w:rFonts w:ascii="Times New Roman" w:eastAsia="Times New Roman" w:hAnsi="Times New Roman" w:cs="Times New Roman"/>
          <w:color w:val="000000"/>
          <w:sz w:val="24"/>
          <w:szCs w:val="24"/>
          <w:lang w:eastAsia="en-US"/>
        </w:rPr>
      </w:pPr>
      <w:r w:rsidRPr="00202A9E">
        <w:rPr>
          <w:rFonts w:ascii="Times New Roman" w:eastAsia="Times New Roman" w:hAnsi="Times New Roman" w:cs="Times New Roman"/>
          <w:color w:val="000000"/>
          <w:sz w:val="24"/>
          <w:szCs w:val="24"/>
          <w:lang w:eastAsia="en-US"/>
        </w:rPr>
        <w:t>Supplementary Fig. 5</w:t>
      </w:r>
      <w:r w:rsidRPr="00C20868">
        <w:rPr>
          <w:rFonts w:ascii="Times New Roman" w:eastAsia="Times New Roman" w:hAnsi="Times New Roman" w:cs="Times New Roman"/>
          <w:color w:val="000000"/>
          <w:sz w:val="24"/>
          <w:szCs w:val="24"/>
          <w:lang w:eastAsia="en-US"/>
        </w:rPr>
        <w:t xml:space="preserve"> shows the cumulative methane emissions associated with each causal category across the full dataset.</w:t>
      </w:r>
      <w:r w:rsidR="00A84B84" w:rsidRPr="00C20868">
        <w:rPr>
          <w:rFonts w:ascii="Times New Roman" w:eastAsia="Times New Roman" w:hAnsi="Times New Roman" w:cs="Times New Roman"/>
          <w:color w:val="000000"/>
          <w:sz w:val="24"/>
          <w:szCs w:val="24"/>
          <w:lang w:eastAsia="en-US"/>
        </w:rPr>
        <w:t xml:space="preserve"> This unnormalized view further substantiates the findings from </w:t>
      </w:r>
      <w:r w:rsidR="004F0140" w:rsidRPr="00C20868">
        <w:rPr>
          <w:rFonts w:ascii="Times New Roman" w:eastAsia="Times New Roman" w:hAnsi="Times New Roman" w:cs="Times New Roman"/>
          <w:color w:val="000000"/>
          <w:sz w:val="24"/>
          <w:szCs w:val="24"/>
          <w:lang w:eastAsia="en-US"/>
        </w:rPr>
        <w:t xml:space="preserve">the </w:t>
      </w:r>
      <w:r w:rsidR="006D111A">
        <w:rPr>
          <w:rFonts w:ascii="Times New Roman" w:eastAsia="Times New Roman" w:hAnsi="Times New Roman" w:cs="Times New Roman"/>
          <w:color w:val="000000"/>
          <w:sz w:val="24"/>
          <w:szCs w:val="24"/>
          <w:lang w:eastAsia="en-US"/>
        </w:rPr>
        <w:t>m</w:t>
      </w:r>
      <w:r w:rsidR="0064759F" w:rsidRPr="00C20868">
        <w:rPr>
          <w:rFonts w:ascii="Times New Roman" w:eastAsia="Times New Roman" w:hAnsi="Times New Roman" w:cs="Times New Roman"/>
          <w:color w:val="000000"/>
          <w:sz w:val="24"/>
          <w:szCs w:val="24"/>
          <w:lang w:eastAsia="en-US"/>
        </w:rPr>
        <w:t xml:space="preserve">ain </w:t>
      </w:r>
      <w:r w:rsidR="006D111A">
        <w:rPr>
          <w:rFonts w:ascii="Times New Roman" w:eastAsia="Times New Roman" w:hAnsi="Times New Roman" w:cs="Times New Roman"/>
          <w:color w:val="000000"/>
          <w:sz w:val="24"/>
          <w:szCs w:val="24"/>
          <w:lang w:eastAsia="en-US"/>
        </w:rPr>
        <w:t>t</w:t>
      </w:r>
      <w:r w:rsidR="0064759F" w:rsidRPr="00C20868">
        <w:rPr>
          <w:rFonts w:ascii="Times New Roman" w:eastAsia="Times New Roman" w:hAnsi="Times New Roman" w:cs="Times New Roman"/>
          <w:color w:val="000000"/>
          <w:sz w:val="24"/>
          <w:szCs w:val="24"/>
          <w:lang w:eastAsia="en-US"/>
        </w:rPr>
        <w:t>ext</w:t>
      </w:r>
      <w:r w:rsidR="004F0140" w:rsidRPr="00C20868">
        <w:rPr>
          <w:rFonts w:ascii="Times New Roman" w:eastAsia="Times New Roman" w:hAnsi="Times New Roman" w:cs="Times New Roman"/>
          <w:color w:val="000000"/>
          <w:sz w:val="24"/>
          <w:szCs w:val="24"/>
          <w:lang w:eastAsia="en-US"/>
        </w:rPr>
        <w:t xml:space="preserve"> </w:t>
      </w:r>
      <w:r w:rsidR="006D111A">
        <w:rPr>
          <w:rFonts w:ascii="Times New Roman" w:eastAsia="Times New Roman" w:hAnsi="Times New Roman" w:cs="Times New Roman"/>
          <w:color w:val="000000"/>
          <w:sz w:val="24"/>
          <w:szCs w:val="24"/>
          <w:lang w:eastAsia="en-US"/>
        </w:rPr>
        <w:t>(</w:t>
      </w:r>
      <w:r w:rsidR="00A84B84" w:rsidRPr="00202A9E">
        <w:rPr>
          <w:rFonts w:ascii="Times New Roman" w:eastAsia="Times New Roman" w:hAnsi="Times New Roman" w:cs="Times New Roman"/>
          <w:color w:val="000000"/>
          <w:sz w:val="24"/>
          <w:szCs w:val="24"/>
          <w:lang w:eastAsia="en-US"/>
        </w:rPr>
        <w:t>Section 3.1</w:t>
      </w:r>
      <w:r w:rsidR="006D111A">
        <w:rPr>
          <w:rFonts w:ascii="Times New Roman" w:eastAsia="Times New Roman" w:hAnsi="Times New Roman" w:cs="Times New Roman"/>
          <w:color w:val="000000"/>
          <w:sz w:val="24"/>
          <w:szCs w:val="24"/>
          <w:lang w:eastAsia="en-US"/>
        </w:rPr>
        <w:t>)</w:t>
      </w:r>
      <w:r w:rsidR="00A84B84" w:rsidRPr="00C20868">
        <w:rPr>
          <w:rFonts w:ascii="Times New Roman" w:eastAsia="Times New Roman" w:hAnsi="Times New Roman" w:cs="Times New Roman"/>
          <w:color w:val="000000"/>
          <w:sz w:val="24"/>
          <w:szCs w:val="24"/>
          <w:lang w:eastAsia="en-US"/>
        </w:rPr>
        <w:t xml:space="preserve">, reinforcing the disproportionately high emissions linked to </w:t>
      </w:r>
      <w:r w:rsidR="00EE0261" w:rsidRPr="00C20868">
        <w:rPr>
          <w:rFonts w:ascii="Times New Roman" w:eastAsia="Times New Roman" w:hAnsi="Times New Roman" w:cs="Times New Roman"/>
          <w:color w:val="000000"/>
          <w:sz w:val="24"/>
          <w:szCs w:val="24"/>
          <w:lang w:eastAsia="en-US"/>
        </w:rPr>
        <w:t>emission causes</w:t>
      </w:r>
      <w:r w:rsidR="00A84B84" w:rsidRPr="00C20868">
        <w:rPr>
          <w:rFonts w:ascii="Times New Roman" w:eastAsia="Times New Roman" w:hAnsi="Times New Roman" w:cs="Times New Roman"/>
          <w:color w:val="000000"/>
          <w:sz w:val="24"/>
          <w:szCs w:val="24"/>
          <w:lang w:eastAsia="en-US"/>
        </w:rPr>
        <w:t xml:space="preserve"> such as abnormal tank emissions.</w:t>
      </w:r>
      <w:r w:rsidR="008269D4" w:rsidRPr="00C20868">
        <w:rPr>
          <w:rFonts w:ascii="Times New Roman" w:eastAsia="Times New Roman" w:hAnsi="Times New Roman" w:cs="Times New Roman"/>
          <w:color w:val="000000"/>
          <w:sz w:val="24"/>
          <w:szCs w:val="24"/>
          <w:lang w:eastAsia="en-US"/>
        </w:rPr>
        <w:t xml:space="preserve"> Overall, it is important to note that the findings</w:t>
      </w:r>
      <w:r w:rsidR="008269D4" w:rsidRPr="008269D4">
        <w:rPr>
          <w:rFonts w:ascii="Times New Roman" w:eastAsia="Times New Roman" w:hAnsi="Times New Roman" w:cs="Times New Roman"/>
          <w:color w:val="000000"/>
          <w:sz w:val="24"/>
          <w:szCs w:val="24"/>
          <w:lang w:eastAsia="en-US"/>
        </w:rPr>
        <w:t xml:space="preserve"> and </w:t>
      </w:r>
      <w:r w:rsidR="008269D4" w:rsidRPr="008269D4">
        <w:rPr>
          <w:rFonts w:ascii="Times New Roman" w:eastAsia="Times New Roman" w:hAnsi="Times New Roman" w:cs="Times New Roman"/>
          <w:color w:val="000000"/>
          <w:sz w:val="24"/>
          <w:szCs w:val="24"/>
          <w:lang w:eastAsia="en-US"/>
        </w:rPr>
        <w:lastRenderedPageBreak/>
        <w:t>specific distribution of causal categories are characteristic of the Appalachian Basin during the study period and would be expected to differ in other basins</w:t>
      </w:r>
      <w:r w:rsidR="0064759F" w:rsidRPr="0064759F">
        <w:t xml:space="preserve"> </w:t>
      </w:r>
      <w:r w:rsidR="0064759F" w:rsidRPr="0064759F">
        <w:rPr>
          <w:rFonts w:ascii="Times New Roman" w:eastAsia="Times New Roman" w:hAnsi="Times New Roman" w:cs="Times New Roman"/>
          <w:color w:val="000000"/>
          <w:sz w:val="24"/>
          <w:szCs w:val="24"/>
          <w:lang w:eastAsia="en-US"/>
        </w:rPr>
        <w:t>due to variations in geological characteristics, infrastructure, and operational practices</w:t>
      </w:r>
      <w:r w:rsidR="008269D4" w:rsidRPr="008269D4">
        <w:rPr>
          <w:rFonts w:ascii="Times New Roman" w:eastAsia="Times New Roman" w:hAnsi="Times New Roman" w:cs="Times New Roman"/>
          <w:color w:val="000000"/>
          <w:sz w:val="24"/>
          <w:szCs w:val="24"/>
          <w:lang w:eastAsia="en-US"/>
        </w:rPr>
        <w:t xml:space="preserve">. </w:t>
      </w:r>
      <w:r w:rsidR="00575DD5">
        <w:rPr>
          <w:rFonts w:ascii="Times New Roman" w:eastAsia="Times New Roman" w:hAnsi="Times New Roman" w:cs="Times New Roman"/>
          <w:color w:val="000000"/>
          <w:sz w:val="24"/>
          <w:szCs w:val="24"/>
          <w:lang w:eastAsia="en-US"/>
        </w:rPr>
        <w:t xml:space="preserve">The </w:t>
      </w:r>
      <w:r w:rsidR="007C5C41">
        <w:rPr>
          <w:rFonts w:ascii="Times New Roman" w:eastAsia="Times New Roman" w:hAnsi="Times New Roman" w:cs="Times New Roman"/>
          <w:color w:val="000000"/>
          <w:sz w:val="24"/>
          <w:szCs w:val="24"/>
          <w:lang w:eastAsia="en-US"/>
        </w:rPr>
        <w:t>specific tim</w:t>
      </w:r>
      <w:r w:rsidR="00C60936">
        <w:rPr>
          <w:rFonts w:ascii="Times New Roman" w:eastAsia="Times New Roman" w:hAnsi="Times New Roman" w:cs="Times New Roman"/>
          <w:color w:val="000000"/>
          <w:sz w:val="24"/>
          <w:szCs w:val="24"/>
          <w:lang w:eastAsia="en-US"/>
        </w:rPr>
        <w:t>ing</w:t>
      </w:r>
      <w:r w:rsidR="007C5C41">
        <w:rPr>
          <w:rFonts w:ascii="Times New Roman" w:eastAsia="Times New Roman" w:hAnsi="Times New Roman" w:cs="Times New Roman"/>
          <w:color w:val="000000"/>
          <w:sz w:val="24"/>
          <w:szCs w:val="24"/>
          <w:lang w:eastAsia="en-US"/>
        </w:rPr>
        <w:t xml:space="preserve"> of the survey rounds </w:t>
      </w:r>
      <w:proofErr w:type="gramStart"/>
      <w:r w:rsidR="007C5C41">
        <w:rPr>
          <w:rFonts w:ascii="Times New Roman" w:eastAsia="Times New Roman" w:hAnsi="Times New Roman" w:cs="Times New Roman"/>
          <w:color w:val="000000"/>
          <w:sz w:val="24"/>
          <w:szCs w:val="24"/>
          <w:lang w:eastAsia="en-US"/>
        </w:rPr>
        <w:t>are</w:t>
      </w:r>
      <w:proofErr w:type="gramEnd"/>
      <w:r w:rsidR="007C5C41">
        <w:rPr>
          <w:rFonts w:ascii="Times New Roman" w:eastAsia="Times New Roman" w:hAnsi="Times New Roman" w:cs="Times New Roman"/>
          <w:color w:val="000000"/>
          <w:sz w:val="24"/>
          <w:szCs w:val="24"/>
          <w:lang w:eastAsia="en-US"/>
        </w:rPr>
        <w:t xml:space="preserve"> </w:t>
      </w:r>
      <w:r w:rsidR="00C60936">
        <w:rPr>
          <w:rFonts w:ascii="Times New Roman" w:eastAsia="Times New Roman" w:hAnsi="Times New Roman" w:cs="Times New Roman"/>
          <w:color w:val="000000"/>
          <w:sz w:val="24"/>
          <w:szCs w:val="24"/>
          <w:lang w:eastAsia="en-US"/>
        </w:rPr>
        <w:t>presented</w:t>
      </w:r>
      <w:r w:rsidR="007C5C41">
        <w:rPr>
          <w:rFonts w:ascii="Times New Roman" w:eastAsia="Times New Roman" w:hAnsi="Times New Roman" w:cs="Times New Roman"/>
          <w:color w:val="000000"/>
          <w:sz w:val="24"/>
          <w:szCs w:val="24"/>
          <w:lang w:eastAsia="en-US"/>
        </w:rPr>
        <w:t xml:space="preserve"> in </w:t>
      </w:r>
      <w:r w:rsidR="00C60936">
        <w:rPr>
          <w:rFonts w:ascii="Times New Roman" w:eastAsia="Times New Roman" w:hAnsi="Times New Roman" w:cs="Times New Roman"/>
          <w:color w:val="000000"/>
          <w:sz w:val="24"/>
          <w:szCs w:val="24"/>
          <w:lang w:eastAsia="en-US"/>
        </w:rPr>
        <w:t>Supplementary Table 1.</w:t>
      </w:r>
    </w:p>
    <w:p w14:paraId="719999DA" w14:textId="77777777" w:rsidR="00E006A5" w:rsidRDefault="00E006A5" w:rsidP="0064759F">
      <w:pPr>
        <w:overflowPunct w:val="0"/>
        <w:autoSpaceDE w:val="0"/>
        <w:autoSpaceDN w:val="0"/>
        <w:adjustRightInd w:val="0"/>
        <w:spacing w:after="0" w:line="480" w:lineRule="auto"/>
        <w:ind w:firstLine="720"/>
        <w:jc w:val="both"/>
        <w:textAlignment w:val="baseline"/>
        <w:rPr>
          <w:rFonts w:ascii="Times New Roman" w:eastAsia="Times New Roman" w:hAnsi="Times New Roman" w:cs="Times New Roman"/>
          <w:color w:val="000000"/>
          <w:sz w:val="24"/>
          <w:szCs w:val="24"/>
          <w:lang w:eastAsia="en-US"/>
        </w:rPr>
      </w:pPr>
    </w:p>
    <w:p w14:paraId="3583D6CE" w14:textId="5077F470" w:rsidR="00F7657F" w:rsidRPr="00CC2E29" w:rsidRDefault="002D2A46" w:rsidP="00F7657F">
      <w:pPr>
        <w:rPr>
          <w:rFonts w:ascii="Times New Roman" w:eastAsia="DengXian" w:hAnsi="Times New Roman" w:cs="Times New Roman"/>
          <w:sz w:val="24"/>
          <w:szCs w:val="24"/>
        </w:rPr>
      </w:pPr>
      <w:r>
        <w:rPr>
          <w:rFonts w:ascii="Times New Roman" w:eastAsia="DengXian" w:hAnsi="Times New Roman" w:cs="Times New Roman"/>
          <w:b/>
          <w:bCs/>
          <w:sz w:val="24"/>
          <w:szCs w:val="24"/>
        </w:rPr>
        <w:t xml:space="preserve">Supplementary </w:t>
      </w:r>
      <w:r w:rsidR="00F7657F" w:rsidRPr="003E3203">
        <w:rPr>
          <w:rFonts w:ascii="Times New Roman" w:eastAsia="DengXian" w:hAnsi="Times New Roman" w:cs="Times New Roman"/>
          <w:b/>
          <w:bCs/>
          <w:sz w:val="24"/>
          <w:szCs w:val="24"/>
        </w:rPr>
        <w:t xml:space="preserve">Table </w:t>
      </w:r>
      <w:r w:rsidR="00F7657F">
        <w:rPr>
          <w:rFonts w:ascii="Times New Roman" w:eastAsia="DengXian" w:hAnsi="Times New Roman" w:cs="Times New Roman"/>
          <w:b/>
          <w:bCs/>
        </w:rPr>
        <w:t>1</w:t>
      </w:r>
      <w:r w:rsidR="00F7657F" w:rsidRPr="003E3203">
        <w:rPr>
          <w:rFonts w:ascii="Times New Roman" w:eastAsia="DengXian" w:hAnsi="Times New Roman" w:cs="Times New Roman"/>
          <w:sz w:val="24"/>
          <w:szCs w:val="24"/>
        </w:rPr>
        <w:t xml:space="preserve">. </w:t>
      </w:r>
      <w:r w:rsidR="00F7657F" w:rsidRPr="007B136F">
        <w:rPr>
          <w:rFonts w:ascii="Times New Roman" w:eastAsia="DengXian" w:hAnsi="Times New Roman" w:cs="Times New Roman"/>
          <w:sz w:val="24"/>
          <w:szCs w:val="24"/>
        </w:rPr>
        <w:t xml:space="preserve">Survey </w:t>
      </w:r>
      <w:r w:rsidR="008E6B56">
        <w:rPr>
          <w:rFonts w:ascii="Times New Roman" w:eastAsia="DengXian" w:hAnsi="Times New Roman" w:cs="Times New Roman"/>
          <w:sz w:val="24"/>
          <w:szCs w:val="24"/>
        </w:rPr>
        <w:t>r</w:t>
      </w:r>
      <w:r w:rsidR="00F7657F" w:rsidRPr="007B136F">
        <w:rPr>
          <w:rFonts w:ascii="Times New Roman" w:eastAsia="DengXian" w:hAnsi="Times New Roman" w:cs="Times New Roman"/>
          <w:sz w:val="24"/>
          <w:szCs w:val="24"/>
        </w:rPr>
        <w:t xml:space="preserve">ound </w:t>
      </w:r>
      <w:r w:rsidR="008E6B56">
        <w:rPr>
          <w:rFonts w:ascii="Times New Roman" w:eastAsia="DengXian" w:hAnsi="Times New Roman" w:cs="Times New Roman"/>
          <w:sz w:val="24"/>
          <w:szCs w:val="24"/>
        </w:rPr>
        <w:t>d</w:t>
      </w:r>
      <w:r w:rsidR="00F7657F" w:rsidRPr="007B136F">
        <w:rPr>
          <w:rFonts w:ascii="Times New Roman" w:eastAsia="DengXian" w:hAnsi="Times New Roman" w:cs="Times New Roman"/>
          <w:sz w:val="24"/>
          <w:szCs w:val="24"/>
        </w:rPr>
        <w:t>etails</w:t>
      </w:r>
      <w:r w:rsidR="008E6B56">
        <w:rPr>
          <w:rFonts w:ascii="Times New Roman" w:eastAsia="DengXian" w:hAnsi="Times New Roman" w:cs="Times New Roman"/>
          <w:sz w:val="24"/>
          <w:szCs w:val="24"/>
        </w:rPr>
        <w:t xml:space="preserve"> for the </w:t>
      </w:r>
      <w:r w:rsidR="008E6B56" w:rsidRPr="008E6B56">
        <w:rPr>
          <w:rFonts w:ascii="Times New Roman" w:eastAsia="DengXian" w:hAnsi="Times New Roman" w:cs="Times New Roman"/>
          <w:sz w:val="24"/>
          <w:szCs w:val="24"/>
        </w:rPr>
        <w:t>2024 Appalachian Methane Initiative</w:t>
      </w:r>
      <w:r w:rsidR="00F7657F" w:rsidRPr="007B136F">
        <w:rPr>
          <w:rFonts w:ascii="Times New Roman" w:eastAsia="DengXian" w:hAnsi="Times New Roman" w:cs="Times New Roman"/>
          <w:sz w:val="24"/>
          <w:szCs w:val="24"/>
        </w:rPr>
        <w:t>, including start and end dates, along with survey duration in days for each round.</w:t>
      </w:r>
    </w:p>
    <w:tbl>
      <w:tblPr>
        <w:tblStyle w:val="TableGrid"/>
        <w:tblW w:w="0" w:type="auto"/>
        <w:tblLook w:val="04A0" w:firstRow="1" w:lastRow="0" w:firstColumn="1" w:lastColumn="0" w:noHBand="0" w:noVBand="1"/>
      </w:tblPr>
      <w:tblGrid>
        <w:gridCol w:w="1615"/>
        <w:gridCol w:w="2070"/>
        <w:gridCol w:w="1980"/>
        <w:gridCol w:w="1800"/>
      </w:tblGrid>
      <w:tr w:rsidR="00F7657F" w14:paraId="30B7C421" w14:textId="77777777" w:rsidTr="007C6375">
        <w:trPr>
          <w:trHeight w:val="432"/>
        </w:trPr>
        <w:tc>
          <w:tcPr>
            <w:tcW w:w="1615" w:type="dxa"/>
          </w:tcPr>
          <w:p w14:paraId="1DD473A9" w14:textId="77777777" w:rsidR="00F7657F" w:rsidRPr="00163B1F" w:rsidRDefault="00F7657F" w:rsidP="007C6375">
            <w:pPr>
              <w:jc w:val="center"/>
              <w:rPr>
                <w:rFonts w:ascii="Times New Roman" w:hAnsi="Times New Roman" w:cs="Times New Roman"/>
                <w:sz w:val="24"/>
                <w:szCs w:val="24"/>
              </w:rPr>
            </w:pPr>
            <w:r w:rsidRPr="00163B1F">
              <w:rPr>
                <w:rFonts w:ascii="Times New Roman" w:hAnsi="Times New Roman" w:cs="Times New Roman"/>
                <w:sz w:val="24"/>
                <w:szCs w:val="24"/>
              </w:rPr>
              <w:t>Survey Round</w:t>
            </w:r>
          </w:p>
        </w:tc>
        <w:tc>
          <w:tcPr>
            <w:tcW w:w="2070" w:type="dxa"/>
          </w:tcPr>
          <w:p w14:paraId="7A65E9BE" w14:textId="77777777" w:rsidR="00F7657F" w:rsidRPr="00163B1F" w:rsidRDefault="00F7657F" w:rsidP="007C6375">
            <w:pPr>
              <w:jc w:val="center"/>
              <w:rPr>
                <w:rFonts w:ascii="Times New Roman" w:hAnsi="Times New Roman" w:cs="Times New Roman"/>
                <w:sz w:val="24"/>
                <w:szCs w:val="24"/>
              </w:rPr>
            </w:pPr>
            <w:r w:rsidRPr="00163B1F">
              <w:rPr>
                <w:rFonts w:ascii="Times New Roman" w:hAnsi="Times New Roman" w:cs="Times New Roman"/>
                <w:sz w:val="24"/>
                <w:szCs w:val="24"/>
              </w:rPr>
              <w:t>Survey Start Date</w:t>
            </w:r>
          </w:p>
        </w:tc>
        <w:tc>
          <w:tcPr>
            <w:tcW w:w="1980" w:type="dxa"/>
          </w:tcPr>
          <w:p w14:paraId="32C50593" w14:textId="77777777" w:rsidR="00F7657F" w:rsidRPr="00163B1F" w:rsidRDefault="00F7657F" w:rsidP="007C6375">
            <w:pPr>
              <w:jc w:val="center"/>
              <w:rPr>
                <w:rFonts w:ascii="Times New Roman" w:hAnsi="Times New Roman" w:cs="Times New Roman"/>
                <w:sz w:val="24"/>
                <w:szCs w:val="24"/>
              </w:rPr>
            </w:pPr>
            <w:r w:rsidRPr="00163B1F">
              <w:rPr>
                <w:rFonts w:ascii="Times New Roman" w:hAnsi="Times New Roman" w:cs="Times New Roman"/>
                <w:sz w:val="24"/>
                <w:szCs w:val="24"/>
              </w:rPr>
              <w:t>Survey End Date</w:t>
            </w:r>
          </w:p>
        </w:tc>
        <w:tc>
          <w:tcPr>
            <w:tcW w:w="1800" w:type="dxa"/>
          </w:tcPr>
          <w:p w14:paraId="4B73B371" w14:textId="77777777" w:rsidR="00F7657F" w:rsidRPr="00163B1F" w:rsidRDefault="00F7657F" w:rsidP="007C6375">
            <w:pPr>
              <w:jc w:val="center"/>
              <w:rPr>
                <w:rFonts w:ascii="Times New Roman" w:hAnsi="Times New Roman" w:cs="Times New Roman"/>
                <w:sz w:val="24"/>
                <w:szCs w:val="24"/>
              </w:rPr>
            </w:pPr>
            <w:r w:rsidRPr="00163B1F">
              <w:rPr>
                <w:rFonts w:ascii="Times New Roman" w:hAnsi="Times New Roman" w:cs="Times New Roman"/>
                <w:sz w:val="24"/>
                <w:szCs w:val="24"/>
              </w:rPr>
              <w:t>Duration (Days)</w:t>
            </w:r>
          </w:p>
        </w:tc>
      </w:tr>
      <w:tr w:rsidR="00F7657F" w14:paraId="3E73D2C6" w14:textId="77777777" w:rsidTr="007C6375">
        <w:trPr>
          <w:trHeight w:val="432"/>
        </w:trPr>
        <w:tc>
          <w:tcPr>
            <w:tcW w:w="1615" w:type="dxa"/>
          </w:tcPr>
          <w:p w14:paraId="14EBE3CF" w14:textId="77777777" w:rsidR="00F7657F" w:rsidRPr="00163B1F" w:rsidRDefault="00F7657F" w:rsidP="007C6375">
            <w:pPr>
              <w:jc w:val="center"/>
              <w:rPr>
                <w:rFonts w:ascii="Times New Roman" w:hAnsi="Times New Roman" w:cs="Times New Roman"/>
                <w:sz w:val="24"/>
                <w:szCs w:val="24"/>
              </w:rPr>
            </w:pPr>
            <w:r w:rsidRPr="00163B1F">
              <w:rPr>
                <w:rFonts w:ascii="Times New Roman" w:hAnsi="Times New Roman" w:cs="Times New Roman"/>
                <w:sz w:val="24"/>
                <w:szCs w:val="24"/>
              </w:rPr>
              <w:t>1</w:t>
            </w:r>
          </w:p>
        </w:tc>
        <w:tc>
          <w:tcPr>
            <w:tcW w:w="2070" w:type="dxa"/>
          </w:tcPr>
          <w:p w14:paraId="388F2A0E" w14:textId="77777777" w:rsidR="00F7657F" w:rsidRPr="00163B1F" w:rsidRDefault="00F7657F" w:rsidP="007C6375">
            <w:pPr>
              <w:jc w:val="center"/>
              <w:rPr>
                <w:rFonts w:ascii="Times New Roman" w:hAnsi="Times New Roman" w:cs="Times New Roman"/>
                <w:sz w:val="24"/>
                <w:szCs w:val="24"/>
              </w:rPr>
            </w:pPr>
            <w:r w:rsidRPr="00163B1F">
              <w:rPr>
                <w:rFonts w:ascii="Times New Roman" w:hAnsi="Times New Roman" w:cs="Times New Roman"/>
                <w:sz w:val="24"/>
                <w:szCs w:val="24"/>
              </w:rPr>
              <w:t>4/8/2024</w:t>
            </w:r>
          </w:p>
        </w:tc>
        <w:tc>
          <w:tcPr>
            <w:tcW w:w="1980" w:type="dxa"/>
          </w:tcPr>
          <w:p w14:paraId="674D3B38" w14:textId="77777777" w:rsidR="00F7657F" w:rsidRPr="00163B1F" w:rsidRDefault="00F7657F" w:rsidP="007C6375">
            <w:pPr>
              <w:jc w:val="center"/>
              <w:rPr>
                <w:rFonts w:ascii="Times New Roman" w:hAnsi="Times New Roman" w:cs="Times New Roman"/>
                <w:sz w:val="24"/>
                <w:szCs w:val="24"/>
              </w:rPr>
            </w:pPr>
            <w:r w:rsidRPr="00163B1F">
              <w:rPr>
                <w:rFonts w:ascii="Times New Roman" w:hAnsi="Times New Roman" w:cs="Times New Roman"/>
                <w:sz w:val="24"/>
                <w:szCs w:val="24"/>
              </w:rPr>
              <w:t>5/8/2024</w:t>
            </w:r>
          </w:p>
        </w:tc>
        <w:tc>
          <w:tcPr>
            <w:tcW w:w="1800" w:type="dxa"/>
          </w:tcPr>
          <w:p w14:paraId="18E5AEE9" w14:textId="77777777" w:rsidR="00F7657F" w:rsidRPr="00163B1F" w:rsidRDefault="00F7657F" w:rsidP="007C6375">
            <w:pPr>
              <w:jc w:val="center"/>
              <w:rPr>
                <w:rFonts w:ascii="Times New Roman" w:hAnsi="Times New Roman" w:cs="Times New Roman"/>
                <w:sz w:val="24"/>
                <w:szCs w:val="24"/>
              </w:rPr>
            </w:pPr>
            <w:r w:rsidRPr="00163B1F">
              <w:rPr>
                <w:rFonts w:ascii="Times New Roman" w:hAnsi="Times New Roman" w:cs="Times New Roman"/>
                <w:sz w:val="24"/>
                <w:szCs w:val="24"/>
              </w:rPr>
              <w:t>30</w:t>
            </w:r>
          </w:p>
        </w:tc>
      </w:tr>
      <w:tr w:rsidR="00F7657F" w14:paraId="2188AF27" w14:textId="77777777" w:rsidTr="007C6375">
        <w:trPr>
          <w:trHeight w:val="432"/>
        </w:trPr>
        <w:tc>
          <w:tcPr>
            <w:tcW w:w="1615" w:type="dxa"/>
          </w:tcPr>
          <w:p w14:paraId="7C69BD42" w14:textId="77777777" w:rsidR="00F7657F" w:rsidRPr="00163B1F" w:rsidRDefault="00F7657F" w:rsidP="007C6375">
            <w:pPr>
              <w:jc w:val="center"/>
              <w:rPr>
                <w:rFonts w:ascii="Times New Roman" w:hAnsi="Times New Roman" w:cs="Times New Roman"/>
                <w:sz w:val="24"/>
                <w:szCs w:val="24"/>
              </w:rPr>
            </w:pPr>
            <w:r w:rsidRPr="00163B1F">
              <w:rPr>
                <w:rFonts w:ascii="Times New Roman" w:hAnsi="Times New Roman" w:cs="Times New Roman"/>
                <w:sz w:val="24"/>
                <w:szCs w:val="24"/>
              </w:rPr>
              <w:t>2</w:t>
            </w:r>
          </w:p>
        </w:tc>
        <w:tc>
          <w:tcPr>
            <w:tcW w:w="2070" w:type="dxa"/>
          </w:tcPr>
          <w:p w14:paraId="7F8E8A2E" w14:textId="77777777" w:rsidR="00F7657F" w:rsidRPr="00163B1F" w:rsidRDefault="00F7657F" w:rsidP="007C6375">
            <w:pPr>
              <w:jc w:val="center"/>
              <w:rPr>
                <w:rFonts w:ascii="Times New Roman" w:hAnsi="Times New Roman" w:cs="Times New Roman"/>
                <w:sz w:val="24"/>
                <w:szCs w:val="24"/>
              </w:rPr>
            </w:pPr>
            <w:r w:rsidRPr="00163B1F">
              <w:rPr>
                <w:rFonts w:ascii="Times New Roman" w:hAnsi="Times New Roman" w:cs="Times New Roman"/>
                <w:sz w:val="24"/>
                <w:szCs w:val="24"/>
              </w:rPr>
              <w:t>6/20/2024</w:t>
            </w:r>
          </w:p>
        </w:tc>
        <w:tc>
          <w:tcPr>
            <w:tcW w:w="1980" w:type="dxa"/>
          </w:tcPr>
          <w:p w14:paraId="1A57F4A2" w14:textId="77777777" w:rsidR="00F7657F" w:rsidRPr="00163B1F" w:rsidRDefault="00F7657F" w:rsidP="007C6375">
            <w:pPr>
              <w:jc w:val="center"/>
              <w:rPr>
                <w:rFonts w:ascii="Times New Roman" w:hAnsi="Times New Roman" w:cs="Times New Roman"/>
                <w:sz w:val="24"/>
                <w:szCs w:val="24"/>
              </w:rPr>
            </w:pPr>
            <w:r w:rsidRPr="00163B1F">
              <w:rPr>
                <w:rFonts w:ascii="Times New Roman" w:hAnsi="Times New Roman" w:cs="Times New Roman"/>
                <w:sz w:val="24"/>
                <w:szCs w:val="24"/>
              </w:rPr>
              <w:t>7/13/2024</w:t>
            </w:r>
          </w:p>
        </w:tc>
        <w:tc>
          <w:tcPr>
            <w:tcW w:w="1800" w:type="dxa"/>
          </w:tcPr>
          <w:p w14:paraId="3B50B050" w14:textId="77777777" w:rsidR="00F7657F" w:rsidRPr="00163B1F" w:rsidRDefault="00F7657F" w:rsidP="007C6375">
            <w:pPr>
              <w:jc w:val="center"/>
              <w:rPr>
                <w:rFonts w:ascii="Times New Roman" w:hAnsi="Times New Roman" w:cs="Times New Roman"/>
                <w:sz w:val="24"/>
                <w:szCs w:val="24"/>
              </w:rPr>
            </w:pPr>
            <w:r w:rsidRPr="00163B1F">
              <w:rPr>
                <w:rFonts w:ascii="Times New Roman" w:hAnsi="Times New Roman" w:cs="Times New Roman"/>
                <w:sz w:val="24"/>
                <w:szCs w:val="24"/>
              </w:rPr>
              <w:t>23</w:t>
            </w:r>
          </w:p>
        </w:tc>
      </w:tr>
      <w:tr w:rsidR="00F7657F" w14:paraId="0C6EEF06" w14:textId="77777777" w:rsidTr="007C6375">
        <w:trPr>
          <w:trHeight w:val="432"/>
        </w:trPr>
        <w:tc>
          <w:tcPr>
            <w:tcW w:w="1615" w:type="dxa"/>
          </w:tcPr>
          <w:p w14:paraId="13B42697" w14:textId="77777777" w:rsidR="00F7657F" w:rsidRPr="00163B1F" w:rsidRDefault="00F7657F" w:rsidP="007C6375">
            <w:pPr>
              <w:jc w:val="center"/>
              <w:rPr>
                <w:rFonts w:ascii="Times New Roman" w:hAnsi="Times New Roman" w:cs="Times New Roman"/>
                <w:sz w:val="24"/>
                <w:szCs w:val="24"/>
              </w:rPr>
            </w:pPr>
            <w:r w:rsidRPr="00163B1F">
              <w:rPr>
                <w:rFonts w:ascii="Times New Roman" w:hAnsi="Times New Roman" w:cs="Times New Roman"/>
                <w:sz w:val="24"/>
                <w:szCs w:val="24"/>
              </w:rPr>
              <w:t>3</w:t>
            </w:r>
          </w:p>
        </w:tc>
        <w:tc>
          <w:tcPr>
            <w:tcW w:w="2070" w:type="dxa"/>
          </w:tcPr>
          <w:p w14:paraId="013923E9" w14:textId="77777777" w:rsidR="00F7657F" w:rsidRPr="00163B1F" w:rsidRDefault="00F7657F" w:rsidP="007C6375">
            <w:pPr>
              <w:jc w:val="center"/>
              <w:rPr>
                <w:rFonts w:ascii="Times New Roman" w:hAnsi="Times New Roman" w:cs="Times New Roman"/>
                <w:sz w:val="24"/>
                <w:szCs w:val="24"/>
              </w:rPr>
            </w:pPr>
            <w:r w:rsidRPr="00163B1F">
              <w:rPr>
                <w:rFonts w:ascii="Times New Roman" w:hAnsi="Times New Roman" w:cs="Times New Roman"/>
                <w:sz w:val="24"/>
                <w:szCs w:val="24"/>
              </w:rPr>
              <w:t>8/6/2024</w:t>
            </w:r>
          </w:p>
        </w:tc>
        <w:tc>
          <w:tcPr>
            <w:tcW w:w="1980" w:type="dxa"/>
          </w:tcPr>
          <w:p w14:paraId="082345D7" w14:textId="77777777" w:rsidR="00F7657F" w:rsidRPr="00163B1F" w:rsidRDefault="00F7657F" w:rsidP="007C6375">
            <w:pPr>
              <w:jc w:val="center"/>
              <w:rPr>
                <w:rFonts w:ascii="Times New Roman" w:hAnsi="Times New Roman" w:cs="Times New Roman"/>
                <w:sz w:val="24"/>
                <w:szCs w:val="24"/>
              </w:rPr>
            </w:pPr>
            <w:r w:rsidRPr="00163B1F">
              <w:rPr>
                <w:rFonts w:ascii="Times New Roman" w:hAnsi="Times New Roman" w:cs="Times New Roman"/>
                <w:sz w:val="24"/>
                <w:szCs w:val="24"/>
              </w:rPr>
              <w:t>8/20/2024</w:t>
            </w:r>
          </w:p>
        </w:tc>
        <w:tc>
          <w:tcPr>
            <w:tcW w:w="1800" w:type="dxa"/>
          </w:tcPr>
          <w:p w14:paraId="4C3AF251" w14:textId="77777777" w:rsidR="00F7657F" w:rsidRPr="00163B1F" w:rsidRDefault="00F7657F" w:rsidP="007C6375">
            <w:pPr>
              <w:jc w:val="center"/>
              <w:rPr>
                <w:rFonts w:ascii="Times New Roman" w:hAnsi="Times New Roman" w:cs="Times New Roman"/>
                <w:sz w:val="24"/>
                <w:szCs w:val="24"/>
              </w:rPr>
            </w:pPr>
            <w:r w:rsidRPr="00163B1F">
              <w:rPr>
                <w:rFonts w:ascii="Times New Roman" w:hAnsi="Times New Roman" w:cs="Times New Roman"/>
                <w:sz w:val="24"/>
                <w:szCs w:val="24"/>
              </w:rPr>
              <w:t>14</w:t>
            </w:r>
          </w:p>
        </w:tc>
      </w:tr>
      <w:tr w:rsidR="00F7657F" w14:paraId="0EC43734" w14:textId="77777777" w:rsidTr="007C6375">
        <w:trPr>
          <w:trHeight w:val="432"/>
        </w:trPr>
        <w:tc>
          <w:tcPr>
            <w:tcW w:w="1615" w:type="dxa"/>
          </w:tcPr>
          <w:p w14:paraId="16D47008" w14:textId="77777777" w:rsidR="00F7657F" w:rsidRPr="00163B1F" w:rsidRDefault="00F7657F" w:rsidP="007C6375">
            <w:pPr>
              <w:jc w:val="center"/>
              <w:rPr>
                <w:rFonts w:ascii="Times New Roman" w:hAnsi="Times New Roman" w:cs="Times New Roman"/>
                <w:sz w:val="24"/>
                <w:szCs w:val="24"/>
              </w:rPr>
            </w:pPr>
            <w:r w:rsidRPr="00163B1F">
              <w:rPr>
                <w:rFonts w:ascii="Times New Roman" w:hAnsi="Times New Roman" w:cs="Times New Roman"/>
                <w:sz w:val="24"/>
                <w:szCs w:val="24"/>
              </w:rPr>
              <w:t>4</w:t>
            </w:r>
          </w:p>
        </w:tc>
        <w:tc>
          <w:tcPr>
            <w:tcW w:w="2070" w:type="dxa"/>
          </w:tcPr>
          <w:p w14:paraId="6EDA94E2" w14:textId="77777777" w:rsidR="00F7657F" w:rsidRPr="00163B1F" w:rsidRDefault="00F7657F" w:rsidP="007C6375">
            <w:pPr>
              <w:jc w:val="center"/>
              <w:rPr>
                <w:rFonts w:ascii="Times New Roman" w:hAnsi="Times New Roman" w:cs="Times New Roman"/>
                <w:sz w:val="24"/>
                <w:szCs w:val="24"/>
              </w:rPr>
            </w:pPr>
            <w:r w:rsidRPr="00163B1F">
              <w:rPr>
                <w:rFonts w:ascii="Times New Roman" w:hAnsi="Times New Roman" w:cs="Times New Roman"/>
                <w:sz w:val="24"/>
                <w:szCs w:val="24"/>
              </w:rPr>
              <w:t>10/2/2024</w:t>
            </w:r>
          </w:p>
        </w:tc>
        <w:tc>
          <w:tcPr>
            <w:tcW w:w="1980" w:type="dxa"/>
          </w:tcPr>
          <w:p w14:paraId="528E81DC" w14:textId="77777777" w:rsidR="00F7657F" w:rsidRPr="00163B1F" w:rsidRDefault="00F7657F" w:rsidP="007C6375">
            <w:pPr>
              <w:jc w:val="center"/>
              <w:rPr>
                <w:rFonts w:ascii="Times New Roman" w:hAnsi="Times New Roman" w:cs="Times New Roman"/>
                <w:sz w:val="24"/>
                <w:szCs w:val="24"/>
              </w:rPr>
            </w:pPr>
            <w:r w:rsidRPr="00163B1F">
              <w:rPr>
                <w:rFonts w:ascii="Times New Roman" w:hAnsi="Times New Roman" w:cs="Times New Roman"/>
                <w:sz w:val="24"/>
                <w:szCs w:val="24"/>
              </w:rPr>
              <w:t>12/17/2024</w:t>
            </w:r>
          </w:p>
        </w:tc>
        <w:tc>
          <w:tcPr>
            <w:tcW w:w="1800" w:type="dxa"/>
          </w:tcPr>
          <w:p w14:paraId="4018B428" w14:textId="77777777" w:rsidR="00F7657F" w:rsidRPr="00163B1F" w:rsidRDefault="00F7657F" w:rsidP="007C6375">
            <w:pPr>
              <w:jc w:val="center"/>
              <w:rPr>
                <w:rFonts w:ascii="Times New Roman" w:hAnsi="Times New Roman" w:cs="Times New Roman"/>
                <w:sz w:val="24"/>
                <w:szCs w:val="24"/>
              </w:rPr>
            </w:pPr>
            <w:r w:rsidRPr="00163B1F">
              <w:rPr>
                <w:rFonts w:ascii="Times New Roman" w:hAnsi="Times New Roman" w:cs="Times New Roman"/>
                <w:sz w:val="24"/>
                <w:szCs w:val="24"/>
              </w:rPr>
              <w:t>76</w:t>
            </w:r>
          </w:p>
        </w:tc>
      </w:tr>
    </w:tbl>
    <w:p w14:paraId="39FCCD99" w14:textId="77777777" w:rsidR="0021700E" w:rsidRDefault="0021700E" w:rsidP="007B136F">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en-US"/>
        </w:rPr>
      </w:pPr>
    </w:p>
    <w:p w14:paraId="1006375F" w14:textId="77777777" w:rsidR="0064759F" w:rsidRPr="009A45F0" w:rsidRDefault="0064759F" w:rsidP="007B136F">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en-US"/>
        </w:rPr>
      </w:pPr>
    </w:p>
    <w:p w14:paraId="66DE847E" w14:textId="6C6F3275" w:rsidR="00A31E19" w:rsidRDefault="00CE1503" w:rsidP="00CC4089">
      <w:pPr>
        <w:spacing w:line="480" w:lineRule="auto"/>
        <w:jc w:val="both"/>
        <w:rPr>
          <w:rFonts w:ascii="Times New Roman" w:eastAsia="DengXian" w:hAnsi="Times New Roman" w:cs="Times New Roman"/>
          <w:b/>
          <w:bCs/>
          <w:sz w:val="24"/>
          <w:szCs w:val="24"/>
        </w:rPr>
      </w:pPr>
      <w:r>
        <w:rPr>
          <w:rFonts w:ascii="Times New Roman" w:eastAsia="DengXian" w:hAnsi="Times New Roman" w:cs="Times New Roman"/>
          <w:b/>
          <w:bCs/>
          <w:sz w:val="24"/>
          <w:szCs w:val="24"/>
        </w:rPr>
        <w:t xml:space="preserve">Supplementary Note </w:t>
      </w:r>
      <w:r w:rsidR="00BA752A">
        <w:rPr>
          <w:rFonts w:ascii="Times New Roman" w:eastAsia="DengXian" w:hAnsi="Times New Roman" w:cs="Times New Roman"/>
          <w:b/>
          <w:bCs/>
          <w:sz w:val="24"/>
          <w:szCs w:val="24"/>
        </w:rPr>
        <w:t>S2</w:t>
      </w:r>
      <w:r>
        <w:rPr>
          <w:rFonts w:ascii="Times New Roman" w:eastAsia="DengXian" w:hAnsi="Times New Roman" w:cs="Times New Roman"/>
          <w:b/>
          <w:bCs/>
          <w:sz w:val="24"/>
          <w:szCs w:val="24"/>
        </w:rPr>
        <w:t>.</w:t>
      </w:r>
      <w:r w:rsidR="00BA752A">
        <w:rPr>
          <w:rFonts w:ascii="Times New Roman" w:eastAsia="DengXian" w:hAnsi="Times New Roman" w:cs="Times New Roman"/>
          <w:b/>
          <w:bCs/>
          <w:sz w:val="24"/>
          <w:szCs w:val="24"/>
        </w:rPr>
        <w:t xml:space="preserve"> </w:t>
      </w:r>
      <w:r w:rsidR="00F9010C" w:rsidRPr="00F9010C">
        <w:rPr>
          <w:rFonts w:ascii="Times New Roman" w:eastAsia="DengXian" w:hAnsi="Times New Roman" w:cs="Times New Roman"/>
          <w:b/>
          <w:bCs/>
          <w:sz w:val="24"/>
          <w:szCs w:val="24"/>
        </w:rPr>
        <w:t>Failure Mode and Effects Analysis (FMEA)</w:t>
      </w:r>
    </w:p>
    <w:p w14:paraId="5CA779BD" w14:textId="3A3D6862" w:rsidR="00F6594F" w:rsidRPr="00C20868" w:rsidRDefault="00403356" w:rsidP="00202A9E">
      <w:pPr>
        <w:spacing w:line="480" w:lineRule="auto"/>
        <w:ind w:firstLine="720"/>
        <w:rPr>
          <w:rFonts w:ascii="Times New Roman" w:eastAsia="DengXian" w:hAnsi="Times New Roman" w:cs="Times New Roman"/>
          <w:sz w:val="24"/>
          <w:szCs w:val="24"/>
        </w:rPr>
      </w:pPr>
      <w:r w:rsidRPr="00C20868">
        <w:rPr>
          <w:rFonts w:ascii="Times New Roman" w:eastAsia="DengXian" w:hAnsi="Times New Roman" w:cs="Times New Roman"/>
          <w:sz w:val="24"/>
          <w:szCs w:val="24"/>
        </w:rPr>
        <w:t xml:space="preserve">This section provides </w:t>
      </w:r>
      <w:r w:rsidR="00EE2BB7" w:rsidRPr="00C20868">
        <w:rPr>
          <w:rFonts w:ascii="Times New Roman" w:eastAsia="DengXian" w:hAnsi="Times New Roman" w:cs="Times New Roman"/>
          <w:sz w:val="24"/>
          <w:szCs w:val="24"/>
        </w:rPr>
        <w:t>detailed</w:t>
      </w:r>
      <w:r w:rsidRPr="00C20868">
        <w:rPr>
          <w:rFonts w:ascii="Times New Roman" w:eastAsia="DengXian" w:hAnsi="Times New Roman" w:cs="Times New Roman"/>
          <w:sz w:val="24"/>
          <w:szCs w:val="24"/>
        </w:rPr>
        <w:t xml:space="preserve"> input data, normalized scores, and Risk Priority Numbers (RPNs) for the </w:t>
      </w:r>
      <w:r w:rsidR="00F9010C" w:rsidRPr="00C20868">
        <w:rPr>
          <w:rFonts w:ascii="Times New Roman" w:eastAsia="DengXian" w:hAnsi="Times New Roman" w:cs="Times New Roman"/>
          <w:sz w:val="24"/>
          <w:szCs w:val="24"/>
        </w:rPr>
        <w:t>FMEA analysis</w:t>
      </w:r>
      <w:r w:rsidRPr="00C20868">
        <w:rPr>
          <w:rFonts w:ascii="Times New Roman" w:eastAsia="DengXian" w:hAnsi="Times New Roman" w:cs="Times New Roman"/>
          <w:sz w:val="24"/>
          <w:szCs w:val="24"/>
        </w:rPr>
        <w:t xml:space="preserve"> conducted on the 1,011 identified emission events.</w:t>
      </w:r>
      <w:r w:rsidR="003C63C5" w:rsidRPr="00C20868">
        <w:rPr>
          <w:rFonts w:ascii="Times New Roman" w:eastAsia="DengXian" w:hAnsi="Times New Roman" w:cs="Times New Roman"/>
          <w:sz w:val="24"/>
          <w:szCs w:val="24"/>
        </w:rPr>
        <w:t xml:space="preserve"> The methodology for computing Severity (S), Occurrence (O), Detection (D), and the RPN </w:t>
      </w:r>
      <w:r w:rsidR="0095425A" w:rsidRPr="00C20868">
        <w:rPr>
          <w:rFonts w:ascii="Times New Roman" w:eastAsia="DengXian" w:hAnsi="Times New Roman" w:cs="Times New Roman"/>
          <w:sz w:val="24"/>
          <w:szCs w:val="24"/>
        </w:rPr>
        <w:t>are</w:t>
      </w:r>
      <w:r w:rsidR="003C63C5" w:rsidRPr="00C20868">
        <w:rPr>
          <w:rFonts w:ascii="Times New Roman" w:eastAsia="DengXian" w:hAnsi="Times New Roman" w:cs="Times New Roman"/>
          <w:sz w:val="24"/>
          <w:szCs w:val="24"/>
        </w:rPr>
        <w:t xml:space="preserve"> described in</w:t>
      </w:r>
      <w:r w:rsidR="00A244B6" w:rsidRPr="00C20868">
        <w:rPr>
          <w:rFonts w:ascii="Times New Roman" w:eastAsia="DengXian" w:hAnsi="Times New Roman" w:cs="Times New Roman"/>
          <w:sz w:val="24"/>
          <w:szCs w:val="24"/>
        </w:rPr>
        <w:t xml:space="preserve"> the</w:t>
      </w:r>
      <w:r w:rsidR="003C63C5" w:rsidRPr="00C20868">
        <w:rPr>
          <w:rFonts w:ascii="Times New Roman" w:eastAsia="DengXian" w:hAnsi="Times New Roman" w:cs="Times New Roman"/>
          <w:sz w:val="24"/>
          <w:szCs w:val="24"/>
        </w:rPr>
        <w:t xml:space="preserve"> </w:t>
      </w:r>
      <w:r w:rsidR="000271ED">
        <w:rPr>
          <w:rFonts w:ascii="Times New Roman" w:eastAsia="DengXian" w:hAnsi="Times New Roman" w:cs="Times New Roman"/>
          <w:sz w:val="24"/>
          <w:szCs w:val="24"/>
        </w:rPr>
        <w:t>m</w:t>
      </w:r>
      <w:r w:rsidR="0064759F" w:rsidRPr="00C20868">
        <w:rPr>
          <w:rFonts w:ascii="Times New Roman" w:eastAsia="DengXian" w:hAnsi="Times New Roman" w:cs="Times New Roman"/>
          <w:sz w:val="24"/>
          <w:szCs w:val="24"/>
        </w:rPr>
        <w:t xml:space="preserve">ain </w:t>
      </w:r>
      <w:r w:rsidR="000271ED">
        <w:rPr>
          <w:rFonts w:ascii="Times New Roman" w:eastAsia="DengXian" w:hAnsi="Times New Roman" w:cs="Times New Roman"/>
          <w:sz w:val="24"/>
          <w:szCs w:val="24"/>
        </w:rPr>
        <w:t>t</w:t>
      </w:r>
      <w:r w:rsidR="0064759F" w:rsidRPr="00C20868">
        <w:rPr>
          <w:rFonts w:ascii="Times New Roman" w:eastAsia="DengXian" w:hAnsi="Times New Roman" w:cs="Times New Roman"/>
          <w:sz w:val="24"/>
          <w:szCs w:val="24"/>
        </w:rPr>
        <w:t>ext</w:t>
      </w:r>
      <w:r w:rsidR="00A244B6" w:rsidRPr="00C20868">
        <w:rPr>
          <w:rFonts w:ascii="Times New Roman" w:eastAsia="DengXian" w:hAnsi="Times New Roman" w:cs="Times New Roman"/>
          <w:sz w:val="24"/>
          <w:szCs w:val="24"/>
        </w:rPr>
        <w:t xml:space="preserve"> </w:t>
      </w:r>
      <w:r w:rsidR="000271ED">
        <w:rPr>
          <w:rFonts w:ascii="Times New Roman" w:eastAsia="DengXian" w:hAnsi="Times New Roman" w:cs="Times New Roman"/>
          <w:sz w:val="24"/>
          <w:szCs w:val="24"/>
        </w:rPr>
        <w:t>(</w:t>
      </w:r>
      <w:r w:rsidR="00A244B6" w:rsidRPr="00C20868">
        <w:rPr>
          <w:rFonts w:ascii="Times New Roman" w:eastAsia="DengXian" w:hAnsi="Times New Roman" w:cs="Times New Roman"/>
          <w:sz w:val="24"/>
          <w:szCs w:val="24"/>
        </w:rPr>
        <w:t>Section 2.3.1</w:t>
      </w:r>
      <w:r w:rsidR="000271ED">
        <w:rPr>
          <w:rFonts w:ascii="Times New Roman" w:eastAsia="DengXian" w:hAnsi="Times New Roman" w:cs="Times New Roman"/>
          <w:sz w:val="24"/>
          <w:szCs w:val="24"/>
        </w:rPr>
        <w:t>)</w:t>
      </w:r>
      <w:r w:rsidR="00A244B6" w:rsidRPr="00C20868">
        <w:rPr>
          <w:rFonts w:ascii="Times New Roman" w:eastAsia="DengXian" w:hAnsi="Times New Roman" w:cs="Times New Roman"/>
          <w:sz w:val="24"/>
          <w:szCs w:val="24"/>
        </w:rPr>
        <w:t>.</w:t>
      </w:r>
      <w:r w:rsidR="00F6594F" w:rsidRPr="00C20868">
        <w:rPr>
          <w:rFonts w:ascii="Times New Roman" w:eastAsia="DengXian" w:hAnsi="Times New Roman" w:cs="Times New Roman"/>
          <w:sz w:val="24"/>
          <w:szCs w:val="24"/>
        </w:rPr>
        <w:br/>
      </w:r>
    </w:p>
    <w:p w14:paraId="3CE1BA5A" w14:textId="3E8A9075" w:rsidR="00F9010C" w:rsidRPr="00F9010C" w:rsidRDefault="00CE1503" w:rsidP="001F21C1">
      <w:pPr>
        <w:spacing w:line="480" w:lineRule="auto"/>
        <w:jc w:val="both"/>
        <w:rPr>
          <w:rFonts w:ascii="Times New Roman" w:eastAsia="DengXian" w:hAnsi="Times New Roman" w:cs="Times New Roman"/>
          <w:b/>
          <w:bCs/>
          <w:sz w:val="24"/>
          <w:szCs w:val="24"/>
        </w:rPr>
      </w:pPr>
      <w:r>
        <w:rPr>
          <w:rFonts w:ascii="Times New Roman" w:eastAsia="DengXian" w:hAnsi="Times New Roman" w:cs="Times New Roman"/>
          <w:b/>
          <w:bCs/>
          <w:sz w:val="24"/>
          <w:szCs w:val="24"/>
        </w:rPr>
        <w:t xml:space="preserve">Supplementary Note </w:t>
      </w:r>
      <w:r w:rsidR="00F9010C">
        <w:rPr>
          <w:rFonts w:ascii="Times New Roman" w:eastAsia="DengXian" w:hAnsi="Times New Roman" w:cs="Times New Roman"/>
          <w:b/>
          <w:bCs/>
          <w:sz w:val="24"/>
          <w:szCs w:val="24"/>
        </w:rPr>
        <w:t>S2.1</w:t>
      </w:r>
      <w:r>
        <w:rPr>
          <w:rFonts w:ascii="Times New Roman" w:eastAsia="DengXian" w:hAnsi="Times New Roman" w:cs="Times New Roman"/>
          <w:b/>
          <w:bCs/>
          <w:sz w:val="24"/>
          <w:szCs w:val="24"/>
        </w:rPr>
        <w:t>.</w:t>
      </w:r>
      <w:r w:rsidR="00F9010C">
        <w:rPr>
          <w:rFonts w:ascii="Times New Roman" w:eastAsia="DengXian" w:hAnsi="Times New Roman" w:cs="Times New Roman"/>
          <w:b/>
          <w:bCs/>
          <w:sz w:val="24"/>
          <w:szCs w:val="24"/>
        </w:rPr>
        <w:t xml:space="preserve"> </w:t>
      </w:r>
      <w:r w:rsidR="00D3671A" w:rsidRPr="00D3671A">
        <w:rPr>
          <w:rFonts w:ascii="Times New Roman" w:eastAsia="DengXian" w:hAnsi="Times New Roman" w:cs="Times New Roman"/>
          <w:b/>
          <w:bCs/>
          <w:sz w:val="24"/>
          <w:szCs w:val="24"/>
        </w:rPr>
        <w:t>FMEA Scoring Data and Results</w:t>
      </w:r>
    </w:p>
    <w:p w14:paraId="48A51476" w14:textId="729A8F03" w:rsidR="00C6799E" w:rsidRDefault="002D2A46" w:rsidP="00202A9E">
      <w:pPr>
        <w:spacing w:line="480" w:lineRule="auto"/>
        <w:ind w:firstLine="720"/>
        <w:jc w:val="both"/>
        <w:rPr>
          <w:rFonts w:ascii="Times New Roman" w:eastAsia="DengXian" w:hAnsi="Times New Roman" w:cs="Times New Roman"/>
          <w:sz w:val="24"/>
          <w:szCs w:val="24"/>
        </w:rPr>
      </w:pPr>
      <w:r w:rsidRPr="00202A9E">
        <w:rPr>
          <w:rFonts w:ascii="Times New Roman" w:eastAsia="Times New Roman" w:hAnsi="Times New Roman" w:cs="Times New Roman"/>
          <w:color w:val="000000"/>
          <w:sz w:val="24"/>
          <w:szCs w:val="24"/>
          <w:lang w:eastAsia="en-US"/>
        </w:rPr>
        <w:t>Supplementary</w:t>
      </w:r>
      <w:r w:rsidRPr="00202A9E">
        <w:rPr>
          <w:rFonts w:ascii="Times New Roman" w:eastAsia="DengXian" w:hAnsi="Times New Roman" w:cs="Times New Roman"/>
          <w:sz w:val="24"/>
          <w:szCs w:val="24"/>
        </w:rPr>
        <w:t xml:space="preserve"> </w:t>
      </w:r>
      <w:r w:rsidR="00545FE2" w:rsidRPr="00202A9E">
        <w:rPr>
          <w:rFonts w:ascii="Times New Roman" w:eastAsia="DengXian" w:hAnsi="Times New Roman" w:cs="Times New Roman"/>
          <w:sz w:val="24"/>
          <w:szCs w:val="24"/>
        </w:rPr>
        <w:t xml:space="preserve">Table </w:t>
      </w:r>
      <w:r w:rsidRPr="00202A9E">
        <w:rPr>
          <w:rFonts w:ascii="Times New Roman" w:eastAsia="DengXian" w:hAnsi="Times New Roman" w:cs="Times New Roman"/>
          <w:sz w:val="24"/>
          <w:szCs w:val="24"/>
        </w:rPr>
        <w:t>2</w:t>
      </w:r>
      <w:r w:rsidR="00545FE2" w:rsidRPr="00C20868">
        <w:rPr>
          <w:rFonts w:ascii="Times New Roman" w:eastAsia="DengXian" w:hAnsi="Times New Roman" w:cs="Times New Roman"/>
          <w:sz w:val="24"/>
          <w:szCs w:val="24"/>
        </w:rPr>
        <w:t xml:space="preserve"> </w:t>
      </w:r>
      <w:r w:rsidR="00F37486" w:rsidRPr="00C20868">
        <w:rPr>
          <w:rFonts w:ascii="Times New Roman" w:eastAsia="DengXian" w:hAnsi="Times New Roman" w:cs="Times New Roman"/>
          <w:sz w:val="24"/>
          <w:szCs w:val="24"/>
        </w:rPr>
        <w:t>presents</w:t>
      </w:r>
      <w:r w:rsidR="00F37486" w:rsidRPr="00F37486">
        <w:rPr>
          <w:rFonts w:ascii="Times New Roman" w:eastAsia="DengXian" w:hAnsi="Times New Roman" w:cs="Times New Roman"/>
          <w:sz w:val="24"/>
          <w:szCs w:val="24"/>
        </w:rPr>
        <w:t xml:space="preserve"> the comprehensive data used for the FMEA, detailing for each of the nine failure modes the raw average emission rate (kg/h) for Severity, the normalized Severity score (S), the total event frequency for Occurrence, the normalized </w:t>
      </w:r>
      <w:r w:rsidR="00A574FA" w:rsidRPr="00F37486">
        <w:rPr>
          <w:rFonts w:ascii="Times New Roman" w:eastAsia="DengXian" w:hAnsi="Times New Roman" w:cs="Times New Roman"/>
          <w:sz w:val="24"/>
          <w:szCs w:val="24"/>
        </w:rPr>
        <w:t>Occurrence</w:t>
      </w:r>
      <w:r w:rsidR="00F37486" w:rsidRPr="00F37486">
        <w:rPr>
          <w:rFonts w:ascii="Times New Roman" w:eastAsia="DengXian" w:hAnsi="Times New Roman" w:cs="Times New Roman"/>
          <w:sz w:val="24"/>
          <w:szCs w:val="24"/>
        </w:rPr>
        <w:t xml:space="preserve"> </w:t>
      </w:r>
      <w:r w:rsidR="00A574FA">
        <w:rPr>
          <w:rFonts w:ascii="Times New Roman" w:eastAsia="DengXian" w:hAnsi="Times New Roman" w:cs="Times New Roman"/>
          <w:sz w:val="24"/>
          <w:szCs w:val="24"/>
        </w:rPr>
        <w:t xml:space="preserve">score </w:t>
      </w:r>
      <w:r w:rsidR="00F37486" w:rsidRPr="00F37486">
        <w:rPr>
          <w:rFonts w:ascii="Times New Roman" w:eastAsia="DengXian" w:hAnsi="Times New Roman" w:cs="Times New Roman"/>
          <w:sz w:val="24"/>
          <w:szCs w:val="24"/>
        </w:rPr>
        <w:t xml:space="preserve">(O), </w:t>
      </w:r>
      <w:r w:rsidR="00F37486" w:rsidRPr="00F37486">
        <w:rPr>
          <w:rFonts w:ascii="Times New Roman" w:eastAsia="DengXian" w:hAnsi="Times New Roman" w:cs="Times New Roman"/>
          <w:sz w:val="24"/>
          <w:szCs w:val="24"/>
        </w:rPr>
        <w:lastRenderedPageBreak/>
        <w:t>the average duration for Detect</w:t>
      </w:r>
      <w:r w:rsidR="003B39EF">
        <w:rPr>
          <w:rFonts w:ascii="Times New Roman" w:eastAsia="DengXian" w:hAnsi="Times New Roman" w:cs="Times New Roman"/>
          <w:sz w:val="24"/>
          <w:szCs w:val="24"/>
        </w:rPr>
        <w:t>ion</w:t>
      </w:r>
      <w:r w:rsidR="00F37486" w:rsidRPr="00F37486">
        <w:rPr>
          <w:rFonts w:ascii="Times New Roman" w:eastAsia="DengXian" w:hAnsi="Times New Roman" w:cs="Times New Roman"/>
          <w:sz w:val="24"/>
          <w:szCs w:val="24"/>
        </w:rPr>
        <w:t>, the normalized Detect</w:t>
      </w:r>
      <w:r w:rsidR="003B39EF">
        <w:rPr>
          <w:rFonts w:ascii="Times New Roman" w:eastAsia="DengXian" w:hAnsi="Times New Roman" w:cs="Times New Roman"/>
          <w:sz w:val="24"/>
          <w:szCs w:val="24"/>
        </w:rPr>
        <w:t>ion</w:t>
      </w:r>
      <w:r w:rsidR="00F37486" w:rsidRPr="00F37486">
        <w:rPr>
          <w:rFonts w:ascii="Times New Roman" w:eastAsia="DengXian" w:hAnsi="Times New Roman" w:cs="Times New Roman"/>
          <w:sz w:val="24"/>
          <w:szCs w:val="24"/>
        </w:rPr>
        <w:t xml:space="preserve"> score (D), and the final RPN</w:t>
      </w:r>
      <w:r w:rsidR="00AD18CF">
        <w:rPr>
          <w:rFonts w:ascii="Times New Roman" w:eastAsia="DengXian" w:hAnsi="Times New Roman" w:cs="Times New Roman"/>
          <w:sz w:val="24"/>
          <w:szCs w:val="24"/>
        </w:rPr>
        <w:t xml:space="preserve"> score</w:t>
      </w:r>
      <w:r w:rsidR="003C3A50" w:rsidRPr="003C3A50">
        <w:rPr>
          <w:rFonts w:ascii="Times New Roman" w:eastAsia="DengXian" w:hAnsi="Times New Roman" w:cs="Times New Roman"/>
          <w:sz w:val="24"/>
          <w:szCs w:val="24"/>
        </w:rPr>
        <w:t>. The min–max normalization was based on the following parameter ranges: for Severity, derived from average emission rate,</w:t>
      </w:r>
      <w:r w:rsidR="00086D8E">
        <w:rPr>
          <w:rFonts w:ascii="Times New Roman" w:eastAsia="DengXian" w:hAnsi="Times New Roman" w:cs="Times New Roman"/>
          <w:sz w:val="24"/>
          <w:szCs w:val="24"/>
        </w:rPr>
        <w:t xml:space="preserve"> the</w:t>
      </w:r>
      <w:r w:rsidR="00A25FC2" w:rsidRPr="00F37486">
        <w:rPr>
          <w:rFonts w:ascii="Times New Roman" w:eastAsia="DengXian" w:hAnsi="Times New Roman" w:cs="Times New Roman"/>
          <w:sz w:val="24"/>
          <w:szCs w:val="24"/>
        </w:rPr>
        <w:t xml:space="preserve"> α</w:t>
      </w:r>
      <w:r w:rsidR="00A25FC2" w:rsidRPr="00B643AE">
        <w:rPr>
          <w:rFonts w:ascii="Times New Roman" w:eastAsia="DengXian" w:hAnsi="Times New Roman" w:cs="Times New Roman"/>
          <w:sz w:val="24"/>
          <w:szCs w:val="24"/>
          <w:vertAlign w:val="subscript"/>
        </w:rPr>
        <w:t>min</w:t>
      </w:r>
      <w:r w:rsidR="00A25FC2" w:rsidRPr="00F37486">
        <w:rPr>
          <w:rFonts w:ascii="Times New Roman" w:eastAsia="DengXian" w:hAnsi="Times New Roman" w:cs="Times New Roman"/>
          <w:sz w:val="24"/>
          <w:szCs w:val="24"/>
        </w:rPr>
        <w:t xml:space="preserve"> was 10.24 kg/h for drilling/completions</w:t>
      </w:r>
      <w:r w:rsidR="00EE167B">
        <w:rPr>
          <w:rFonts w:ascii="Times New Roman" w:eastAsia="DengXian" w:hAnsi="Times New Roman" w:cs="Times New Roman"/>
          <w:sz w:val="24"/>
          <w:szCs w:val="24"/>
        </w:rPr>
        <w:t>,</w:t>
      </w:r>
      <w:r w:rsidR="00A25FC2" w:rsidRPr="00F37486">
        <w:rPr>
          <w:rFonts w:ascii="Times New Roman" w:eastAsia="DengXian" w:hAnsi="Times New Roman" w:cs="Times New Roman"/>
          <w:sz w:val="24"/>
          <w:szCs w:val="24"/>
        </w:rPr>
        <w:t xml:space="preserve"> and α</w:t>
      </w:r>
      <w:r w:rsidR="00A25FC2" w:rsidRPr="00B643AE">
        <w:rPr>
          <w:rFonts w:ascii="Times New Roman" w:eastAsia="DengXian" w:hAnsi="Times New Roman" w:cs="Times New Roman"/>
          <w:sz w:val="24"/>
          <w:szCs w:val="24"/>
          <w:vertAlign w:val="subscript"/>
        </w:rPr>
        <w:t>max</w:t>
      </w:r>
      <w:r w:rsidR="00A25FC2">
        <w:rPr>
          <w:rFonts w:ascii="Times New Roman" w:eastAsia="DengXian" w:hAnsi="Times New Roman" w:cs="Times New Roman"/>
          <w:sz w:val="24"/>
          <w:szCs w:val="24"/>
        </w:rPr>
        <w:t xml:space="preserve"> </w:t>
      </w:r>
      <w:r w:rsidR="00A25FC2" w:rsidRPr="00F37486">
        <w:rPr>
          <w:rFonts w:ascii="Times New Roman" w:eastAsia="DengXian" w:hAnsi="Times New Roman" w:cs="Times New Roman"/>
          <w:sz w:val="24"/>
          <w:szCs w:val="24"/>
        </w:rPr>
        <w:t>was 70.44 kg/</w:t>
      </w:r>
      <w:r w:rsidR="00C6799E" w:rsidRPr="00F37486">
        <w:rPr>
          <w:rFonts w:ascii="Times New Roman" w:eastAsia="DengXian" w:hAnsi="Times New Roman" w:cs="Times New Roman"/>
          <w:sz w:val="24"/>
          <w:szCs w:val="24"/>
        </w:rPr>
        <w:t xml:space="preserve">h </w:t>
      </w:r>
      <w:r w:rsidR="00C6799E">
        <w:rPr>
          <w:rFonts w:ascii="Times New Roman" w:eastAsia="DengXian" w:hAnsi="Times New Roman" w:cs="Times New Roman"/>
          <w:sz w:val="24"/>
          <w:szCs w:val="24"/>
        </w:rPr>
        <w:t>for</w:t>
      </w:r>
      <w:r w:rsidR="00A25FC2" w:rsidRPr="00F37486">
        <w:rPr>
          <w:rFonts w:ascii="Times New Roman" w:eastAsia="DengXian" w:hAnsi="Times New Roman" w:cs="Times New Roman"/>
          <w:sz w:val="24"/>
          <w:szCs w:val="24"/>
        </w:rPr>
        <w:t xml:space="preserve"> well unloading.</w:t>
      </w:r>
      <w:r w:rsidR="00EE167B">
        <w:rPr>
          <w:rFonts w:ascii="Times New Roman" w:eastAsia="DengXian" w:hAnsi="Times New Roman" w:cs="Times New Roman"/>
          <w:sz w:val="24"/>
          <w:szCs w:val="24"/>
        </w:rPr>
        <w:t xml:space="preserve"> </w:t>
      </w:r>
      <w:r w:rsidR="000271ED">
        <w:rPr>
          <w:rFonts w:ascii="Times New Roman" w:eastAsia="DengXian" w:hAnsi="Times New Roman" w:cs="Times New Roman"/>
          <w:sz w:val="24"/>
          <w:szCs w:val="24"/>
        </w:rPr>
        <w:t>F</w:t>
      </w:r>
      <w:r w:rsidR="000271ED" w:rsidRPr="00F37486">
        <w:rPr>
          <w:rFonts w:ascii="Times New Roman" w:eastAsia="DengXian" w:hAnsi="Times New Roman" w:cs="Times New Roman"/>
          <w:sz w:val="24"/>
          <w:szCs w:val="24"/>
        </w:rPr>
        <w:t xml:space="preserve">or occurrence, based on </w:t>
      </w:r>
      <w:r w:rsidR="000271ED">
        <w:rPr>
          <w:rFonts w:ascii="Times New Roman" w:eastAsia="DengXian" w:hAnsi="Times New Roman" w:cs="Times New Roman"/>
          <w:sz w:val="24"/>
          <w:szCs w:val="24"/>
        </w:rPr>
        <w:t>event frequency</w:t>
      </w:r>
      <w:r w:rsidR="000271ED" w:rsidRPr="00F37486">
        <w:rPr>
          <w:rFonts w:ascii="Times New Roman" w:eastAsia="DengXian" w:hAnsi="Times New Roman" w:cs="Times New Roman"/>
          <w:sz w:val="24"/>
          <w:szCs w:val="24"/>
        </w:rPr>
        <w:t>, α</w:t>
      </w:r>
      <w:r w:rsidR="000271ED" w:rsidRPr="00961806">
        <w:rPr>
          <w:rFonts w:ascii="Times New Roman" w:eastAsia="DengXian" w:hAnsi="Times New Roman" w:cs="Times New Roman"/>
          <w:sz w:val="24"/>
          <w:szCs w:val="24"/>
          <w:vertAlign w:val="subscript"/>
        </w:rPr>
        <w:t>min</w:t>
      </w:r>
      <w:r w:rsidR="000271ED">
        <w:rPr>
          <w:rFonts w:ascii="Times New Roman" w:eastAsia="DengXian" w:hAnsi="Times New Roman" w:cs="Times New Roman"/>
          <w:sz w:val="24"/>
          <w:szCs w:val="24"/>
        </w:rPr>
        <w:t xml:space="preserve"> </w:t>
      </w:r>
      <w:r w:rsidR="000271ED" w:rsidRPr="00F37486">
        <w:rPr>
          <w:rFonts w:ascii="Times New Roman" w:eastAsia="DengXian" w:hAnsi="Times New Roman" w:cs="Times New Roman"/>
          <w:sz w:val="24"/>
          <w:szCs w:val="24"/>
        </w:rPr>
        <w:t>was 6 for heater unlit/malfunction, and α</w:t>
      </w:r>
      <w:r w:rsidR="000271ED" w:rsidRPr="00961806">
        <w:rPr>
          <w:rFonts w:ascii="Times New Roman" w:eastAsia="DengXian" w:hAnsi="Times New Roman" w:cs="Times New Roman"/>
          <w:sz w:val="24"/>
          <w:szCs w:val="24"/>
          <w:vertAlign w:val="subscript"/>
        </w:rPr>
        <w:t>max</w:t>
      </w:r>
      <w:r w:rsidR="000271ED" w:rsidRPr="00F37486">
        <w:rPr>
          <w:rFonts w:ascii="Times New Roman" w:eastAsia="DengXian" w:hAnsi="Times New Roman" w:cs="Times New Roman"/>
          <w:sz w:val="24"/>
          <w:szCs w:val="24"/>
        </w:rPr>
        <w:t xml:space="preserve"> was 325 events for </w:t>
      </w:r>
      <w:r w:rsidR="000271ED">
        <w:rPr>
          <w:rFonts w:ascii="Times New Roman" w:eastAsia="DengXian" w:hAnsi="Times New Roman" w:cs="Times New Roman"/>
          <w:sz w:val="24"/>
          <w:szCs w:val="24"/>
        </w:rPr>
        <w:t>tank emissions</w:t>
      </w:r>
      <w:r w:rsidR="000271ED" w:rsidRPr="00F37486">
        <w:rPr>
          <w:rFonts w:ascii="Times New Roman" w:eastAsia="DengXian" w:hAnsi="Times New Roman" w:cs="Times New Roman"/>
          <w:sz w:val="24"/>
          <w:szCs w:val="24"/>
        </w:rPr>
        <w:t>.</w:t>
      </w:r>
      <w:r w:rsidR="00F37486" w:rsidRPr="00F37486">
        <w:rPr>
          <w:rFonts w:ascii="Times New Roman" w:eastAsia="DengXian" w:hAnsi="Times New Roman" w:cs="Times New Roman"/>
          <w:sz w:val="24"/>
          <w:szCs w:val="24"/>
        </w:rPr>
        <w:t xml:space="preserve"> </w:t>
      </w:r>
    </w:p>
    <w:p w14:paraId="7ABC00F8" w14:textId="010E2EF1" w:rsidR="00306E0E" w:rsidRDefault="00B928D7" w:rsidP="00BB080E">
      <w:pPr>
        <w:spacing w:line="480" w:lineRule="auto"/>
        <w:jc w:val="both"/>
        <w:rPr>
          <w:rFonts w:ascii="Times New Roman" w:eastAsia="DengXian" w:hAnsi="Times New Roman" w:cs="Times New Roman"/>
          <w:sz w:val="24"/>
          <w:szCs w:val="24"/>
        </w:rPr>
      </w:pPr>
      <w:r w:rsidRPr="00B928D7">
        <w:rPr>
          <w:rFonts w:ascii="Times New Roman" w:eastAsia="DengXian" w:hAnsi="Times New Roman" w:cs="Times New Roman"/>
          <w:sz w:val="24"/>
          <w:szCs w:val="24"/>
        </w:rPr>
        <w:t>Detection scoring was based on emission event duration, under the assumption that longer-lasting emissions are more likely to coincide with aerial surveys</w:t>
      </w:r>
      <w:r w:rsidR="005516AE" w:rsidRPr="005516AE">
        <w:rPr>
          <w:rFonts w:ascii="Times New Roman" w:eastAsia="DengXian" w:hAnsi="Times New Roman" w:cs="Times New Roman"/>
          <w:sz w:val="24"/>
          <w:szCs w:val="24"/>
        </w:rPr>
        <w:t xml:space="preserve">. </w:t>
      </w:r>
      <w:r w:rsidR="00257FCF" w:rsidRPr="00257FCF">
        <w:rPr>
          <w:rFonts w:ascii="Times New Roman" w:eastAsia="DengXian" w:hAnsi="Times New Roman" w:cs="Times New Roman"/>
          <w:sz w:val="24"/>
          <w:szCs w:val="24"/>
        </w:rPr>
        <w:t>The Detection Difficulty (D) score was designed to assess the risk that a failure mode might be underrepresented by intermittent, snapshot-based aerial surveys. It reflects the likelihood of an emission event being captured during a survey, with shorter-duration events receiving higher scores due to their lower probability of coinciding with a measurement overflight. While this score does not directly correlate with cumulative emissions, it highlights failure modes that are more likely to evade detection unless alternative detection methods, such as continuous monitoring are implemented. It prioritizes strategic mitigation planning by identifying emissions that could be systematically underestimated, rather than focusing on repair response time.</w:t>
      </w:r>
      <w:r w:rsidR="006271A1">
        <w:rPr>
          <w:rFonts w:ascii="Times New Roman" w:eastAsia="DengXian" w:hAnsi="Times New Roman" w:cs="Times New Roman"/>
          <w:sz w:val="24"/>
          <w:szCs w:val="24"/>
        </w:rPr>
        <w:t xml:space="preserve"> </w:t>
      </w:r>
      <w:r w:rsidR="005516AE" w:rsidRPr="005516AE">
        <w:rPr>
          <w:rFonts w:ascii="Times New Roman" w:eastAsia="DengXian" w:hAnsi="Times New Roman" w:cs="Times New Roman"/>
          <w:sz w:val="24"/>
          <w:szCs w:val="24"/>
        </w:rPr>
        <w:t xml:space="preserve">Very short-duration events, such as blowdowns, are less likely to coincide with a survey and were therefore considered more difficult to detect. An inverse relationship was applied: shorter durations received higher Detection scores (D = 10), indicating lower detectability, </w:t>
      </w:r>
      <w:r w:rsidR="000271ED">
        <w:rPr>
          <w:rFonts w:ascii="Times New Roman" w:eastAsia="DengXian" w:hAnsi="Times New Roman" w:cs="Times New Roman"/>
          <w:sz w:val="24"/>
          <w:szCs w:val="24"/>
        </w:rPr>
        <w:t>whereas</w:t>
      </w:r>
      <w:r w:rsidR="005516AE" w:rsidRPr="005516AE">
        <w:rPr>
          <w:rFonts w:ascii="Times New Roman" w:eastAsia="DengXian" w:hAnsi="Times New Roman" w:cs="Times New Roman"/>
          <w:sz w:val="24"/>
          <w:szCs w:val="24"/>
        </w:rPr>
        <w:t xml:space="preserve"> longer durations received lower scores (D = 1), indicating higher detectability. In most cases, the average event duration was used for scoring, as obtained from operator-reported </w:t>
      </w:r>
      <w:r w:rsidR="0064759F">
        <w:rPr>
          <w:rFonts w:ascii="Times New Roman" w:eastAsia="DengXian" w:hAnsi="Times New Roman" w:cs="Times New Roman"/>
          <w:sz w:val="24"/>
          <w:szCs w:val="24"/>
        </w:rPr>
        <w:t>causal analysis</w:t>
      </w:r>
      <w:r w:rsidR="0064759F" w:rsidRPr="005516AE">
        <w:rPr>
          <w:rFonts w:ascii="Times New Roman" w:eastAsia="DengXian" w:hAnsi="Times New Roman" w:cs="Times New Roman"/>
          <w:sz w:val="24"/>
          <w:szCs w:val="24"/>
        </w:rPr>
        <w:t xml:space="preserve"> </w:t>
      </w:r>
      <w:r w:rsidR="005516AE" w:rsidRPr="005516AE">
        <w:rPr>
          <w:rFonts w:ascii="Times New Roman" w:eastAsia="DengXian" w:hAnsi="Times New Roman" w:cs="Times New Roman"/>
          <w:sz w:val="24"/>
          <w:szCs w:val="24"/>
        </w:rPr>
        <w:t>data. Where duration data was significantly skewed, the median value was used as a more representative measure of central tendency.</w:t>
      </w:r>
      <w:r w:rsidR="00294BEE" w:rsidRPr="00294BEE">
        <w:rPr>
          <w:rFonts w:ascii="Times New Roman" w:eastAsia="DengXian" w:hAnsi="Times New Roman" w:cs="Times New Roman"/>
          <w:sz w:val="24"/>
          <w:szCs w:val="24"/>
        </w:rPr>
        <w:t xml:space="preserve"> </w:t>
      </w:r>
      <w:r w:rsidR="00F37486" w:rsidRPr="00F37486">
        <w:rPr>
          <w:rFonts w:ascii="Times New Roman" w:eastAsia="DengXian" w:hAnsi="Times New Roman" w:cs="Times New Roman"/>
          <w:sz w:val="24"/>
          <w:szCs w:val="24"/>
        </w:rPr>
        <w:t xml:space="preserve">For </w:t>
      </w:r>
      <w:r w:rsidR="00CC4B36">
        <w:rPr>
          <w:rFonts w:ascii="Times New Roman" w:eastAsia="DengXian" w:hAnsi="Times New Roman" w:cs="Times New Roman"/>
          <w:sz w:val="24"/>
          <w:szCs w:val="24"/>
        </w:rPr>
        <w:t>d</w:t>
      </w:r>
      <w:r w:rsidR="00F37486" w:rsidRPr="00F37486">
        <w:rPr>
          <w:rFonts w:ascii="Times New Roman" w:eastAsia="DengXian" w:hAnsi="Times New Roman" w:cs="Times New Roman"/>
          <w:sz w:val="24"/>
          <w:szCs w:val="24"/>
        </w:rPr>
        <w:t>etect</w:t>
      </w:r>
      <w:r w:rsidR="003B39EF">
        <w:rPr>
          <w:rFonts w:ascii="Times New Roman" w:eastAsia="DengXian" w:hAnsi="Times New Roman" w:cs="Times New Roman"/>
          <w:sz w:val="24"/>
          <w:szCs w:val="24"/>
        </w:rPr>
        <w:t>ion</w:t>
      </w:r>
      <w:r w:rsidR="00F37486" w:rsidRPr="00F37486">
        <w:rPr>
          <w:rFonts w:ascii="Times New Roman" w:eastAsia="DengXian" w:hAnsi="Times New Roman" w:cs="Times New Roman"/>
          <w:sz w:val="24"/>
          <w:szCs w:val="24"/>
        </w:rPr>
        <w:t xml:space="preserve">, based on </w:t>
      </w:r>
      <w:r w:rsidR="007230EE">
        <w:rPr>
          <w:rFonts w:ascii="Times New Roman" w:eastAsia="DengXian" w:hAnsi="Times New Roman" w:cs="Times New Roman"/>
          <w:sz w:val="24"/>
          <w:szCs w:val="24"/>
        </w:rPr>
        <w:t>e</w:t>
      </w:r>
      <w:r w:rsidR="00F37486" w:rsidRPr="00F37486">
        <w:rPr>
          <w:rFonts w:ascii="Times New Roman" w:eastAsia="DengXian" w:hAnsi="Times New Roman" w:cs="Times New Roman"/>
          <w:sz w:val="24"/>
          <w:szCs w:val="24"/>
        </w:rPr>
        <w:t xml:space="preserve">vent </w:t>
      </w:r>
      <w:r w:rsidR="007230EE">
        <w:rPr>
          <w:rFonts w:ascii="Times New Roman" w:eastAsia="DengXian" w:hAnsi="Times New Roman" w:cs="Times New Roman"/>
          <w:sz w:val="24"/>
          <w:szCs w:val="24"/>
        </w:rPr>
        <w:t>d</w:t>
      </w:r>
      <w:r w:rsidR="00F37486" w:rsidRPr="00F37486">
        <w:rPr>
          <w:rFonts w:ascii="Times New Roman" w:eastAsia="DengXian" w:hAnsi="Times New Roman" w:cs="Times New Roman"/>
          <w:sz w:val="24"/>
          <w:szCs w:val="24"/>
        </w:rPr>
        <w:t>uration, α</w:t>
      </w:r>
      <w:r w:rsidR="00F37486" w:rsidRPr="00961806">
        <w:rPr>
          <w:rFonts w:ascii="Times New Roman" w:eastAsia="DengXian" w:hAnsi="Times New Roman" w:cs="Times New Roman"/>
          <w:sz w:val="24"/>
          <w:szCs w:val="24"/>
          <w:vertAlign w:val="subscript"/>
        </w:rPr>
        <w:t>min</w:t>
      </w:r>
      <w:r w:rsidR="00F37486" w:rsidRPr="00F37486">
        <w:rPr>
          <w:rFonts w:ascii="Times New Roman" w:eastAsia="DengXian" w:hAnsi="Times New Roman" w:cs="Times New Roman"/>
          <w:sz w:val="24"/>
          <w:szCs w:val="24"/>
        </w:rPr>
        <w:t xml:space="preserve"> was 1 hour for </w:t>
      </w:r>
      <w:r w:rsidR="005F39D3">
        <w:rPr>
          <w:rFonts w:ascii="Times New Roman" w:eastAsia="DengXian" w:hAnsi="Times New Roman" w:cs="Times New Roman"/>
          <w:sz w:val="24"/>
          <w:szCs w:val="24"/>
        </w:rPr>
        <w:t>b</w:t>
      </w:r>
      <w:r w:rsidR="00F37486" w:rsidRPr="00F37486">
        <w:rPr>
          <w:rFonts w:ascii="Times New Roman" w:eastAsia="DengXian" w:hAnsi="Times New Roman" w:cs="Times New Roman"/>
          <w:sz w:val="24"/>
          <w:szCs w:val="24"/>
        </w:rPr>
        <w:t>lowdown and α</w:t>
      </w:r>
      <w:r w:rsidR="00F37486" w:rsidRPr="00961806">
        <w:rPr>
          <w:rFonts w:ascii="Times New Roman" w:eastAsia="DengXian" w:hAnsi="Times New Roman" w:cs="Times New Roman"/>
          <w:sz w:val="24"/>
          <w:szCs w:val="24"/>
          <w:vertAlign w:val="subscript"/>
        </w:rPr>
        <w:t>max</w:t>
      </w:r>
      <w:r w:rsidR="00F37486" w:rsidRPr="00F37486">
        <w:rPr>
          <w:rFonts w:ascii="Times New Roman" w:eastAsia="DengXian" w:hAnsi="Times New Roman" w:cs="Times New Roman"/>
          <w:sz w:val="24"/>
          <w:szCs w:val="24"/>
        </w:rPr>
        <w:t xml:space="preserve"> (longest duration, mapping to D=1) </w:t>
      </w:r>
      <w:r w:rsidR="005F39D3" w:rsidRPr="00F37486">
        <w:rPr>
          <w:rFonts w:ascii="Times New Roman" w:eastAsia="DengXian" w:hAnsi="Times New Roman" w:cs="Times New Roman"/>
          <w:sz w:val="24"/>
          <w:szCs w:val="24"/>
        </w:rPr>
        <w:t xml:space="preserve">was 24 days </w:t>
      </w:r>
      <w:r w:rsidR="005F39D3">
        <w:rPr>
          <w:rFonts w:ascii="Times New Roman" w:eastAsia="DengXian" w:hAnsi="Times New Roman" w:cs="Times New Roman"/>
          <w:sz w:val="24"/>
          <w:szCs w:val="24"/>
        </w:rPr>
        <w:t>f</w:t>
      </w:r>
      <w:r w:rsidR="005F39D3" w:rsidRPr="00F37486">
        <w:rPr>
          <w:rFonts w:ascii="Times New Roman" w:eastAsia="DengXian" w:hAnsi="Times New Roman" w:cs="Times New Roman"/>
          <w:sz w:val="24"/>
          <w:szCs w:val="24"/>
        </w:rPr>
        <w:t>or drilling/completions.</w:t>
      </w:r>
    </w:p>
    <w:p w14:paraId="6EC1187E" w14:textId="77777777" w:rsidR="00306E0E" w:rsidRDefault="00306E0E" w:rsidP="002D40D6">
      <w:pPr>
        <w:rPr>
          <w:rFonts w:ascii="Times New Roman" w:eastAsia="DengXian" w:hAnsi="Times New Roman" w:cs="Times New Roman"/>
          <w:b/>
          <w:bCs/>
          <w:sz w:val="24"/>
          <w:szCs w:val="24"/>
        </w:rPr>
        <w:sectPr w:rsidR="00306E0E" w:rsidSect="00202A9E">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lnNumType w:countBy="1" w:restart="continuous"/>
          <w:cols w:space="720"/>
          <w:docGrid w:linePitch="360"/>
        </w:sectPr>
      </w:pPr>
    </w:p>
    <w:p w14:paraId="568BD6E1" w14:textId="76D62F46" w:rsidR="00EA2102" w:rsidRPr="003E3203" w:rsidRDefault="002D2A46" w:rsidP="002D40D6">
      <w:pPr>
        <w:rPr>
          <w:rFonts w:ascii="Times New Roman" w:eastAsia="DengXian" w:hAnsi="Times New Roman" w:cs="Times New Roman"/>
          <w:sz w:val="24"/>
          <w:szCs w:val="24"/>
        </w:rPr>
      </w:pPr>
      <w:r>
        <w:rPr>
          <w:rFonts w:ascii="Times New Roman" w:eastAsia="Times New Roman" w:hAnsi="Times New Roman" w:cs="Times New Roman"/>
          <w:b/>
          <w:bCs/>
          <w:color w:val="000000"/>
          <w:sz w:val="24"/>
          <w:szCs w:val="24"/>
          <w:lang w:eastAsia="en-US"/>
        </w:rPr>
        <w:lastRenderedPageBreak/>
        <w:t>Supplementary</w:t>
      </w:r>
      <w:r w:rsidRPr="003E3203">
        <w:rPr>
          <w:rFonts w:ascii="Times New Roman" w:eastAsia="DengXian" w:hAnsi="Times New Roman" w:cs="Times New Roman"/>
          <w:b/>
          <w:bCs/>
          <w:sz w:val="24"/>
          <w:szCs w:val="24"/>
        </w:rPr>
        <w:t xml:space="preserve"> </w:t>
      </w:r>
      <w:r w:rsidR="002D40D6" w:rsidRPr="003E3203">
        <w:rPr>
          <w:rFonts w:ascii="Times New Roman" w:eastAsia="DengXian" w:hAnsi="Times New Roman" w:cs="Times New Roman"/>
          <w:b/>
          <w:bCs/>
          <w:sz w:val="24"/>
          <w:szCs w:val="24"/>
        </w:rPr>
        <w:t xml:space="preserve">Table </w:t>
      </w:r>
      <w:r w:rsidR="00424DDF">
        <w:rPr>
          <w:rFonts w:ascii="Times New Roman" w:eastAsia="DengXian" w:hAnsi="Times New Roman" w:cs="Times New Roman"/>
          <w:b/>
          <w:bCs/>
          <w:sz w:val="24"/>
          <w:szCs w:val="24"/>
        </w:rPr>
        <w:t>2</w:t>
      </w:r>
      <w:r w:rsidR="002D40D6" w:rsidRPr="003E3203">
        <w:rPr>
          <w:rFonts w:ascii="Times New Roman" w:eastAsia="DengXian" w:hAnsi="Times New Roman" w:cs="Times New Roman"/>
          <w:sz w:val="24"/>
          <w:szCs w:val="24"/>
        </w:rPr>
        <w:t xml:space="preserve">. </w:t>
      </w:r>
      <w:r w:rsidR="009806FC" w:rsidRPr="009806FC">
        <w:rPr>
          <w:rFonts w:ascii="Times New Roman" w:eastAsia="DengXian" w:hAnsi="Times New Roman" w:cs="Times New Roman"/>
          <w:sz w:val="24"/>
          <w:szCs w:val="24"/>
        </w:rPr>
        <w:t>Detailed input data, normalized scores for Severity (S), Occurrence (O), and Detect</w:t>
      </w:r>
      <w:r w:rsidR="003B39EF">
        <w:rPr>
          <w:rFonts w:ascii="Times New Roman" w:eastAsia="DengXian" w:hAnsi="Times New Roman" w:cs="Times New Roman"/>
          <w:sz w:val="24"/>
          <w:szCs w:val="24"/>
        </w:rPr>
        <w:t>ion</w:t>
      </w:r>
      <w:r w:rsidR="009806FC" w:rsidRPr="009806FC">
        <w:rPr>
          <w:rFonts w:ascii="Times New Roman" w:eastAsia="DengXian" w:hAnsi="Times New Roman" w:cs="Times New Roman"/>
          <w:sz w:val="24"/>
          <w:szCs w:val="24"/>
        </w:rPr>
        <w:t xml:space="preserve"> (D), and resulting Risk Priority Numbers (RPN) for each of the nine harmonized emission failure modes. Severity scores are based on average emission rates, Occurrence scores on event frequencies, and Detect</w:t>
      </w:r>
      <w:r w:rsidR="003B39EF">
        <w:rPr>
          <w:rFonts w:ascii="Times New Roman" w:eastAsia="DengXian" w:hAnsi="Times New Roman" w:cs="Times New Roman"/>
          <w:sz w:val="24"/>
          <w:szCs w:val="24"/>
        </w:rPr>
        <w:t>ion</w:t>
      </w:r>
      <w:r w:rsidR="009806FC" w:rsidRPr="009806FC">
        <w:rPr>
          <w:rFonts w:ascii="Times New Roman" w:eastAsia="DengXian" w:hAnsi="Times New Roman" w:cs="Times New Roman"/>
          <w:sz w:val="24"/>
          <w:szCs w:val="24"/>
        </w:rPr>
        <w:t xml:space="preserve"> scores on event durations (inversely scaled). </w:t>
      </w:r>
      <w:r w:rsidR="006D111A" w:rsidRPr="009806FC">
        <w:rPr>
          <w:rFonts w:ascii="Times New Roman" w:eastAsia="DengXian" w:hAnsi="Times New Roman" w:cs="Times New Roman"/>
          <w:sz w:val="24"/>
          <w:szCs w:val="24"/>
        </w:rPr>
        <w:t>All scores ranged from 1 to 10.</w:t>
      </w:r>
    </w:p>
    <w:tbl>
      <w:tblPr>
        <w:tblW w:w="4483" w:type="pct"/>
        <w:jc w:val="center"/>
        <w:tblLayout w:type="fixed"/>
        <w:tblLook w:val="04A0" w:firstRow="1" w:lastRow="0" w:firstColumn="1" w:lastColumn="0" w:noHBand="0" w:noVBand="1"/>
      </w:tblPr>
      <w:tblGrid>
        <w:gridCol w:w="2625"/>
        <w:gridCol w:w="1451"/>
        <w:gridCol w:w="1349"/>
        <w:gridCol w:w="1259"/>
        <w:gridCol w:w="1335"/>
        <w:gridCol w:w="1286"/>
        <w:gridCol w:w="1226"/>
        <w:gridCol w:w="1080"/>
      </w:tblGrid>
      <w:tr w:rsidR="00306E0E" w:rsidRPr="003E3203" w14:paraId="20A64BF3" w14:textId="77777777" w:rsidTr="00EA2102">
        <w:trPr>
          <w:trHeight w:val="290"/>
          <w:jc w:val="center"/>
        </w:trPr>
        <w:tc>
          <w:tcPr>
            <w:tcW w:w="11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2E6CB" w14:textId="77777777" w:rsidR="0037492E" w:rsidRPr="00863FBC" w:rsidRDefault="0037492E" w:rsidP="008317BA">
            <w:pPr>
              <w:spacing w:after="0" w:line="240" w:lineRule="auto"/>
              <w:rPr>
                <w:rFonts w:ascii="Times New Roman" w:eastAsia="Times New Roman" w:hAnsi="Times New Roman" w:cs="Times New Roman"/>
                <w:b/>
                <w:bCs/>
                <w:color w:val="000000"/>
              </w:rPr>
            </w:pPr>
            <w:r w:rsidRPr="00863FBC">
              <w:rPr>
                <w:rFonts w:ascii="Times New Roman" w:eastAsia="Times New Roman" w:hAnsi="Times New Roman" w:cs="Times New Roman"/>
                <w:b/>
                <w:bCs/>
                <w:color w:val="000000"/>
              </w:rPr>
              <w:t>Class</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489CE2F2" w14:textId="46DBAD5C" w:rsidR="0037492E" w:rsidRPr="00863FBC" w:rsidRDefault="0037492E" w:rsidP="008317BA">
            <w:pPr>
              <w:spacing w:after="0" w:line="240" w:lineRule="auto"/>
              <w:rPr>
                <w:rFonts w:ascii="Times New Roman" w:eastAsia="Times New Roman" w:hAnsi="Times New Roman" w:cs="Times New Roman"/>
                <w:b/>
                <w:bCs/>
                <w:color w:val="000000"/>
              </w:rPr>
            </w:pPr>
            <w:r w:rsidRPr="00863FBC">
              <w:rPr>
                <w:rFonts w:ascii="Times New Roman" w:eastAsia="Times New Roman" w:hAnsi="Times New Roman" w:cs="Times New Roman"/>
                <w:b/>
                <w:bCs/>
                <w:color w:val="000000"/>
              </w:rPr>
              <w:t>Average Emission rate(</w:t>
            </w:r>
            <w:r w:rsidR="001D2144">
              <w:rPr>
                <w:rFonts w:ascii="Times New Roman" w:eastAsia="Times New Roman" w:hAnsi="Times New Roman" w:cs="Times New Roman"/>
                <w:b/>
                <w:bCs/>
                <w:color w:val="000000"/>
              </w:rPr>
              <w:t>k</w:t>
            </w:r>
            <w:r w:rsidRPr="00863FBC">
              <w:rPr>
                <w:rFonts w:ascii="Times New Roman" w:eastAsia="Times New Roman" w:hAnsi="Times New Roman" w:cs="Times New Roman"/>
                <w:b/>
                <w:bCs/>
                <w:color w:val="000000"/>
              </w:rPr>
              <w:t>g/h)</w:t>
            </w:r>
          </w:p>
        </w:tc>
        <w:tc>
          <w:tcPr>
            <w:tcW w:w="581" w:type="pct"/>
            <w:tcBorders>
              <w:top w:val="single" w:sz="4" w:space="0" w:color="auto"/>
              <w:left w:val="nil"/>
              <w:bottom w:val="single" w:sz="4" w:space="0" w:color="auto"/>
              <w:right w:val="single" w:sz="4" w:space="0" w:color="auto"/>
            </w:tcBorders>
            <w:shd w:val="clear" w:color="auto" w:fill="auto"/>
            <w:noWrap/>
            <w:vAlign w:val="bottom"/>
            <w:hideMark/>
          </w:tcPr>
          <w:p w14:paraId="45BB38A7" w14:textId="77777777" w:rsidR="0037492E" w:rsidRPr="00863FBC" w:rsidRDefault="0037492E" w:rsidP="008317BA">
            <w:pPr>
              <w:spacing w:after="0" w:line="240" w:lineRule="auto"/>
              <w:rPr>
                <w:rFonts w:ascii="Times New Roman" w:eastAsia="Times New Roman" w:hAnsi="Times New Roman" w:cs="Times New Roman"/>
                <w:b/>
                <w:bCs/>
                <w:color w:val="000000"/>
              </w:rPr>
            </w:pPr>
            <w:r w:rsidRPr="00863FBC">
              <w:rPr>
                <w:rFonts w:ascii="Times New Roman" w:eastAsia="Times New Roman" w:hAnsi="Times New Roman" w:cs="Times New Roman"/>
                <w:b/>
                <w:bCs/>
                <w:color w:val="000000"/>
              </w:rPr>
              <w:t xml:space="preserve">Severity (S) </w:t>
            </w:r>
          </w:p>
        </w:tc>
        <w:tc>
          <w:tcPr>
            <w:tcW w:w="542" w:type="pct"/>
            <w:tcBorders>
              <w:top w:val="single" w:sz="4" w:space="0" w:color="auto"/>
              <w:left w:val="nil"/>
              <w:bottom w:val="single" w:sz="4" w:space="0" w:color="auto"/>
              <w:right w:val="single" w:sz="4" w:space="0" w:color="auto"/>
            </w:tcBorders>
            <w:shd w:val="clear" w:color="auto" w:fill="auto"/>
            <w:noWrap/>
            <w:vAlign w:val="bottom"/>
            <w:hideMark/>
          </w:tcPr>
          <w:p w14:paraId="3A79373C" w14:textId="77777777" w:rsidR="0037492E" w:rsidRPr="00863FBC" w:rsidRDefault="0037492E" w:rsidP="008317BA">
            <w:pPr>
              <w:spacing w:after="0" w:line="240" w:lineRule="auto"/>
              <w:rPr>
                <w:rFonts w:ascii="Times New Roman" w:eastAsia="Times New Roman" w:hAnsi="Times New Roman" w:cs="Times New Roman"/>
                <w:b/>
                <w:bCs/>
                <w:color w:val="000000"/>
              </w:rPr>
            </w:pPr>
            <w:r w:rsidRPr="00863FBC">
              <w:rPr>
                <w:rFonts w:ascii="Times New Roman" w:eastAsia="Times New Roman" w:hAnsi="Times New Roman" w:cs="Times New Roman"/>
                <w:b/>
                <w:bCs/>
                <w:color w:val="000000"/>
              </w:rPr>
              <w:t>Frequency</w:t>
            </w:r>
          </w:p>
        </w:tc>
        <w:tc>
          <w:tcPr>
            <w:tcW w:w="575" w:type="pct"/>
            <w:tcBorders>
              <w:top w:val="single" w:sz="4" w:space="0" w:color="auto"/>
              <w:left w:val="nil"/>
              <w:bottom w:val="single" w:sz="4" w:space="0" w:color="auto"/>
              <w:right w:val="single" w:sz="4" w:space="0" w:color="auto"/>
            </w:tcBorders>
            <w:shd w:val="clear" w:color="auto" w:fill="auto"/>
            <w:noWrap/>
            <w:vAlign w:val="bottom"/>
            <w:hideMark/>
          </w:tcPr>
          <w:p w14:paraId="5748C719" w14:textId="50C63A7D" w:rsidR="0037492E" w:rsidRPr="00863FBC" w:rsidRDefault="0037492E" w:rsidP="008317BA">
            <w:pPr>
              <w:spacing w:after="0" w:line="240" w:lineRule="auto"/>
              <w:rPr>
                <w:rFonts w:ascii="Times New Roman" w:eastAsia="Times New Roman" w:hAnsi="Times New Roman" w:cs="Times New Roman"/>
                <w:b/>
                <w:bCs/>
                <w:color w:val="000000"/>
              </w:rPr>
            </w:pPr>
            <w:r w:rsidRPr="00863FBC">
              <w:rPr>
                <w:rFonts w:ascii="Times New Roman" w:eastAsia="Times New Roman" w:hAnsi="Times New Roman" w:cs="Times New Roman"/>
                <w:b/>
                <w:bCs/>
                <w:color w:val="000000"/>
              </w:rPr>
              <w:t>Occurrence (</w:t>
            </w:r>
            <w:r w:rsidR="00E01AE3">
              <w:rPr>
                <w:rFonts w:ascii="Times New Roman" w:eastAsia="Times New Roman" w:hAnsi="Times New Roman" w:cs="Times New Roman"/>
                <w:b/>
                <w:bCs/>
                <w:color w:val="000000"/>
              </w:rPr>
              <w:t>O</w:t>
            </w:r>
            <w:r w:rsidRPr="00863FBC">
              <w:rPr>
                <w:rFonts w:ascii="Times New Roman" w:eastAsia="Times New Roman" w:hAnsi="Times New Roman" w:cs="Times New Roman"/>
                <w:b/>
                <w:bCs/>
                <w:color w:val="000000"/>
              </w:rPr>
              <w:t xml:space="preserve">)  </w:t>
            </w:r>
          </w:p>
        </w:tc>
        <w:tc>
          <w:tcPr>
            <w:tcW w:w="554" w:type="pct"/>
            <w:tcBorders>
              <w:top w:val="single" w:sz="4" w:space="0" w:color="auto"/>
              <w:left w:val="nil"/>
              <w:bottom w:val="single" w:sz="4" w:space="0" w:color="auto"/>
              <w:right w:val="single" w:sz="4" w:space="0" w:color="auto"/>
            </w:tcBorders>
            <w:shd w:val="clear" w:color="auto" w:fill="auto"/>
            <w:noWrap/>
            <w:vAlign w:val="bottom"/>
            <w:hideMark/>
          </w:tcPr>
          <w:p w14:paraId="1E0ADCCE" w14:textId="77777777" w:rsidR="0037492E" w:rsidRPr="00863FBC" w:rsidRDefault="0037492E" w:rsidP="008317BA">
            <w:pPr>
              <w:spacing w:after="0" w:line="240" w:lineRule="auto"/>
              <w:rPr>
                <w:rFonts w:ascii="Times New Roman" w:eastAsia="Times New Roman" w:hAnsi="Times New Roman" w:cs="Times New Roman"/>
                <w:b/>
                <w:bCs/>
                <w:color w:val="000000"/>
              </w:rPr>
            </w:pPr>
            <w:r w:rsidRPr="00863FBC">
              <w:rPr>
                <w:rFonts w:ascii="Times New Roman" w:eastAsia="Times New Roman" w:hAnsi="Times New Roman" w:cs="Times New Roman"/>
                <w:b/>
                <w:bCs/>
                <w:color w:val="000000"/>
              </w:rPr>
              <w:t>Average Duration</w:t>
            </w:r>
          </w:p>
        </w:tc>
        <w:tc>
          <w:tcPr>
            <w:tcW w:w="528" w:type="pct"/>
            <w:tcBorders>
              <w:top w:val="single" w:sz="4" w:space="0" w:color="auto"/>
              <w:left w:val="nil"/>
              <w:bottom w:val="single" w:sz="4" w:space="0" w:color="auto"/>
              <w:right w:val="single" w:sz="4" w:space="0" w:color="auto"/>
            </w:tcBorders>
            <w:shd w:val="clear" w:color="auto" w:fill="auto"/>
            <w:noWrap/>
            <w:vAlign w:val="bottom"/>
            <w:hideMark/>
          </w:tcPr>
          <w:p w14:paraId="21C592B2" w14:textId="037DD28C" w:rsidR="0037492E" w:rsidRPr="00863FBC" w:rsidRDefault="0037492E" w:rsidP="008317BA">
            <w:pPr>
              <w:spacing w:after="0" w:line="240" w:lineRule="auto"/>
              <w:rPr>
                <w:rFonts w:ascii="Times New Roman" w:eastAsia="Times New Roman" w:hAnsi="Times New Roman" w:cs="Times New Roman"/>
                <w:b/>
                <w:bCs/>
                <w:color w:val="000000"/>
              </w:rPr>
            </w:pPr>
            <w:r w:rsidRPr="00863FBC">
              <w:rPr>
                <w:rFonts w:ascii="Times New Roman" w:eastAsia="Times New Roman" w:hAnsi="Times New Roman" w:cs="Times New Roman"/>
                <w:b/>
                <w:bCs/>
                <w:color w:val="000000"/>
              </w:rPr>
              <w:t>Detect</w:t>
            </w:r>
            <w:r w:rsidR="003B39EF">
              <w:rPr>
                <w:rFonts w:ascii="Times New Roman" w:eastAsia="Times New Roman" w:hAnsi="Times New Roman" w:cs="Times New Roman"/>
                <w:b/>
                <w:bCs/>
                <w:color w:val="000000"/>
              </w:rPr>
              <w:t>ion</w:t>
            </w:r>
            <w:r w:rsidRPr="00863FBC">
              <w:rPr>
                <w:rFonts w:ascii="Times New Roman" w:eastAsia="Times New Roman" w:hAnsi="Times New Roman" w:cs="Times New Roman"/>
                <w:b/>
                <w:bCs/>
                <w:color w:val="000000"/>
              </w:rPr>
              <w:t xml:space="preserve"> (D) </w:t>
            </w:r>
          </w:p>
        </w:tc>
        <w:tc>
          <w:tcPr>
            <w:tcW w:w="465" w:type="pct"/>
            <w:tcBorders>
              <w:top w:val="single" w:sz="4" w:space="0" w:color="auto"/>
              <w:left w:val="nil"/>
              <w:bottom w:val="single" w:sz="4" w:space="0" w:color="auto"/>
              <w:right w:val="single" w:sz="4" w:space="0" w:color="auto"/>
            </w:tcBorders>
            <w:shd w:val="clear" w:color="auto" w:fill="auto"/>
            <w:noWrap/>
            <w:vAlign w:val="bottom"/>
            <w:hideMark/>
          </w:tcPr>
          <w:p w14:paraId="3399718F" w14:textId="0A866DF4" w:rsidR="0037492E" w:rsidRPr="00863FBC" w:rsidRDefault="00B41D59" w:rsidP="008317BA">
            <w:pPr>
              <w:spacing w:after="0" w:line="240" w:lineRule="auto"/>
              <w:rPr>
                <w:rFonts w:ascii="Times New Roman" w:eastAsia="Times New Roman" w:hAnsi="Times New Roman" w:cs="Times New Roman"/>
                <w:b/>
                <w:bCs/>
                <w:color w:val="000000"/>
              </w:rPr>
            </w:pPr>
            <w:r w:rsidRPr="00863FBC">
              <w:rPr>
                <w:rFonts w:ascii="Times New Roman" w:eastAsia="Times New Roman" w:hAnsi="Times New Roman" w:cs="Times New Roman"/>
                <w:b/>
                <w:bCs/>
                <w:color w:val="000000"/>
              </w:rPr>
              <w:t>RPN =</w:t>
            </w:r>
            <w:r w:rsidR="0037492E" w:rsidRPr="00863FBC">
              <w:rPr>
                <w:rFonts w:ascii="Times New Roman" w:eastAsia="Times New Roman" w:hAnsi="Times New Roman" w:cs="Times New Roman"/>
                <w:b/>
                <w:bCs/>
                <w:color w:val="000000"/>
              </w:rPr>
              <w:t xml:space="preserve"> Sx</w:t>
            </w:r>
            <w:r w:rsidR="001D2144">
              <w:rPr>
                <w:rFonts w:ascii="Times New Roman" w:eastAsia="Times New Roman" w:hAnsi="Times New Roman" w:cs="Times New Roman"/>
                <w:b/>
                <w:bCs/>
                <w:color w:val="000000"/>
              </w:rPr>
              <w:t>O</w:t>
            </w:r>
            <w:r w:rsidR="0037492E" w:rsidRPr="00863FBC">
              <w:rPr>
                <w:rFonts w:ascii="Times New Roman" w:eastAsia="Times New Roman" w:hAnsi="Times New Roman" w:cs="Times New Roman"/>
                <w:b/>
                <w:bCs/>
                <w:color w:val="000000"/>
              </w:rPr>
              <w:t>xD</w:t>
            </w:r>
          </w:p>
        </w:tc>
      </w:tr>
      <w:tr w:rsidR="00306E0E" w:rsidRPr="003E3203" w14:paraId="108B6B37" w14:textId="77777777" w:rsidTr="00EA2102">
        <w:trPr>
          <w:trHeight w:val="290"/>
          <w:jc w:val="center"/>
        </w:trPr>
        <w:tc>
          <w:tcPr>
            <w:tcW w:w="1130" w:type="pct"/>
            <w:tcBorders>
              <w:top w:val="nil"/>
              <w:left w:val="single" w:sz="4" w:space="0" w:color="auto"/>
              <w:bottom w:val="single" w:sz="4" w:space="0" w:color="auto"/>
              <w:right w:val="single" w:sz="4" w:space="0" w:color="auto"/>
            </w:tcBorders>
            <w:shd w:val="clear" w:color="auto" w:fill="auto"/>
            <w:noWrap/>
            <w:vAlign w:val="bottom"/>
            <w:hideMark/>
          </w:tcPr>
          <w:p w14:paraId="26BC6A51" w14:textId="77777777" w:rsidR="004C5AD7" w:rsidRPr="00863FBC" w:rsidRDefault="004C5AD7" w:rsidP="004C5AD7">
            <w:pPr>
              <w:spacing w:after="0" w:line="240" w:lineRule="auto"/>
              <w:rPr>
                <w:rFonts w:ascii="Times New Roman" w:eastAsia="Times New Roman" w:hAnsi="Times New Roman" w:cs="Times New Roman"/>
                <w:color w:val="000000"/>
              </w:rPr>
            </w:pPr>
            <w:r w:rsidRPr="00863FBC">
              <w:rPr>
                <w:rFonts w:ascii="Times New Roman" w:eastAsia="Times New Roman" w:hAnsi="Times New Roman" w:cs="Times New Roman"/>
                <w:color w:val="000000"/>
              </w:rPr>
              <w:t>Drilling and Completions</w:t>
            </w:r>
          </w:p>
        </w:tc>
        <w:tc>
          <w:tcPr>
            <w:tcW w:w="625" w:type="pct"/>
            <w:tcBorders>
              <w:top w:val="nil"/>
              <w:left w:val="nil"/>
              <w:bottom w:val="single" w:sz="4" w:space="0" w:color="auto"/>
              <w:right w:val="single" w:sz="4" w:space="0" w:color="auto"/>
            </w:tcBorders>
            <w:shd w:val="clear" w:color="auto" w:fill="auto"/>
            <w:noWrap/>
            <w:vAlign w:val="bottom"/>
            <w:hideMark/>
          </w:tcPr>
          <w:p w14:paraId="25477261" w14:textId="637B29B9"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eastAsia="Times New Roman" w:hAnsi="Times New Roman" w:cs="Times New Roman"/>
                <w:color w:val="000000"/>
              </w:rPr>
              <w:t>10.24</w:t>
            </w:r>
          </w:p>
        </w:tc>
        <w:tc>
          <w:tcPr>
            <w:tcW w:w="581" w:type="pct"/>
            <w:tcBorders>
              <w:top w:val="nil"/>
              <w:left w:val="nil"/>
              <w:bottom w:val="single" w:sz="4" w:space="0" w:color="auto"/>
              <w:right w:val="single" w:sz="4" w:space="0" w:color="auto"/>
            </w:tcBorders>
            <w:shd w:val="clear" w:color="auto" w:fill="auto"/>
            <w:noWrap/>
            <w:vAlign w:val="bottom"/>
            <w:hideMark/>
          </w:tcPr>
          <w:p w14:paraId="40FBBB9F" w14:textId="4F0044F5"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hAnsi="Times New Roman" w:cs="Times New Roman"/>
                <w:color w:val="000000"/>
              </w:rPr>
              <w:t>1.00</w:t>
            </w:r>
          </w:p>
        </w:tc>
        <w:tc>
          <w:tcPr>
            <w:tcW w:w="542" w:type="pct"/>
            <w:tcBorders>
              <w:top w:val="nil"/>
              <w:left w:val="nil"/>
              <w:bottom w:val="single" w:sz="4" w:space="0" w:color="auto"/>
              <w:right w:val="single" w:sz="4" w:space="0" w:color="auto"/>
            </w:tcBorders>
            <w:shd w:val="clear" w:color="auto" w:fill="auto"/>
            <w:noWrap/>
            <w:vAlign w:val="bottom"/>
            <w:hideMark/>
          </w:tcPr>
          <w:p w14:paraId="14598813" w14:textId="77777777"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eastAsia="Times New Roman" w:hAnsi="Times New Roman" w:cs="Times New Roman"/>
                <w:color w:val="000000"/>
              </w:rPr>
              <w:t>30</w:t>
            </w:r>
          </w:p>
        </w:tc>
        <w:tc>
          <w:tcPr>
            <w:tcW w:w="575" w:type="pct"/>
            <w:tcBorders>
              <w:top w:val="nil"/>
              <w:left w:val="nil"/>
              <w:bottom w:val="single" w:sz="4" w:space="0" w:color="auto"/>
              <w:right w:val="single" w:sz="4" w:space="0" w:color="auto"/>
            </w:tcBorders>
            <w:shd w:val="clear" w:color="auto" w:fill="auto"/>
            <w:noWrap/>
            <w:vAlign w:val="bottom"/>
            <w:hideMark/>
          </w:tcPr>
          <w:p w14:paraId="49C5F50D" w14:textId="31D91F34"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hAnsi="Times New Roman" w:cs="Times New Roman"/>
                <w:color w:val="000000"/>
              </w:rPr>
              <w:t>1.68</w:t>
            </w:r>
          </w:p>
        </w:tc>
        <w:tc>
          <w:tcPr>
            <w:tcW w:w="554" w:type="pct"/>
            <w:tcBorders>
              <w:top w:val="nil"/>
              <w:left w:val="nil"/>
              <w:bottom w:val="single" w:sz="4" w:space="0" w:color="auto"/>
              <w:right w:val="single" w:sz="4" w:space="0" w:color="auto"/>
            </w:tcBorders>
            <w:shd w:val="clear" w:color="auto" w:fill="auto"/>
            <w:noWrap/>
            <w:vAlign w:val="bottom"/>
            <w:hideMark/>
          </w:tcPr>
          <w:p w14:paraId="4A56DDBF" w14:textId="77777777"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eastAsia="Times New Roman" w:hAnsi="Times New Roman" w:cs="Times New Roman"/>
                <w:color w:val="000000"/>
              </w:rPr>
              <w:t>24 days</w:t>
            </w:r>
          </w:p>
        </w:tc>
        <w:tc>
          <w:tcPr>
            <w:tcW w:w="528" w:type="pct"/>
            <w:tcBorders>
              <w:top w:val="nil"/>
              <w:left w:val="nil"/>
              <w:bottom w:val="single" w:sz="4" w:space="0" w:color="auto"/>
              <w:right w:val="single" w:sz="4" w:space="0" w:color="auto"/>
            </w:tcBorders>
            <w:shd w:val="clear" w:color="auto" w:fill="auto"/>
            <w:noWrap/>
            <w:vAlign w:val="bottom"/>
            <w:hideMark/>
          </w:tcPr>
          <w:p w14:paraId="0185C30E" w14:textId="38ED0451"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hAnsi="Times New Roman" w:cs="Times New Roman"/>
                <w:color w:val="000000"/>
              </w:rPr>
              <w:t>1.00</w:t>
            </w:r>
          </w:p>
        </w:tc>
        <w:tc>
          <w:tcPr>
            <w:tcW w:w="465" w:type="pct"/>
            <w:tcBorders>
              <w:top w:val="nil"/>
              <w:left w:val="nil"/>
              <w:bottom w:val="single" w:sz="4" w:space="0" w:color="auto"/>
              <w:right w:val="single" w:sz="4" w:space="0" w:color="auto"/>
            </w:tcBorders>
            <w:shd w:val="clear" w:color="auto" w:fill="auto"/>
            <w:noWrap/>
            <w:vAlign w:val="bottom"/>
            <w:hideMark/>
          </w:tcPr>
          <w:p w14:paraId="03989B53" w14:textId="46AB4E01" w:rsidR="004C5AD7" w:rsidRPr="00955BD5" w:rsidRDefault="00076C81" w:rsidP="004C5AD7">
            <w:pPr>
              <w:spacing w:after="0" w:line="240" w:lineRule="auto"/>
              <w:jc w:val="center"/>
              <w:rPr>
                <w:rFonts w:ascii="Times New Roman" w:eastAsia="Times New Roman" w:hAnsi="Times New Roman" w:cs="Times New Roman"/>
                <w:color w:val="000000"/>
              </w:rPr>
            </w:pPr>
            <w:r w:rsidRPr="00955BD5">
              <w:rPr>
                <w:rFonts w:ascii="Times New Roman" w:eastAsia="Times New Roman" w:hAnsi="Times New Roman" w:cs="Times New Roman"/>
                <w:color w:val="000000"/>
              </w:rPr>
              <w:t>2</w:t>
            </w:r>
          </w:p>
        </w:tc>
      </w:tr>
      <w:tr w:rsidR="00306E0E" w:rsidRPr="003E3203" w14:paraId="1B34D00C" w14:textId="77777777" w:rsidTr="00EA2102">
        <w:trPr>
          <w:trHeight w:val="290"/>
          <w:jc w:val="center"/>
        </w:trPr>
        <w:tc>
          <w:tcPr>
            <w:tcW w:w="1130" w:type="pct"/>
            <w:tcBorders>
              <w:top w:val="nil"/>
              <w:left w:val="single" w:sz="4" w:space="0" w:color="auto"/>
              <w:bottom w:val="single" w:sz="4" w:space="0" w:color="auto"/>
              <w:right w:val="single" w:sz="4" w:space="0" w:color="auto"/>
            </w:tcBorders>
            <w:shd w:val="clear" w:color="auto" w:fill="auto"/>
            <w:noWrap/>
            <w:vAlign w:val="bottom"/>
            <w:hideMark/>
          </w:tcPr>
          <w:p w14:paraId="4F9CD476" w14:textId="77777777" w:rsidR="004C5AD7" w:rsidRPr="00863FBC" w:rsidRDefault="004C5AD7" w:rsidP="004C5AD7">
            <w:pPr>
              <w:spacing w:after="0" w:line="240" w:lineRule="auto"/>
              <w:rPr>
                <w:rFonts w:ascii="Times New Roman" w:eastAsia="Times New Roman" w:hAnsi="Times New Roman" w:cs="Times New Roman"/>
                <w:color w:val="000000"/>
              </w:rPr>
            </w:pPr>
            <w:r w:rsidRPr="00863FBC">
              <w:rPr>
                <w:rFonts w:ascii="Times New Roman" w:eastAsia="Times New Roman" w:hAnsi="Times New Roman" w:cs="Times New Roman"/>
                <w:color w:val="000000"/>
              </w:rPr>
              <w:t>Mechanical Failures</w:t>
            </w:r>
          </w:p>
        </w:tc>
        <w:tc>
          <w:tcPr>
            <w:tcW w:w="625" w:type="pct"/>
            <w:tcBorders>
              <w:top w:val="nil"/>
              <w:left w:val="nil"/>
              <w:bottom w:val="single" w:sz="4" w:space="0" w:color="auto"/>
              <w:right w:val="single" w:sz="4" w:space="0" w:color="auto"/>
            </w:tcBorders>
            <w:shd w:val="clear" w:color="auto" w:fill="auto"/>
            <w:noWrap/>
            <w:vAlign w:val="bottom"/>
            <w:hideMark/>
          </w:tcPr>
          <w:p w14:paraId="4E8F8545" w14:textId="06FC8B75"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eastAsia="Times New Roman" w:hAnsi="Times New Roman" w:cs="Times New Roman"/>
                <w:color w:val="000000"/>
              </w:rPr>
              <w:t>22.13</w:t>
            </w:r>
          </w:p>
        </w:tc>
        <w:tc>
          <w:tcPr>
            <w:tcW w:w="581" w:type="pct"/>
            <w:tcBorders>
              <w:top w:val="nil"/>
              <w:left w:val="nil"/>
              <w:bottom w:val="single" w:sz="4" w:space="0" w:color="auto"/>
              <w:right w:val="single" w:sz="4" w:space="0" w:color="auto"/>
            </w:tcBorders>
            <w:shd w:val="clear" w:color="auto" w:fill="auto"/>
            <w:noWrap/>
            <w:vAlign w:val="bottom"/>
            <w:hideMark/>
          </w:tcPr>
          <w:p w14:paraId="72F88247" w14:textId="4B8AD491"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hAnsi="Times New Roman" w:cs="Times New Roman"/>
                <w:color w:val="000000"/>
              </w:rPr>
              <w:t>2.78</w:t>
            </w:r>
          </w:p>
        </w:tc>
        <w:tc>
          <w:tcPr>
            <w:tcW w:w="542" w:type="pct"/>
            <w:tcBorders>
              <w:top w:val="nil"/>
              <w:left w:val="nil"/>
              <w:bottom w:val="single" w:sz="4" w:space="0" w:color="auto"/>
              <w:right w:val="single" w:sz="4" w:space="0" w:color="auto"/>
            </w:tcBorders>
            <w:shd w:val="clear" w:color="auto" w:fill="auto"/>
            <w:noWrap/>
            <w:vAlign w:val="bottom"/>
            <w:hideMark/>
          </w:tcPr>
          <w:p w14:paraId="42AAD24E" w14:textId="77777777"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eastAsia="Times New Roman" w:hAnsi="Times New Roman" w:cs="Times New Roman"/>
                <w:color w:val="000000"/>
              </w:rPr>
              <w:t>210</w:t>
            </w:r>
          </w:p>
        </w:tc>
        <w:tc>
          <w:tcPr>
            <w:tcW w:w="575" w:type="pct"/>
            <w:tcBorders>
              <w:top w:val="nil"/>
              <w:left w:val="nil"/>
              <w:bottom w:val="single" w:sz="4" w:space="0" w:color="auto"/>
              <w:right w:val="single" w:sz="4" w:space="0" w:color="auto"/>
            </w:tcBorders>
            <w:shd w:val="clear" w:color="auto" w:fill="auto"/>
            <w:noWrap/>
            <w:vAlign w:val="bottom"/>
            <w:hideMark/>
          </w:tcPr>
          <w:p w14:paraId="2E52E58F" w14:textId="1179ACD3"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hAnsi="Times New Roman" w:cs="Times New Roman"/>
                <w:color w:val="000000"/>
              </w:rPr>
              <w:t>6.76</w:t>
            </w:r>
          </w:p>
        </w:tc>
        <w:tc>
          <w:tcPr>
            <w:tcW w:w="554" w:type="pct"/>
            <w:tcBorders>
              <w:top w:val="nil"/>
              <w:left w:val="nil"/>
              <w:bottom w:val="single" w:sz="4" w:space="0" w:color="auto"/>
              <w:right w:val="single" w:sz="4" w:space="0" w:color="auto"/>
            </w:tcBorders>
            <w:shd w:val="clear" w:color="auto" w:fill="auto"/>
            <w:noWrap/>
            <w:vAlign w:val="bottom"/>
            <w:hideMark/>
          </w:tcPr>
          <w:p w14:paraId="3D3D7604" w14:textId="77777777"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eastAsia="Times New Roman" w:hAnsi="Times New Roman" w:cs="Times New Roman"/>
                <w:color w:val="000000"/>
              </w:rPr>
              <w:t>14 days</w:t>
            </w:r>
          </w:p>
        </w:tc>
        <w:tc>
          <w:tcPr>
            <w:tcW w:w="528" w:type="pct"/>
            <w:tcBorders>
              <w:top w:val="nil"/>
              <w:left w:val="nil"/>
              <w:bottom w:val="single" w:sz="4" w:space="0" w:color="auto"/>
              <w:right w:val="single" w:sz="4" w:space="0" w:color="auto"/>
            </w:tcBorders>
            <w:shd w:val="clear" w:color="auto" w:fill="auto"/>
            <w:noWrap/>
            <w:vAlign w:val="bottom"/>
            <w:hideMark/>
          </w:tcPr>
          <w:p w14:paraId="79E553D6" w14:textId="511E8263"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hAnsi="Times New Roman" w:cs="Times New Roman"/>
                <w:color w:val="000000"/>
              </w:rPr>
              <w:t>4.76</w:t>
            </w:r>
          </w:p>
        </w:tc>
        <w:tc>
          <w:tcPr>
            <w:tcW w:w="465" w:type="pct"/>
            <w:tcBorders>
              <w:top w:val="nil"/>
              <w:left w:val="nil"/>
              <w:bottom w:val="single" w:sz="4" w:space="0" w:color="auto"/>
              <w:right w:val="single" w:sz="4" w:space="0" w:color="auto"/>
            </w:tcBorders>
            <w:shd w:val="clear" w:color="auto" w:fill="auto"/>
            <w:noWrap/>
            <w:vAlign w:val="bottom"/>
            <w:hideMark/>
          </w:tcPr>
          <w:p w14:paraId="6DCE3785" w14:textId="07A7AE22"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eastAsia="Times New Roman" w:hAnsi="Times New Roman" w:cs="Times New Roman"/>
                <w:color w:val="000000"/>
              </w:rPr>
              <w:t>90</w:t>
            </w:r>
          </w:p>
        </w:tc>
      </w:tr>
      <w:tr w:rsidR="00306E0E" w:rsidRPr="003E3203" w14:paraId="238686A6" w14:textId="77777777" w:rsidTr="00EA2102">
        <w:trPr>
          <w:trHeight w:val="290"/>
          <w:jc w:val="center"/>
        </w:trPr>
        <w:tc>
          <w:tcPr>
            <w:tcW w:w="1130" w:type="pct"/>
            <w:tcBorders>
              <w:top w:val="nil"/>
              <w:left w:val="single" w:sz="4" w:space="0" w:color="auto"/>
              <w:bottom w:val="single" w:sz="4" w:space="0" w:color="auto"/>
              <w:right w:val="single" w:sz="4" w:space="0" w:color="auto"/>
            </w:tcBorders>
            <w:shd w:val="clear" w:color="auto" w:fill="auto"/>
            <w:noWrap/>
            <w:vAlign w:val="bottom"/>
            <w:hideMark/>
          </w:tcPr>
          <w:p w14:paraId="541E1108" w14:textId="77777777" w:rsidR="004C5AD7" w:rsidRPr="00863FBC" w:rsidRDefault="004C5AD7" w:rsidP="004C5AD7">
            <w:pPr>
              <w:spacing w:after="0" w:line="240" w:lineRule="auto"/>
              <w:rPr>
                <w:rFonts w:ascii="Times New Roman" w:eastAsia="Times New Roman" w:hAnsi="Times New Roman" w:cs="Times New Roman"/>
                <w:color w:val="000000"/>
              </w:rPr>
            </w:pPr>
            <w:r w:rsidRPr="00863FBC">
              <w:rPr>
                <w:rFonts w:ascii="Times New Roman" w:eastAsia="Times New Roman" w:hAnsi="Times New Roman" w:cs="Times New Roman"/>
                <w:color w:val="000000"/>
              </w:rPr>
              <w:t>Incorrect Valve Positions</w:t>
            </w:r>
          </w:p>
        </w:tc>
        <w:tc>
          <w:tcPr>
            <w:tcW w:w="625" w:type="pct"/>
            <w:tcBorders>
              <w:top w:val="nil"/>
              <w:left w:val="nil"/>
              <w:bottom w:val="single" w:sz="4" w:space="0" w:color="auto"/>
              <w:right w:val="single" w:sz="4" w:space="0" w:color="auto"/>
            </w:tcBorders>
            <w:shd w:val="clear" w:color="auto" w:fill="auto"/>
            <w:noWrap/>
            <w:vAlign w:val="bottom"/>
            <w:hideMark/>
          </w:tcPr>
          <w:p w14:paraId="20805459" w14:textId="0EFE185B"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eastAsia="Times New Roman" w:hAnsi="Times New Roman" w:cs="Times New Roman"/>
                <w:color w:val="000000"/>
              </w:rPr>
              <w:t>21.7</w:t>
            </w:r>
            <w:r w:rsidR="00955BD5">
              <w:rPr>
                <w:rFonts w:ascii="Times New Roman" w:eastAsia="Times New Roman" w:hAnsi="Times New Roman" w:cs="Times New Roman"/>
                <w:color w:val="000000"/>
              </w:rPr>
              <w:t>9</w:t>
            </w:r>
          </w:p>
        </w:tc>
        <w:tc>
          <w:tcPr>
            <w:tcW w:w="581" w:type="pct"/>
            <w:tcBorders>
              <w:top w:val="nil"/>
              <w:left w:val="nil"/>
              <w:bottom w:val="single" w:sz="4" w:space="0" w:color="auto"/>
              <w:right w:val="single" w:sz="4" w:space="0" w:color="auto"/>
            </w:tcBorders>
            <w:shd w:val="clear" w:color="auto" w:fill="auto"/>
            <w:noWrap/>
            <w:vAlign w:val="bottom"/>
            <w:hideMark/>
          </w:tcPr>
          <w:p w14:paraId="76309825" w14:textId="110D8A12"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hAnsi="Times New Roman" w:cs="Times New Roman"/>
                <w:color w:val="000000"/>
              </w:rPr>
              <w:t>2.73</w:t>
            </w:r>
          </w:p>
        </w:tc>
        <w:tc>
          <w:tcPr>
            <w:tcW w:w="542" w:type="pct"/>
            <w:tcBorders>
              <w:top w:val="nil"/>
              <w:left w:val="nil"/>
              <w:bottom w:val="single" w:sz="4" w:space="0" w:color="auto"/>
              <w:right w:val="single" w:sz="4" w:space="0" w:color="auto"/>
            </w:tcBorders>
            <w:shd w:val="clear" w:color="auto" w:fill="auto"/>
            <w:noWrap/>
            <w:vAlign w:val="bottom"/>
            <w:hideMark/>
          </w:tcPr>
          <w:p w14:paraId="4149BE06" w14:textId="77777777"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eastAsia="Times New Roman" w:hAnsi="Times New Roman" w:cs="Times New Roman"/>
                <w:color w:val="000000"/>
              </w:rPr>
              <w:t>138</w:t>
            </w:r>
          </w:p>
        </w:tc>
        <w:tc>
          <w:tcPr>
            <w:tcW w:w="575" w:type="pct"/>
            <w:tcBorders>
              <w:top w:val="nil"/>
              <w:left w:val="nil"/>
              <w:bottom w:val="single" w:sz="4" w:space="0" w:color="auto"/>
              <w:right w:val="single" w:sz="4" w:space="0" w:color="auto"/>
            </w:tcBorders>
            <w:shd w:val="clear" w:color="auto" w:fill="auto"/>
            <w:noWrap/>
            <w:vAlign w:val="bottom"/>
            <w:hideMark/>
          </w:tcPr>
          <w:p w14:paraId="450BCC50" w14:textId="7198FA1A"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hAnsi="Times New Roman" w:cs="Times New Roman"/>
                <w:color w:val="000000"/>
              </w:rPr>
              <w:t>4.72</w:t>
            </w:r>
          </w:p>
        </w:tc>
        <w:tc>
          <w:tcPr>
            <w:tcW w:w="554" w:type="pct"/>
            <w:tcBorders>
              <w:top w:val="nil"/>
              <w:left w:val="nil"/>
              <w:bottom w:val="single" w:sz="4" w:space="0" w:color="auto"/>
              <w:right w:val="single" w:sz="4" w:space="0" w:color="auto"/>
            </w:tcBorders>
            <w:shd w:val="clear" w:color="auto" w:fill="auto"/>
            <w:noWrap/>
            <w:vAlign w:val="bottom"/>
            <w:hideMark/>
          </w:tcPr>
          <w:p w14:paraId="70A9F49F" w14:textId="77777777"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eastAsia="Times New Roman" w:hAnsi="Times New Roman" w:cs="Times New Roman"/>
                <w:color w:val="000000"/>
              </w:rPr>
              <w:t>8 days</w:t>
            </w:r>
          </w:p>
        </w:tc>
        <w:tc>
          <w:tcPr>
            <w:tcW w:w="528" w:type="pct"/>
            <w:tcBorders>
              <w:top w:val="nil"/>
              <w:left w:val="nil"/>
              <w:bottom w:val="single" w:sz="4" w:space="0" w:color="auto"/>
              <w:right w:val="single" w:sz="4" w:space="0" w:color="auto"/>
            </w:tcBorders>
            <w:shd w:val="clear" w:color="auto" w:fill="auto"/>
            <w:noWrap/>
            <w:vAlign w:val="bottom"/>
            <w:hideMark/>
          </w:tcPr>
          <w:p w14:paraId="431A769E" w14:textId="43E063FE"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hAnsi="Times New Roman" w:cs="Times New Roman"/>
                <w:color w:val="000000"/>
              </w:rPr>
              <w:t>7.01</w:t>
            </w:r>
          </w:p>
        </w:tc>
        <w:tc>
          <w:tcPr>
            <w:tcW w:w="465" w:type="pct"/>
            <w:tcBorders>
              <w:top w:val="nil"/>
              <w:left w:val="nil"/>
              <w:bottom w:val="single" w:sz="4" w:space="0" w:color="auto"/>
              <w:right w:val="single" w:sz="4" w:space="0" w:color="auto"/>
            </w:tcBorders>
            <w:shd w:val="clear" w:color="auto" w:fill="auto"/>
            <w:noWrap/>
            <w:vAlign w:val="bottom"/>
            <w:hideMark/>
          </w:tcPr>
          <w:p w14:paraId="694552CE" w14:textId="616C57CD"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eastAsia="Times New Roman" w:hAnsi="Times New Roman" w:cs="Times New Roman"/>
                <w:color w:val="000000"/>
              </w:rPr>
              <w:t>90</w:t>
            </w:r>
          </w:p>
        </w:tc>
      </w:tr>
      <w:tr w:rsidR="00306E0E" w:rsidRPr="003E3203" w14:paraId="29ADAD17" w14:textId="77777777" w:rsidTr="00EA2102">
        <w:trPr>
          <w:trHeight w:val="290"/>
          <w:jc w:val="center"/>
        </w:trPr>
        <w:tc>
          <w:tcPr>
            <w:tcW w:w="1130" w:type="pct"/>
            <w:tcBorders>
              <w:top w:val="nil"/>
              <w:left w:val="single" w:sz="4" w:space="0" w:color="auto"/>
              <w:bottom w:val="single" w:sz="4" w:space="0" w:color="auto"/>
              <w:right w:val="single" w:sz="4" w:space="0" w:color="auto"/>
            </w:tcBorders>
            <w:shd w:val="clear" w:color="auto" w:fill="auto"/>
            <w:noWrap/>
            <w:vAlign w:val="bottom"/>
            <w:hideMark/>
          </w:tcPr>
          <w:p w14:paraId="7AE851A9" w14:textId="47988934" w:rsidR="004C5AD7" w:rsidRPr="00863FBC" w:rsidRDefault="00C97501" w:rsidP="004C5AD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Abnormal </w:t>
            </w:r>
            <w:r w:rsidR="00FF3920">
              <w:rPr>
                <w:rFonts w:ascii="Times New Roman" w:eastAsia="Times New Roman" w:hAnsi="Times New Roman" w:cs="Times New Roman"/>
                <w:color w:val="000000"/>
              </w:rPr>
              <w:t>Tank emissions</w:t>
            </w:r>
          </w:p>
        </w:tc>
        <w:tc>
          <w:tcPr>
            <w:tcW w:w="625" w:type="pct"/>
            <w:tcBorders>
              <w:top w:val="nil"/>
              <w:left w:val="nil"/>
              <w:bottom w:val="single" w:sz="4" w:space="0" w:color="auto"/>
              <w:right w:val="single" w:sz="4" w:space="0" w:color="auto"/>
            </w:tcBorders>
            <w:shd w:val="clear" w:color="auto" w:fill="auto"/>
            <w:noWrap/>
            <w:vAlign w:val="bottom"/>
            <w:hideMark/>
          </w:tcPr>
          <w:p w14:paraId="3D91CBE9" w14:textId="44F90911"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eastAsia="Times New Roman" w:hAnsi="Times New Roman" w:cs="Times New Roman"/>
                <w:color w:val="000000"/>
              </w:rPr>
              <w:t>52.64</w:t>
            </w:r>
          </w:p>
        </w:tc>
        <w:tc>
          <w:tcPr>
            <w:tcW w:w="581" w:type="pct"/>
            <w:tcBorders>
              <w:top w:val="nil"/>
              <w:left w:val="nil"/>
              <w:bottom w:val="single" w:sz="4" w:space="0" w:color="auto"/>
              <w:right w:val="single" w:sz="4" w:space="0" w:color="auto"/>
            </w:tcBorders>
            <w:shd w:val="clear" w:color="auto" w:fill="auto"/>
            <w:noWrap/>
            <w:vAlign w:val="bottom"/>
            <w:hideMark/>
          </w:tcPr>
          <w:p w14:paraId="1D488BE1" w14:textId="12F91FDC"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hAnsi="Times New Roman" w:cs="Times New Roman"/>
                <w:color w:val="000000"/>
              </w:rPr>
              <w:t>7.34</w:t>
            </w:r>
          </w:p>
        </w:tc>
        <w:tc>
          <w:tcPr>
            <w:tcW w:w="542" w:type="pct"/>
            <w:tcBorders>
              <w:top w:val="nil"/>
              <w:left w:val="nil"/>
              <w:bottom w:val="single" w:sz="4" w:space="0" w:color="auto"/>
              <w:right w:val="single" w:sz="4" w:space="0" w:color="auto"/>
            </w:tcBorders>
            <w:shd w:val="clear" w:color="auto" w:fill="auto"/>
            <w:noWrap/>
            <w:vAlign w:val="bottom"/>
            <w:hideMark/>
          </w:tcPr>
          <w:p w14:paraId="032AEF3D" w14:textId="77777777"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eastAsia="Times New Roman" w:hAnsi="Times New Roman" w:cs="Times New Roman"/>
                <w:color w:val="000000"/>
              </w:rPr>
              <w:t>325</w:t>
            </w:r>
          </w:p>
        </w:tc>
        <w:tc>
          <w:tcPr>
            <w:tcW w:w="575" w:type="pct"/>
            <w:tcBorders>
              <w:top w:val="nil"/>
              <w:left w:val="nil"/>
              <w:bottom w:val="single" w:sz="4" w:space="0" w:color="auto"/>
              <w:right w:val="single" w:sz="4" w:space="0" w:color="auto"/>
            </w:tcBorders>
            <w:shd w:val="clear" w:color="auto" w:fill="auto"/>
            <w:noWrap/>
            <w:vAlign w:val="bottom"/>
            <w:hideMark/>
          </w:tcPr>
          <w:p w14:paraId="2128A8FD" w14:textId="18AD7BCC"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hAnsi="Times New Roman" w:cs="Times New Roman"/>
                <w:color w:val="000000"/>
              </w:rPr>
              <w:t>10.00</w:t>
            </w:r>
          </w:p>
        </w:tc>
        <w:tc>
          <w:tcPr>
            <w:tcW w:w="554" w:type="pct"/>
            <w:tcBorders>
              <w:top w:val="nil"/>
              <w:left w:val="nil"/>
              <w:bottom w:val="single" w:sz="4" w:space="0" w:color="auto"/>
              <w:right w:val="single" w:sz="4" w:space="0" w:color="auto"/>
            </w:tcBorders>
            <w:shd w:val="clear" w:color="auto" w:fill="auto"/>
            <w:noWrap/>
            <w:vAlign w:val="bottom"/>
            <w:hideMark/>
          </w:tcPr>
          <w:p w14:paraId="2FE7C3BC" w14:textId="1BA2372F" w:rsidR="004C5AD7" w:rsidRPr="00955BD5" w:rsidRDefault="002D4EC1" w:rsidP="004C5AD7">
            <w:pPr>
              <w:spacing w:after="0" w:line="240" w:lineRule="auto"/>
              <w:jc w:val="center"/>
              <w:rPr>
                <w:rFonts w:ascii="Times New Roman" w:eastAsia="Times New Roman" w:hAnsi="Times New Roman" w:cs="Times New Roman"/>
                <w:color w:val="000000"/>
              </w:rPr>
            </w:pPr>
            <w:r w:rsidRPr="00955BD5">
              <w:rPr>
                <w:rFonts w:ascii="Times New Roman" w:eastAsia="Times New Roman" w:hAnsi="Times New Roman" w:cs="Times New Roman"/>
                <w:color w:val="000000"/>
              </w:rPr>
              <w:t>9</w:t>
            </w:r>
            <w:r w:rsidR="004C5AD7" w:rsidRPr="00955BD5">
              <w:rPr>
                <w:rFonts w:ascii="Times New Roman" w:eastAsia="Times New Roman" w:hAnsi="Times New Roman" w:cs="Times New Roman"/>
                <w:color w:val="000000"/>
              </w:rPr>
              <w:t xml:space="preserve"> days</w:t>
            </w:r>
          </w:p>
        </w:tc>
        <w:tc>
          <w:tcPr>
            <w:tcW w:w="528" w:type="pct"/>
            <w:tcBorders>
              <w:top w:val="nil"/>
              <w:left w:val="nil"/>
              <w:bottom w:val="single" w:sz="4" w:space="0" w:color="auto"/>
              <w:right w:val="single" w:sz="4" w:space="0" w:color="auto"/>
            </w:tcBorders>
            <w:shd w:val="clear" w:color="auto" w:fill="auto"/>
            <w:noWrap/>
            <w:vAlign w:val="bottom"/>
            <w:hideMark/>
          </w:tcPr>
          <w:p w14:paraId="694CDB43" w14:textId="09D9776D" w:rsidR="004C5AD7" w:rsidRPr="00955BD5" w:rsidRDefault="00A13E46" w:rsidP="004C5AD7">
            <w:pPr>
              <w:spacing w:after="0" w:line="240" w:lineRule="auto"/>
              <w:jc w:val="center"/>
              <w:rPr>
                <w:rFonts w:ascii="Times New Roman" w:eastAsia="Times New Roman" w:hAnsi="Times New Roman" w:cs="Times New Roman"/>
                <w:color w:val="000000"/>
              </w:rPr>
            </w:pPr>
            <w:r w:rsidRPr="00955BD5">
              <w:rPr>
                <w:rFonts w:ascii="Times New Roman" w:hAnsi="Times New Roman" w:cs="Times New Roman"/>
                <w:color w:val="000000"/>
              </w:rPr>
              <w:t>6.63</w:t>
            </w:r>
          </w:p>
        </w:tc>
        <w:tc>
          <w:tcPr>
            <w:tcW w:w="465" w:type="pct"/>
            <w:tcBorders>
              <w:top w:val="nil"/>
              <w:left w:val="nil"/>
              <w:bottom w:val="single" w:sz="4" w:space="0" w:color="auto"/>
              <w:right w:val="single" w:sz="4" w:space="0" w:color="auto"/>
            </w:tcBorders>
            <w:shd w:val="clear" w:color="auto" w:fill="auto"/>
            <w:noWrap/>
            <w:vAlign w:val="bottom"/>
            <w:hideMark/>
          </w:tcPr>
          <w:p w14:paraId="44847C9F" w14:textId="4E50C791" w:rsidR="004C5AD7" w:rsidRPr="00955BD5" w:rsidRDefault="00A13E46" w:rsidP="004C5AD7">
            <w:pPr>
              <w:spacing w:after="0" w:line="240" w:lineRule="auto"/>
              <w:jc w:val="center"/>
              <w:rPr>
                <w:rFonts w:ascii="Times New Roman" w:eastAsia="Times New Roman" w:hAnsi="Times New Roman" w:cs="Times New Roman"/>
                <w:color w:val="000000"/>
              </w:rPr>
            </w:pPr>
            <w:r w:rsidRPr="00955BD5">
              <w:rPr>
                <w:rFonts w:ascii="Times New Roman" w:eastAsia="Times New Roman" w:hAnsi="Times New Roman" w:cs="Times New Roman"/>
                <w:color w:val="000000"/>
              </w:rPr>
              <w:t>48</w:t>
            </w:r>
            <w:r w:rsidR="00B41D59" w:rsidRPr="00955BD5">
              <w:rPr>
                <w:rFonts w:ascii="Times New Roman" w:eastAsia="Times New Roman" w:hAnsi="Times New Roman" w:cs="Times New Roman"/>
                <w:color w:val="000000"/>
              </w:rPr>
              <w:t>7</w:t>
            </w:r>
          </w:p>
        </w:tc>
      </w:tr>
      <w:tr w:rsidR="00306E0E" w:rsidRPr="003E3203" w14:paraId="40E1017A" w14:textId="77777777" w:rsidTr="00EA2102">
        <w:trPr>
          <w:trHeight w:val="290"/>
          <w:jc w:val="center"/>
        </w:trPr>
        <w:tc>
          <w:tcPr>
            <w:tcW w:w="1130" w:type="pct"/>
            <w:tcBorders>
              <w:top w:val="nil"/>
              <w:left w:val="single" w:sz="4" w:space="0" w:color="auto"/>
              <w:bottom w:val="single" w:sz="4" w:space="0" w:color="auto"/>
              <w:right w:val="single" w:sz="4" w:space="0" w:color="auto"/>
            </w:tcBorders>
            <w:shd w:val="clear" w:color="auto" w:fill="auto"/>
            <w:noWrap/>
            <w:vAlign w:val="bottom"/>
            <w:hideMark/>
          </w:tcPr>
          <w:p w14:paraId="06D61038" w14:textId="77777777" w:rsidR="004C5AD7" w:rsidRPr="00863FBC" w:rsidRDefault="004C5AD7" w:rsidP="004C5AD7">
            <w:pPr>
              <w:spacing w:after="0" w:line="240" w:lineRule="auto"/>
              <w:rPr>
                <w:rFonts w:ascii="Times New Roman" w:eastAsia="Times New Roman" w:hAnsi="Times New Roman" w:cs="Times New Roman"/>
                <w:color w:val="000000"/>
              </w:rPr>
            </w:pPr>
            <w:r w:rsidRPr="00863FBC">
              <w:rPr>
                <w:rFonts w:ascii="Times New Roman" w:eastAsia="Times New Roman" w:hAnsi="Times New Roman" w:cs="Times New Roman"/>
                <w:color w:val="000000"/>
              </w:rPr>
              <w:t>Blowdown</w:t>
            </w:r>
          </w:p>
        </w:tc>
        <w:tc>
          <w:tcPr>
            <w:tcW w:w="625" w:type="pct"/>
            <w:tcBorders>
              <w:top w:val="nil"/>
              <w:left w:val="nil"/>
              <w:bottom w:val="single" w:sz="4" w:space="0" w:color="auto"/>
              <w:right w:val="single" w:sz="4" w:space="0" w:color="auto"/>
            </w:tcBorders>
            <w:shd w:val="clear" w:color="auto" w:fill="auto"/>
            <w:noWrap/>
            <w:vAlign w:val="bottom"/>
            <w:hideMark/>
          </w:tcPr>
          <w:p w14:paraId="5D38E50C" w14:textId="20DD98E2"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eastAsia="Times New Roman" w:hAnsi="Times New Roman" w:cs="Times New Roman"/>
                <w:color w:val="000000"/>
              </w:rPr>
              <w:t>31.45</w:t>
            </w:r>
          </w:p>
        </w:tc>
        <w:tc>
          <w:tcPr>
            <w:tcW w:w="581" w:type="pct"/>
            <w:tcBorders>
              <w:top w:val="nil"/>
              <w:left w:val="nil"/>
              <w:bottom w:val="single" w:sz="4" w:space="0" w:color="auto"/>
              <w:right w:val="single" w:sz="4" w:space="0" w:color="auto"/>
            </w:tcBorders>
            <w:shd w:val="clear" w:color="auto" w:fill="auto"/>
            <w:noWrap/>
            <w:vAlign w:val="bottom"/>
            <w:hideMark/>
          </w:tcPr>
          <w:p w14:paraId="6AB7D9BE" w14:textId="3477B1E4"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hAnsi="Times New Roman" w:cs="Times New Roman"/>
                <w:color w:val="000000"/>
              </w:rPr>
              <w:t>4.17</w:t>
            </w:r>
          </w:p>
        </w:tc>
        <w:tc>
          <w:tcPr>
            <w:tcW w:w="542" w:type="pct"/>
            <w:tcBorders>
              <w:top w:val="nil"/>
              <w:left w:val="nil"/>
              <w:bottom w:val="single" w:sz="4" w:space="0" w:color="auto"/>
              <w:right w:val="single" w:sz="4" w:space="0" w:color="auto"/>
            </w:tcBorders>
            <w:shd w:val="clear" w:color="auto" w:fill="auto"/>
            <w:noWrap/>
            <w:vAlign w:val="bottom"/>
            <w:hideMark/>
          </w:tcPr>
          <w:p w14:paraId="2A294CCE" w14:textId="77777777"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eastAsia="Times New Roman" w:hAnsi="Times New Roman" w:cs="Times New Roman"/>
                <w:color w:val="000000"/>
              </w:rPr>
              <w:t>43</w:t>
            </w:r>
          </w:p>
        </w:tc>
        <w:tc>
          <w:tcPr>
            <w:tcW w:w="575" w:type="pct"/>
            <w:tcBorders>
              <w:top w:val="nil"/>
              <w:left w:val="nil"/>
              <w:bottom w:val="single" w:sz="4" w:space="0" w:color="auto"/>
              <w:right w:val="single" w:sz="4" w:space="0" w:color="auto"/>
            </w:tcBorders>
            <w:shd w:val="clear" w:color="auto" w:fill="auto"/>
            <w:noWrap/>
            <w:vAlign w:val="bottom"/>
            <w:hideMark/>
          </w:tcPr>
          <w:p w14:paraId="0D743B34" w14:textId="2182349F"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hAnsi="Times New Roman" w:cs="Times New Roman"/>
                <w:color w:val="000000"/>
              </w:rPr>
              <w:t>2.04</w:t>
            </w:r>
          </w:p>
        </w:tc>
        <w:tc>
          <w:tcPr>
            <w:tcW w:w="554" w:type="pct"/>
            <w:tcBorders>
              <w:top w:val="nil"/>
              <w:left w:val="nil"/>
              <w:bottom w:val="single" w:sz="4" w:space="0" w:color="auto"/>
              <w:right w:val="single" w:sz="4" w:space="0" w:color="auto"/>
            </w:tcBorders>
            <w:shd w:val="clear" w:color="auto" w:fill="auto"/>
            <w:noWrap/>
            <w:vAlign w:val="bottom"/>
            <w:hideMark/>
          </w:tcPr>
          <w:p w14:paraId="3F0FEE7E" w14:textId="77777777"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eastAsia="Times New Roman" w:hAnsi="Times New Roman" w:cs="Times New Roman"/>
                <w:color w:val="000000"/>
              </w:rPr>
              <w:t>1 hour</w:t>
            </w:r>
          </w:p>
        </w:tc>
        <w:tc>
          <w:tcPr>
            <w:tcW w:w="528" w:type="pct"/>
            <w:tcBorders>
              <w:top w:val="nil"/>
              <w:left w:val="nil"/>
              <w:bottom w:val="single" w:sz="4" w:space="0" w:color="auto"/>
              <w:right w:val="single" w:sz="4" w:space="0" w:color="auto"/>
            </w:tcBorders>
            <w:shd w:val="clear" w:color="auto" w:fill="auto"/>
            <w:noWrap/>
            <w:vAlign w:val="bottom"/>
            <w:hideMark/>
          </w:tcPr>
          <w:p w14:paraId="613D1EE1" w14:textId="29FA6B32"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hAnsi="Times New Roman" w:cs="Times New Roman"/>
                <w:color w:val="000000"/>
              </w:rPr>
              <w:t>10.00</w:t>
            </w:r>
          </w:p>
        </w:tc>
        <w:tc>
          <w:tcPr>
            <w:tcW w:w="465" w:type="pct"/>
            <w:tcBorders>
              <w:top w:val="nil"/>
              <w:left w:val="nil"/>
              <w:bottom w:val="single" w:sz="4" w:space="0" w:color="auto"/>
              <w:right w:val="single" w:sz="4" w:space="0" w:color="auto"/>
            </w:tcBorders>
            <w:shd w:val="clear" w:color="auto" w:fill="auto"/>
            <w:noWrap/>
            <w:vAlign w:val="bottom"/>
            <w:hideMark/>
          </w:tcPr>
          <w:p w14:paraId="00D6860B" w14:textId="19B9F499" w:rsidR="004C5AD7" w:rsidRPr="00955BD5" w:rsidRDefault="00B41D59" w:rsidP="004C5AD7">
            <w:pPr>
              <w:spacing w:after="0" w:line="240" w:lineRule="auto"/>
              <w:jc w:val="center"/>
              <w:rPr>
                <w:rFonts w:ascii="Times New Roman" w:eastAsia="Times New Roman" w:hAnsi="Times New Roman" w:cs="Times New Roman"/>
                <w:color w:val="000000"/>
              </w:rPr>
            </w:pPr>
            <w:r w:rsidRPr="00955BD5">
              <w:rPr>
                <w:rFonts w:ascii="Times New Roman" w:eastAsia="Times New Roman" w:hAnsi="Times New Roman" w:cs="Times New Roman"/>
                <w:color w:val="000000"/>
              </w:rPr>
              <w:t>85</w:t>
            </w:r>
          </w:p>
        </w:tc>
      </w:tr>
      <w:tr w:rsidR="00306E0E" w:rsidRPr="003E3203" w14:paraId="015C962B" w14:textId="77777777" w:rsidTr="00EA2102">
        <w:trPr>
          <w:trHeight w:val="290"/>
          <w:jc w:val="center"/>
        </w:trPr>
        <w:tc>
          <w:tcPr>
            <w:tcW w:w="1130" w:type="pct"/>
            <w:tcBorders>
              <w:top w:val="nil"/>
              <w:left w:val="single" w:sz="4" w:space="0" w:color="auto"/>
              <w:bottom w:val="single" w:sz="4" w:space="0" w:color="auto"/>
              <w:right w:val="single" w:sz="4" w:space="0" w:color="auto"/>
            </w:tcBorders>
            <w:shd w:val="clear" w:color="auto" w:fill="auto"/>
            <w:noWrap/>
            <w:vAlign w:val="bottom"/>
            <w:hideMark/>
          </w:tcPr>
          <w:p w14:paraId="130288FB" w14:textId="77777777" w:rsidR="004C5AD7" w:rsidRPr="00863FBC" w:rsidRDefault="004C5AD7" w:rsidP="004C5AD7">
            <w:pPr>
              <w:spacing w:after="0" w:line="240" w:lineRule="auto"/>
              <w:rPr>
                <w:rFonts w:ascii="Times New Roman" w:eastAsia="Times New Roman" w:hAnsi="Times New Roman" w:cs="Times New Roman"/>
                <w:color w:val="000000"/>
              </w:rPr>
            </w:pPr>
            <w:r w:rsidRPr="00863FBC">
              <w:rPr>
                <w:rFonts w:ascii="Times New Roman" w:eastAsia="Times New Roman" w:hAnsi="Times New Roman" w:cs="Times New Roman"/>
                <w:color w:val="000000"/>
              </w:rPr>
              <w:t>Maintenance</w:t>
            </w:r>
          </w:p>
        </w:tc>
        <w:tc>
          <w:tcPr>
            <w:tcW w:w="625" w:type="pct"/>
            <w:tcBorders>
              <w:top w:val="nil"/>
              <w:left w:val="nil"/>
              <w:bottom w:val="single" w:sz="4" w:space="0" w:color="auto"/>
              <w:right w:val="single" w:sz="4" w:space="0" w:color="auto"/>
            </w:tcBorders>
            <w:shd w:val="clear" w:color="auto" w:fill="auto"/>
            <w:noWrap/>
            <w:vAlign w:val="bottom"/>
            <w:hideMark/>
          </w:tcPr>
          <w:p w14:paraId="634DB416" w14:textId="2E44E1AF"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eastAsia="Times New Roman" w:hAnsi="Times New Roman" w:cs="Times New Roman"/>
                <w:color w:val="000000"/>
              </w:rPr>
              <w:t>16.7</w:t>
            </w:r>
            <w:r w:rsidR="00955BD5">
              <w:rPr>
                <w:rFonts w:ascii="Times New Roman" w:eastAsia="Times New Roman" w:hAnsi="Times New Roman" w:cs="Times New Roman"/>
                <w:color w:val="000000"/>
              </w:rPr>
              <w:t>6</w:t>
            </w:r>
          </w:p>
        </w:tc>
        <w:tc>
          <w:tcPr>
            <w:tcW w:w="581" w:type="pct"/>
            <w:tcBorders>
              <w:top w:val="nil"/>
              <w:left w:val="nil"/>
              <w:bottom w:val="single" w:sz="4" w:space="0" w:color="auto"/>
              <w:right w:val="single" w:sz="4" w:space="0" w:color="auto"/>
            </w:tcBorders>
            <w:shd w:val="clear" w:color="auto" w:fill="auto"/>
            <w:noWrap/>
            <w:vAlign w:val="bottom"/>
            <w:hideMark/>
          </w:tcPr>
          <w:p w14:paraId="3702A4F5" w14:textId="143AA1A4"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hAnsi="Times New Roman" w:cs="Times New Roman"/>
                <w:color w:val="000000"/>
              </w:rPr>
              <w:t>1.97</w:t>
            </w:r>
          </w:p>
        </w:tc>
        <w:tc>
          <w:tcPr>
            <w:tcW w:w="542" w:type="pct"/>
            <w:tcBorders>
              <w:top w:val="nil"/>
              <w:left w:val="nil"/>
              <w:bottom w:val="single" w:sz="4" w:space="0" w:color="auto"/>
              <w:right w:val="single" w:sz="4" w:space="0" w:color="auto"/>
            </w:tcBorders>
            <w:shd w:val="clear" w:color="auto" w:fill="auto"/>
            <w:noWrap/>
            <w:vAlign w:val="bottom"/>
            <w:hideMark/>
          </w:tcPr>
          <w:p w14:paraId="7B7F133B" w14:textId="77777777"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eastAsia="Times New Roman" w:hAnsi="Times New Roman" w:cs="Times New Roman"/>
                <w:color w:val="000000"/>
              </w:rPr>
              <w:t>55</w:t>
            </w:r>
          </w:p>
        </w:tc>
        <w:tc>
          <w:tcPr>
            <w:tcW w:w="575" w:type="pct"/>
            <w:tcBorders>
              <w:top w:val="nil"/>
              <w:left w:val="nil"/>
              <w:bottom w:val="single" w:sz="4" w:space="0" w:color="auto"/>
              <w:right w:val="single" w:sz="4" w:space="0" w:color="auto"/>
            </w:tcBorders>
            <w:shd w:val="clear" w:color="auto" w:fill="auto"/>
            <w:noWrap/>
            <w:vAlign w:val="bottom"/>
            <w:hideMark/>
          </w:tcPr>
          <w:p w14:paraId="5511C288" w14:textId="1FA1EDB9"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hAnsi="Times New Roman" w:cs="Times New Roman"/>
                <w:color w:val="000000"/>
              </w:rPr>
              <w:t>2.38</w:t>
            </w:r>
          </w:p>
        </w:tc>
        <w:tc>
          <w:tcPr>
            <w:tcW w:w="554" w:type="pct"/>
            <w:tcBorders>
              <w:top w:val="nil"/>
              <w:left w:val="nil"/>
              <w:bottom w:val="single" w:sz="4" w:space="0" w:color="auto"/>
              <w:right w:val="single" w:sz="4" w:space="0" w:color="auto"/>
            </w:tcBorders>
            <w:shd w:val="clear" w:color="auto" w:fill="auto"/>
            <w:noWrap/>
            <w:vAlign w:val="bottom"/>
            <w:hideMark/>
          </w:tcPr>
          <w:p w14:paraId="2560BE3D" w14:textId="77777777"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eastAsia="Times New Roman" w:hAnsi="Times New Roman" w:cs="Times New Roman"/>
                <w:color w:val="000000"/>
              </w:rPr>
              <w:t xml:space="preserve">1 day </w:t>
            </w:r>
          </w:p>
        </w:tc>
        <w:tc>
          <w:tcPr>
            <w:tcW w:w="528" w:type="pct"/>
            <w:tcBorders>
              <w:top w:val="nil"/>
              <w:left w:val="nil"/>
              <w:bottom w:val="single" w:sz="4" w:space="0" w:color="auto"/>
              <w:right w:val="single" w:sz="4" w:space="0" w:color="auto"/>
            </w:tcBorders>
            <w:shd w:val="clear" w:color="auto" w:fill="auto"/>
            <w:noWrap/>
            <w:vAlign w:val="bottom"/>
            <w:hideMark/>
          </w:tcPr>
          <w:p w14:paraId="0B6EF40B" w14:textId="207A45EB"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hAnsi="Times New Roman" w:cs="Times New Roman"/>
                <w:color w:val="000000"/>
              </w:rPr>
              <w:t>9.64</w:t>
            </w:r>
          </w:p>
        </w:tc>
        <w:tc>
          <w:tcPr>
            <w:tcW w:w="465" w:type="pct"/>
            <w:tcBorders>
              <w:top w:val="nil"/>
              <w:left w:val="nil"/>
              <w:bottom w:val="single" w:sz="4" w:space="0" w:color="auto"/>
              <w:right w:val="single" w:sz="4" w:space="0" w:color="auto"/>
            </w:tcBorders>
            <w:shd w:val="clear" w:color="auto" w:fill="auto"/>
            <w:noWrap/>
            <w:vAlign w:val="bottom"/>
            <w:hideMark/>
          </w:tcPr>
          <w:p w14:paraId="3A950138" w14:textId="253336D6" w:rsidR="004C5AD7" w:rsidRPr="00955BD5" w:rsidRDefault="00B41D59" w:rsidP="004C5AD7">
            <w:pPr>
              <w:spacing w:after="0" w:line="240" w:lineRule="auto"/>
              <w:jc w:val="center"/>
              <w:rPr>
                <w:rFonts w:ascii="Times New Roman" w:eastAsia="Times New Roman" w:hAnsi="Times New Roman" w:cs="Times New Roman"/>
                <w:color w:val="000000"/>
              </w:rPr>
            </w:pPr>
            <w:r w:rsidRPr="00955BD5">
              <w:rPr>
                <w:rFonts w:ascii="Times New Roman" w:eastAsia="Times New Roman" w:hAnsi="Times New Roman" w:cs="Times New Roman"/>
                <w:color w:val="000000"/>
              </w:rPr>
              <w:t>45</w:t>
            </w:r>
          </w:p>
        </w:tc>
      </w:tr>
      <w:tr w:rsidR="00306E0E" w:rsidRPr="003E3203" w14:paraId="0F6814F2" w14:textId="77777777" w:rsidTr="00EA2102">
        <w:trPr>
          <w:trHeight w:val="290"/>
          <w:jc w:val="center"/>
        </w:trPr>
        <w:tc>
          <w:tcPr>
            <w:tcW w:w="1130" w:type="pct"/>
            <w:tcBorders>
              <w:top w:val="nil"/>
              <w:left w:val="single" w:sz="4" w:space="0" w:color="auto"/>
              <w:bottom w:val="single" w:sz="4" w:space="0" w:color="auto"/>
              <w:right w:val="single" w:sz="4" w:space="0" w:color="auto"/>
            </w:tcBorders>
            <w:shd w:val="clear" w:color="auto" w:fill="auto"/>
            <w:noWrap/>
            <w:vAlign w:val="bottom"/>
            <w:hideMark/>
          </w:tcPr>
          <w:p w14:paraId="57F99469" w14:textId="77777777" w:rsidR="004C5AD7" w:rsidRPr="00863FBC" w:rsidRDefault="004C5AD7" w:rsidP="004C5AD7">
            <w:pPr>
              <w:spacing w:after="0" w:line="240" w:lineRule="auto"/>
              <w:rPr>
                <w:rFonts w:ascii="Times New Roman" w:eastAsia="Times New Roman" w:hAnsi="Times New Roman" w:cs="Times New Roman"/>
                <w:color w:val="000000"/>
              </w:rPr>
            </w:pPr>
            <w:r w:rsidRPr="00863FBC">
              <w:rPr>
                <w:rFonts w:ascii="Times New Roman" w:eastAsia="Times New Roman" w:hAnsi="Times New Roman" w:cs="Times New Roman"/>
                <w:color w:val="000000"/>
              </w:rPr>
              <w:t>Well Unloading</w:t>
            </w:r>
          </w:p>
        </w:tc>
        <w:tc>
          <w:tcPr>
            <w:tcW w:w="625" w:type="pct"/>
            <w:tcBorders>
              <w:top w:val="nil"/>
              <w:left w:val="nil"/>
              <w:bottom w:val="single" w:sz="4" w:space="0" w:color="auto"/>
              <w:right w:val="single" w:sz="4" w:space="0" w:color="auto"/>
            </w:tcBorders>
            <w:shd w:val="clear" w:color="auto" w:fill="auto"/>
            <w:noWrap/>
            <w:vAlign w:val="bottom"/>
            <w:hideMark/>
          </w:tcPr>
          <w:p w14:paraId="1CBF611B" w14:textId="2F2EA676"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eastAsia="Times New Roman" w:hAnsi="Times New Roman" w:cs="Times New Roman"/>
                <w:color w:val="000000"/>
              </w:rPr>
              <w:t>70.4</w:t>
            </w:r>
            <w:r w:rsidR="00955BD5">
              <w:rPr>
                <w:rFonts w:ascii="Times New Roman" w:eastAsia="Times New Roman" w:hAnsi="Times New Roman" w:cs="Times New Roman"/>
                <w:color w:val="000000"/>
              </w:rPr>
              <w:t>4</w:t>
            </w:r>
          </w:p>
        </w:tc>
        <w:tc>
          <w:tcPr>
            <w:tcW w:w="581" w:type="pct"/>
            <w:tcBorders>
              <w:top w:val="nil"/>
              <w:left w:val="nil"/>
              <w:bottom w:val="single" w:sz="4" w:space="0" w:color="auto"/>
              <w:right w:val="single" w:sz="4" w:space="0" w:color="auto"/>
            </w:tcBorders>
            <w:shd w:val="clear" w:color="auto" w:fill="auto"/>
            <w:noWrap/>
            <w:vAlign w:val="bottom"/>
            <w:hideMark/>
          </w:tcPr>
          <w:p w14:paraId="74FD0965" w14:textId="4C0E877B"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hAnsi="Times New Roman" w:cs="Times New Roman"/>
                <w:color w:val="000000"/>
              </w:rPr>
              <w:t>10.00</w:t>
            </w:r>
          </w:p>
        </w:tc>
        <w:tc>
          <w:tcPr>
            <w:tcW w:w="542" w:type="pct"/>
            <w:tcBorders>
              <w:top w:val="nil"/>
              <w:left w:val="nil"/>
              <w:bottom w:val="single" w:sz="4" w:space="0" w:color="auto"/>
              <w:right w:val="single" w:sz="4" w:space="0" w:color="auto"/>
            </w:tcBorders>
            <w:shd w:val="clear" w:color="auto" w:fill="auto"/>
            <w:noWrap/>
            <w:vAlign w:val="bottom"/>
            <w:hideMark/>
          </w:tcPr>
          <w:p w14:paraId="2A5E5790" w14:textId="77777777"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eastAsia="Times New Roman" w:hAnsi="Times New Roman" w:cs="Times New Roman"/>
                <w:color w:val="000000"/>
              </w:rPr>
              <w:t>96</w:t>
            </w:r>
          </w:p>
        </w:tc>
        <w:tc>
          <w:tcPr>
            <w:tcW w:w="575" w:type="pct"/>
            <w:tcBorders>
              <w:top w:val="nil"/>
              <w:left w:val="nil"/>
              <w:bottom w:val="single" w:sz="4" w:space="0" w:color="auto"/>
              <w:right w:val="single" w:sz="4" w:space="0" w:color="auto"/>
            </w:tcBorders>
            <w:shd w:val="clear" w:color="auto" w:fill="auto"/>
            <w:noWrap/>
            <w:vAlign w:val="bottom"/>
            <w:hideMark/>
          </w:tcPr>
          <w:p w14:paraId="0051EA23" w14:textId="2E7036F2"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hAnsi="Times New Roman" w:cs="Times New Roman"/>
                <w:color w:val="000000"/>
              </w:rPr>
              <w:t>3.54</w:t>
            </w:r>
          </w:p>
        </w:tc>
        <w:tc>
          <w:tcPr>
            <w:tcW w:w="554" w:type="pct"/>
            <w:tcBorders>
              <w:top w:val="nil"/>
              <w:left w:val="nil"/>
              <w:bottom w:val="single" w:sz="4" w:space="0" w:color="auto"/>
              <w:right w:val="single" w:sz="4" w:space="0" w:color="auto"/>
            </w:tcBorders>
            <w:shd w:val="clear" w:color="auto" w:fill="auto"/>
            <w:noWrap/>
            <w:vAlign w:val="bottom"/>
            <w:hideMark/>
          </w:tcPr>
          <w:p w14:paraId="618FE461" w14:textId="77777777"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eastAsia="Times New Roman" w:hAnsi="Times New Roman" w:cs="Times New Roman"/>
                <w:color w:val="000000"/>
              </w:rPr>
              <w:t>2.3hrs</w:t>
            </w:r>
          </w:p>
        </w:tc>
        <w:tc>
          <w:tcPr>
            <w:tcW w:w="528" w:type="pct"/>
            <w:tcBorders>
              <w:top w:val="nil"/>
              <w:left w:val="nil"/>
              <w:bottom w:val="single" w:sz="4" w:space="0" w:color="auto"/>
              <w:right w:val="single" w:sz="4" w:space="0" w:color="auto"/>
            </w:tcBorders>
            <w:shd w:val="clear" w:color="auto" w:fill="auto"/>
            <w:noWrap/>
            <w:vAlign w:val="bottom"/>
            <w:hideMark/>
          </w:tcPr>
          <w:p w14:paraId="683948C2" w14:textId="5C1F5904"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hAnsi="Times New Roman" w:cs="Times New Roman"/>
                <w:color w:val="000000"/>
              </w:rPr>
              <w:t>9.98</w:t>
            </w:r>
          </w:p>
        </w:tc>
        <w:tc>
          <w:tcPr>
            <w:tcW w:w="465" w:type="pct"/>
            <w:tcBorders>
              <w:top w:val="nil"/>
              <w:left w:val="nil"/>
              <w:bottom w:val="single" w:sz="4" w:space="0" w:color="auto"/>
              <w:right w:val="single" w:sz="4" w:space="0" w:color="auto"/>
            </w:tcBorders>
            <w:shd w:val="clear" w:color="auto" w:fill="auto"/>
            <w:noWrap/>
            <w:vAlign w:val="bottom"/>
            <w:hideMark/>
          </w:tcPr>
          <w:p w14:paraId="78A93BCD" w14:textId="4D1863BB" w:rsidR="004C5AD7" w:rsidRPr="00955BD5" w:rsidRDefault="00B41D59" w:rsidP="004C5AD7">
            <w:pPr>
              <w:spacing w:after="0" w:line="240" w:lineRule="auto"/>
              <w:jc w:val="center"/>
              <w:rPr>
                <w:rFonts w:ascii="Times New Roman" w:eastAsia="Times New Roman" w:hAnsi="Times New Roman" w:cs="Times New Roman"/>
                <w:color w:val="000000"/>
              </w:rPr>
            </w:pPr>
            <w:r w:rsidRPr="00955BD5">
              <w:rPr>
                <w:rFonts w:ascii="Times New Roman" w:eastAsia="Times New Roman" w:hAnsi="Times New Roman" w:cs="Times New Roman"/>
                <w:color w:val="000000"/>
              </w:rPr>
              <w:t>353</w:t>
            </w:r>
          </w:p>
        </w:tc>
      </w:tr>
      <w:tr w:rsidR="00306E0E" w:rsidRPr="003E3203" w14:paraId="1A6EA33F" w14:textId="77777777" w:rsidTr="00EA2102">
        <w:trPr>
          <w:trHeight w:val="290"/>
          <w:jc w:val="center"/>
        </w:trPr>
        <w:tc>
          <w:tcPr>
            <w:tcW w:w="1130" w:type="pct"/>
            <w:tcBorders>
              <w:top w:val="nil"/>
              <w:left w:val="single" w:sz="4" w:space="0" w:color="auto"/>
              <w:bottom w:val="single" w:sz="4" w:space="0" w:color="auto"/>
              <w:right w:val="single" w:sz="4" w:space="0" w:color="auto"/>
            </w:tcBorders>
            <w:shd w:val="clear" w:color="auto" w:fill="auto"/>
            <w:noWrap/>
            <w:vAlign w:val="bottom"/>
            <w:hideMark/>
          </w:tcPr>
          <w:p w14:paraId="26F849EE" w14:textId="77777777" w:rsidR="004C5AD7" w:rsidRPr="00863FBC" w:rsidRDefault="004C5AD7" w:rsidP="004C5AD7">
            <w:pPr>
              <w:spacing w:after="0" w:line="240" w:lineRule="auto"/>
              <w:rPr>
                <w:rFonts w:ascii="Times New Roman" w:eastAsia="Times New Roman" w:hAnsi="Times New Roman" w:cs="Times New Roman"/>
                <w:color w:val="000000"/>
              </w:rPr>
            </w:pPr>
            <w:r w:rsidRPr="00863FBC">
              <w:rPr>
                <w:rFonts w:ascii="Times New Roman" w:eastAsia="Times New Roman" w:hAnsi="Times New Roman" w:cs="Times New Roman"/>
                <w:color w:val="000000"/>
              </w:rPr>
              <w:t>Flare Unlit/Malfunction</w:t>
            </w:r>
          </w:p>
        </w:tc>
        <w:tc>
          <w:tcPr>
            <w:tcW w:w="625" w:type="pct"/>
            <w:tcBorders>
              <w:top w:val="nil"/>
              <w:left w:val="nil"/>
              <w:bottom w:val="single" w:sz="4" w:space="0" w:color="auto"/>
              <w:right w:val="single" w:sz="4" w:space="0" w:color="auto"/>
            </w:tcBorders>
            <w:shd w:val="clear" w:color="auto" w:fill="auto"/>
            <w:noWrap/>
            <w:vAlign w:val="bottom"/>
            <w:hideMark/>
          </w:tcPr>
          <w:p w14:paraId="1E38E3EA" w14:textId="6D5EAABB"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eastAsia="Times New Roman" w:hAnsi="Times New Roman" w:cs="Times New Roman"/>
                <w:color w:val="000000"/>
              </w:rPr>
              <w:t>32.2</w:t>
            </w:r>
            <w:r w:rsidR="00955BD5">
              <w:rPr>
                <w:rFonts w:ascii="Times New Roman" w:eastAsia="Times New Roman" w:hAnsi="Times New Roman" w:cs="Times New Roman"/>
                <w:color w:val="000000"/>
              </w:rPr>
              <w:t>4</w:t>
            </w:r>
          </w:p>
        </w:tc>
        <w:tc>
          <w:tcPr>
            <w:tcW w:w="581" w:type="pct"/>
            <w:tcBorders>
              <w:top w:val="nil"/>
              <w:left w:val="nil"/>
              <w:bottom w:val="single" w:sz="4" w:space="0" w:color="auto"/>
              <w:right w:val="single" w:sz="4" w:space="0" w:color="auto"/>
            </w:tcBorders>
            <w:shd w:val="clear" w:color="auto" w:fill="auto"/>
            <w:noWrap/>
            <w:vAlign w:val="bottom"/>
            <w:hideMark/>
          </w:tcPr>
          <w:p w14:paraId="078C412F" w14:textId="4241645F"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hAnsi="Times New Roman" w:cs="Times New Roman"/>
                <w:color w:val="000000"/>
              </w:rPr>
              <w:t>4.29</w:t>
            </w:r>
          </w:p>
        </w:tc>
        <w:tc>
          <w:tcPr>
            <w:tcW w:w="542" w:type="pct"/>
            <w:tcBorders>
              <w:top w:val="nil"/>
              <w:left w:val="nil"/>
              <w:bottom w:val="single" w:sz="4" w:space="0" w:color="auto"/>
              <w:right w:val="single" w:sz="4" w:space="0" w:color="auto"/>
            </w:tcBorders>
            <w:shd w:val="clear" w:color="auto" w:fill="auto"/>
            <w:noWrap/>
            <w:vAlign w:val="bottom"/>
            <w:hideMark/>
          </w:tcPr>
          <w:p w14:paraId="2AAD4BE4" w14:textId="77777777"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eastAsia="Times New Roman" w:hAnsi="Times New Roman" w:cs="Times New Roman"/>
                <w:color w:val="000000"/>
              </w:rPr>
              <w:t>108</w:t>
            </w:r>
          </w:p>
        </w:tc>
        <w:tc>
          <w:tcPr>
            <w:tcW w:w="575" w:type="pct"/>
            <w:tcBorders>
              <w:top w:val="nil"/>
              <w:left w:val="nil"/>
              <w:bottom w:val="single" w:sz="4" w:space="0" w:color="auto"/>
              <w:right w:val="single" w:sz="4" w:space="0" w:color="auto"/>
            </w:tcBorders>
            <w:shd w:val="clear" w:color="auto" w:fill="auto"/>
            <w:noWrap/>
            <w:vAlign w:val="bottom"/>
            <w:hideMark/>
          </w:tcPr>
          <w:p w14:paraId="55453CEC" w14:textId="5BE36855"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hAnsi="Times New Roman" w:cs="Times New Roman"/>
                <w:color w:val="000000"/>
              </w:rPr>
              <w:t>3.88</w:t>
            </w:r>
          </w:p>
        </w:tc>
        <w:tc>
          <w:tcPr>
            <w:tcW w:w="554" w:type="pct"/>
            <w:tcBorders>
              <w:top w:val="nil"/>
              <w:left w:val="nil"/>
              <w:bottom w:val="single" w:sz="4" w:space="0" w:color="auto"/>
              <w:right w:val="single" w:sz="4" w:space="0" w:color="auto"/>
            </w:tcBorders>
            <w:shd w:val="clear" w:color="auto" w:fill="auto"/>
            <w:noWrap/>
            <w:vAlign w:val="bottom"/>
            <w:hideMark/>
          </w:tcPr>
          <w:p w14:paraId="5C3F146E" w14:textId="77777777"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eastAsia="Times New Roman" w:hAnsi="Times New Roman" w:cs="Times New Roman"/>
                <w:color w:val="000000"/>
              </w:rPr>
              <w:t>4 days</w:t>
            </w:r>
          </w:p>
        </w:tc>
        <w:tc>
          <w:tcPr>
            <w:tcW w:w="528" w:type="pct"/>
            <w:tcBorders>
              <w:top w:val="nil"/>
              <w:left w:val="nil"/>
              <w:bottom w:val="single" w:sz="4" w:space="0" w:color="auto"/>
              <w:right w:val="single" w:sz="4" w:space="0" w:color="auto"/>
            </w:tcBorders>
            <w:shd w:val="clear" w:color="auto" w:fill="auto"/>
            <w:noWrap/>
            <w:vAlign w:val="bottom"/>
            <w:hideMark/>
          </w:tcPr>
          <w:p w14:paraId="7AFFB2F9" w14:textId="4E927497"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hAnsi="Times New Roman" w:cs="Times New Roman"/>
                <w:color w:val="000000"/>
              </w:rPr>
              <w:t>8.51</w:t>
            </w:r>
          </w:p>
        </w:tc>
        <w:tc>
          <w:tcPr>
            <w:tcW w:w="465" w:type="pct"/>
            <w:tcBorders>
              <w:top w:val="nil"/>
              <w:left w:val="nil"/>
              <w:bottom w:val="single" w:sz="4" w:space="0" w:color="auto"/>
              <w:right w:val="single" w:sz="4" w:space="0" w:color="auto"/>
            </w:tcBorders>
            <w:shd w:val="clear" w:color="auto" w:fill="auto"/>
            <w:noWrap/>
            <w:vAlign w:val="bottom"/>
            <w:hideMark/>
          </w:tcPr>
          <w:p w14:paraId="3E81F3B1" w14:textId="4DC4DF4B" w:rsidR="004C5AD7" w:rsidRPr="00955BD5" w:rsidRDefault="00B41D59" w:rsidP="004C5AD7">
            <w:pPr>
              <w:spacing w:after="0" w:line="240" w:lineRule="auto"/>
              <w:jc w:val="center"/>
              <w:rPr>
                <w:rFonts w:ascii="Times New Roman" w:eastAsia="Times New Roman" w:hAnsi="Times New Roman" w:cs="Times New Roman"/>
                <w:color w:val="000000"/>
              </w:rPr>
            </w:pPr>
            <w:r w:rsidRPr="00955BD5">
              <w:rPr>
                <w:rFonts w:ascii="Times New Roman" w:eastAsia="Times New Roman" w:hAnsi="Times New Roman" w:cs="Times New Roman"/>
                <w:color w:val="000000"/>
              </w:rPr>
              <w:t>142</w:t>
            </w:r>
          </w:p>
        </w:tc>
      </w:tr>
      <w:tr w:rsidR="00306E0E" w:rsidRPr="003E3203" w14:paraId="0E49C889" w14:textId="77777777" w:rsidTr="00EA2102">
        <w:trPr>
          <w:trHeight w:val="290"/>
          <w:jc w:val="center"/>
        </w:trPr>
        <w:tc>
          <w:tcPr>
            <w:tcW w:w="1130" w:type="pct"/>
            <w:tcBorders>
              <w:top w:val="nil"/>
              <w:left w:val="single" w:sz="4" w:space="0" w:color="auto"/>
              <w:bottom w:val="single" w:sz="4" w:space="0" w:color="auto"/>
              <w:right w:val="single" w:sz="4" w:space="0" w:color="auto"/>
            </w:tcBorders>
            <w:shd w:val="clear" w:color="auto" w:fill="auto"/>
            <w:noWrap/>
            <w:vAlign w:val="bottom"/>
            <w:hideMark/>
          </w:tcPr>
          <w:p w14:paraId="2179687A" w14:textId="77777777" w:rsidR="004C5AD7" w:rsidRPr="00863FBC" w:rsidRDefault="004C5AD7" w:rsidP="004C5AD7">
            <w:pPr>
              <w:spacing w:after="0" w:line="240" w:lineRule="auto"/>
              <w:rPr>
                <w:rFonts w:ascii="Times New Roman" w:eastAsia="Times New Roman" w:hAnsi="Times New Roman" w:cs="Times New Roman"/>
                <w:color w:val="000000"/>
              </w:rPr>
            </w:pPr>
            <w:r w:rsidRPr="00863FBC">
              <w:rPr>
                <w:rFonts w:ascii="Times New Roman" w:eastAsia="Times New Roman" w:hAnsi="Times New Roman" w:cs="Times New Roman"/>
                <w:color w:val="000000"/>
              </w:rPr>
              <w:t>Heater Unlit/Malfunction</w:t>
            </w:r>
          </w:p>
        </w:tc>
        <w:tc>
          <w:tcPr>
            <w:tcW w:w="625" w:type="pct"/>
            <w:tcBorders>
              <w:top w:val="nil"/>
              <w:left w:val="nil"/>
              <w:bottom w:val="single" w:sz="4" w:space="0" w:color="auto"/>
              <w:right w:val="single" w:sz="4" w:space="0" w:color="auto"/>
            </w:tcBorders>
            <w:shd w:val="clear" w:color="auto" w:fill="auto"/>
            <w:noWrap/>
            <w:vAlign w:val="bottom"/>
            <w:hideMark/>
          </w:tcPr>
          <w:p w14:paraId="49A9D9D3" w14:textId="63C8C4EA"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eastAsia="Times New Roman" w:hAnsi="Times New Roman" w:cs="Times New Roman"/>
                <w:color w:val="000000"/>
              </w:rPr>
              <w:t>33.62</w:t>
            </w:r>
          </w:p>
        </w:tc>
        <w:tc>
          <w:tcPr>
            <w:tcW w:w="581" w:type="pct"/>
            <w:tcBorders>
              <w:top w:val="nil"/>
              <w:left w:val="nil"/>
              <w:bottom w:val="single" w:sz="4" w:space="0" w:color="auto"/>
              <w:right w:val="single" w:sz="4" w:space="0" w:color="auto"/>
            </w:tcBorders>
            <w:shd w:val="clear" w:color="auto" w:fill="auto"/>
            <w:noWrap/>
            <w:vAlign w:val="bottom"/>
            <w:hideMark/>
          </w:tcPr>
          <w:p w14:paraId="141654C3" w14:textId="6201C920"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hAnsi="Times New Roman" w:cs="Times New Roman"/>
                <w:color w:val="000000"/>
              </w:rPr>
              <w:t>4.50</w:t>
            </w:r>
          </w:p>
        </w:tc>
        <w:tc>
          <w:tcPr>
            <w:tcW w:w="542" w:type="pct"/>
            <w:tcBorders>
              <w:top w:val="nil"/>
              <w:left w:val="nil"/>
              <w:bottom w:val="single" w:sz="4" w:space="0" w:color="auto"/>
              <w:right w:val="single" w:sz="4" w:space="0" w:color="auto"/>
            </w:tcBorders>
            <w:shd w:val="clear" w:color="auto" w:fill="auto"/>
            <w:noWrap/>
            <w:vAlign w:val="bottom"/>
            <w:hideMark/>
          </w:tcPr>
          <w:p w14:paraId="37BE7FE7" w14:textId="77777777"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eastAsia="Times New Roman" w:hAnsi="Times New Roman" w:cs="Times New Roman"/>
                <w:color w:val="000000"/>
              </w:rPr>
              <w:t>6</w:t>
            </w:r>
          </w:p>
        </w:tc>
        <w:tc>
          <w:tcPr>
            <w:tcW w:w="575" w:type="pct"/>
            <w:tcBorders>
              <w:top w:val="nil"/>
              <w:left w:val="nil"/>
              <w:bottom w:val="single" w:sz="4" w:space="0" w:color="auto"/>
              <w:right w:val="single" w:sz="4" w:space="0" w:color="auto"/>
            </w:tcBorders>
            <w:shd w:val="clear" w:color="auto" w:fill="auto"/>
            <w:noWrap/>
            <w:vAlign w:val="bottom"/>
            <w:hideMark/>
          </w:tcPr>
          <w:p w14:paraId="223D8A33" w14:textId="604BF32E"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hAnsi="Times New Roman" w:cs="Times New Roman"/>
                <w:color w:val="000000"/>
              </w:rPr>
              <w:t>1.00</w:t>
            </w:r>
          </w:p>
        </w:tc>
        <w:tc>
          <w:tcPr>
            <w:tcW w:w="554" w:type="pct"/>
            <w:tcBorders>
              <w:top w:val="nil"/>
              <w:left w:val="nil"/>
              <w:bottom w:val="single" w:sz="4" w:space="0" w:color="auto"/>
              <w:right w:val="single" w:sz="4" w:space="0" w:color="auto"/>
            </w:tcBorders>
            <w:shd w:val="clear" w:color="auto" w:fill="auto"/>
            <w:noWrap/>
            <w:vAlign w:val="bottom"/>
            <w:hideMark/>
          </w:tcPr>
          <w:p w14:paraId="2DEB92BB" w14:textId="77777777"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eastAsia="Times New Roman" w:hAnsi="Times New Roman" w:cs="Times New Roman"/>
                <w:color w:val="000000"/>
              </w:rPr>
              <w:t>2 days</w:t>
            </w:r>
          </w:p>
        </w:tc>
        <w:tc>
          <w:tcPr>
            <w:tcW w:w="528" w:type="pct"/>
            <w:tcBorders>
              <w:top w:val="nil"/>
              <w:left w:val="nil"/>
              <w:bottom w:val="single" w:sz="4" w:space="0" w:color="auto"/>
              <w:right w:val="single" w:sz="4" w:space="0" w:color="auto"/>
            </w:tcBorders>
            <w:shd w:val="clear" w:color="auto" w:fill="auto"/>
            <w:noWrap/>
            <w:vAlign w:val="bottom"/>
            <w:hideMark/>
          </w:tcPr>
          <w:p w14:paraId="4168DF5C" w14:textId="181860B8" w:rsidR="004C5AD7" w:rsidRPr="00955BD5" w:rsidRDefault="004C5AD7" w:rsidP="004C5AD7">
            <w:pPr>
              <w:spacing w:after="0" w:line="240" w:lineRule="auto"/>
              <w:jc w:val="center"/>
              <w:rPr>
                <w:rFonts w:ascii="Times New Roman" w:eastAsia="Times New Roman" w:hAnsi="Times New Roman" w:cs="Times New Roman"/>
                <w:color w:val="000000"/>
              </w:rPr>
            </w:pPr>
            <w:r w:rsidRPr="00955BD5">
              <w:rPr>
                <w:rFonts w:ascii="Times New Roman" w:hAnsi="Times New Roman" w:cs="Times New Roman"/>
                <w:color w:val="000000"/>
              </w:rPr>
              <w:t>9.26</w:t>
            </w:r>
          </w:p>
        </w:tc>
        <w:tc>
          <w:tcPr>
            <w:tcW w:w="465" w:type="pct"/>
            <w:tcBorders>
              <w:top w:val="nil"/>
              <w:left w:val="nil"/>
              <w:bottom w:val="single" w:sz="4" w:space="0" w:color="auto"/>
              <w:right w:val="single" w:sz="4" w:space="0" w:color="auto"/>
            </w:tcBorders>
            <w:shd w:val="clear" w:color="auto" w:fill="auto"/>
            <w:noWrap/>
            <w:vAlign w:val="bottom"/>
            <w:hideMark/>
          </w:tcPr>
          <w:p w14:paraId="6F4D9493" w14:textId="3D8167D4" w:rsidR="004C5AD7" w:rsidRPr="00955BD5" w:rsidRDefault="00B41D59" w:rsidP="004C5AD7">
            <w:pPr>
              <w:spacing w:after="0" w:line="240" w:lineRule="auto"/>
              <w:jc w:val="center"/>
              <w:rPr>
                <w:rFonts w:ascii="Times New Roman" w:eastAsia="Times New Roman" w:hAnsi="Times New Roman" w:cs="Times New Roman"/>
                <w:color w:val="000000"/>
              </w:rPr>
            </w:pPr>
            <w:r w:rsidRPr="00955BD5">
              <w:rPr>
                <w:rFonts w:ascii="Times New Roman" w:eastAsia="Times New Roman" w:hAnsi="Times New Roman" w:cs="Times New Roman"/>
                <w:color w:val="000000"/>
              </w:rPr>
              <w:t>42</w:t>
            </w:r>
          </w:p>
        </w:tc>
      </w:tr>
    </w:tbl>
    <w:p w14:paraId="279DEA75" w14:textId="14CE8EA4" w:rsidR="00624B1B" w:rsidRPr="003E3203" w:rsidRDefault="00624B1B" w:rsidP="004A1979">
      <w:pPr>
        <w:spacing w:line="480" w:lineRule="auto"/>
        <w:jc w:val="center"/>
        <w:rPr>
          <w:rFonts w:ascii="Times New Roman" w:eastAsia="DengXian" w:hAnsi="Times New Roman" w:cs="Times New Roman"/>
          <w:sz w:val="24"/>
          <w:szCs w:val="24"/>
        </w:rPr>
      </w:pPr>
    </w:p>
    <w:p w14:paraId="2CB812B9" w14:textId="77777777" w:rsidR="00306E0E" w:rsidRDefault="00306E0E" w:rsidP="00306E0E">
      <w:pPr>
        <w:spacing w:line="259" w:lineRule="auto"/>
        <w:rPr>
          <w:rFonts w:ascii="Times New Roman" w:eastAsia="DengXian" w:hAnsi="Times New Roman" w:cs="Times New Roman"/>
          <w:sz w:val="24"/>
          <w:szCs w:val="24"/>
        </w:rPr>
      </w:pPr>
    </w:p>
    <w:p w14:paraId="69B9BD37" w14:textId="77777777" w:rsidR="00306E0E" w:rsidRDefault="00306E0E" w:rsidP="00306E0E">
      <w:pPr>
        <w:spacing w:line="259" w:lineRule="auto"/>
        <w:rPr>
          <w:rFonts w:ascii="Times New Roman" w:eastAsia="DengXian" w:hAnsi="Times New Roman" w:cs="Times New Roman"/>
          <w:sz w:val="24"/>
          <w:szCs w:val="24"/>
        </w:rPr>
      </w:pPr>
    </w:p>
    <w:p w14:paraId="3F5AE7E0" w14:textId="77777777" w:rsidR="00306E0E" w:rsidRDefault="00306E0E" w:rsidP="00306E0E">
      <w:pPr>
        <w:spacing w:line="259" w:lineRule="auto"/>
        <w:rPr>
          <w:rFonts w:ascii="Times New Roman" w:eastAsia="DengXian" w:hAnsi="Times New Roman" w:cs="Times New Roman"/>
          <w:sz w:val="24"/>
          <w:szCs w:val="24"/>
        </w:rPr>
      </w:pPr>
    </w:p>
    <w:p w14:paraId="134B2752" w14:textId="77777777" w:rsidR="00306E0E" w:rsidRDefault="00306E0E" w:rsidP="00306E0E">
      <w:pPr>
        <w:spacing w:line="259" w:lineRule="auto"/>
        <w:rPr>
          <w:rFonts w:ascii="Times New Roman" w:eastAsia="DengXian" w:hAnsi="Times New Roman" w:cs="Times New Roman"/>
          <w:sz w:val="24"/>
          <w:szCs w:val="24"/>
        </w:rPr>
      </w:pPr>
    </w:p>
    <w:p w14:paraId="0A685227" w14:textId="77777777" w:rsidR="00306E0E" w:rsidRDefault="00306E0E" w:rsidP="00306E0E">
      <w:pPr>
        <w:spacing w:line="259" w:lineRule="auto"/>
        <w:rPr>
          <w:rFonts w:ascii="Times New Roman" w:eastAsia="DengXian" w:hAnsi="Times New Roman" w:cs="Times New Roman"/>
          <w:sz w:val="24"/>
          <w:szCs w:val="24"/>
        </w:rPr>
      </w:pPr>
    </w:p>
    <w:p w14:paraId="11AE38D4" w14:textId="77777777" w:rsidR="00306E0E" w:rsidRDefault="00306E0E" w:rsidP="00306E0E">
      <w:pPr>
        <w:spacing w:line="259" w:lineRule="auto"/>
        <w:rPr>
          <w:rFonts w:ascii="Times New Roman" w:eastAsia="DengXian" w:hAnsi="Times New Roman" w:cs="Times New Roman"/>
          <w:sz w:val="24"/>
          <w:szCs w:val="24"/>
        </w:rPr>
      </w:pPr>
    </w:p>
    <w:p w14:paraId="6066BED8" w14:textId="77777777" w:rsidR="00306E0E" w:rsidRDefault="00306E0E" w:rsidP="00306E0E">
      <w:pPr>
        <w:spacing w:line="259" w:lineRule="auto"/>
        <w:rPr>
          <w:rFonts w:ascii="Times New Roman" w:eastAsia="DengXian" w:hAnsi="Times New Roman" w:cs="Times New Roman"/>
          <w:sz w:val="24"/>
          <w:szCs w:val="24"/>
        </w:rPr>
      </w:pPr>
    </w:p>
    <w:p w14:paraId="01286773" w14:textId="77777777" w:rsidR="00306E0E" w:rsidRDefault="00306E0E" w:rsidP="00306E0E">
      <w:pPr>
        <w:spacing w:line="259" w:lineRule="auto"/>
        <w:rPr>
          <w:rFonts w:ascii="Times New Roman" w:eastAsia="DengXian" w:hAnsi="Times New Roman" w:cs="Times New Roman"/>
          <w:sz w:val="24"/>
          <w:szCs w:val="24"/>
        </w:rPr>
      </w:pPr>
    </w:p>
    <w:p w14:paraId="00D59E2D" w14:textId="77777777" w:rsidR="00306E0E" w:rsidRDefault="00306E0E" w:rsidP="00306E0E">
      <w:pPr>
        <w:spacing w:line="259" w:lineRule="auto"/>
        <w:rPr>
          <w:rFonts w:ascii="Times New Roman" w:eastAsia="DengXian" w:hAnsi="Times New Roman" w:cs="Times New Roman"/>
          <w:sz w:val="24"/>
          <w:szCs w:val="24"/>
        </w:rPr>
        <w:sectPr w:rsidR="00306E0E" w:rsidSect="00202A9E">
          <w:type w:val="continuous"/>
          <w:pgSz w:w="15840" w:h="12240" w:orient="landscape"/>
          <w:pgMar w:top="1440" w:right="1440" w:bottom="1440" w:left="1440" w:header="720" w:footer="720" w:gutter="0"/>
          <w:lnNumType w:countBy="1" w:restart="continuous"/>
          <w:cols w:space="720"/>
          <w:docGrid w:linePitch="360"/>
        </w:sectPr>
      </w:pPr>
    </w:p>
    <w:p w14:paraId="7E15B083" w14:textId="35C148C9" w:rsidR="00732E14" w:rsidRDefault="003C37B5" w:rsidP="00EA2102">
      <w:pPr>
        <w:spacing w:line="480" w:lineRule="auto"/>
        <w:jc w:val="both"/>
        <w:rPr>
          <w:rFonts w:ascii="Times New Roman" w:eastAsia="DengXian" w:hAnsi="Times New Roman" w:cs="Times New Roman"/>
          <w:sz w:val="24"/>
          <w:szCs w:val="24"/>
        </w:rPr>
      </w:pPr>
      <w:r w:rsidRPr="003C37B5">
        <w:rPr>
          <w:rFonts w:ascii="Times New Roman" w:eastAsia="DengXian" w:hAnsi="Times New Roman" w:cs="Times New Roman"/>
          <w:sz w:val="24"/>
          <w:szCs w:val="24"/>
        </w:rPr>
        <w:lastRenderedPageBreak/>
        <w:t xml:space="preserve">Given that the RPN is calculated as the product of severity (S), occurrence (O), and detection (D), and each component is scored on a scale from 1 to 10, the theoretical RPN range spans from 1 </w:t>
      </w:r>
      <w:r w:rsidR="00414D5E">
        <w:rPr>
          <w:rFonts w:ascii="Times New Roman" w:eastAsia="DengXian" w:hAnsi="Times New Roman" w:cs="Times New Roman"/>
          <w:sz w:val="24"/>
          <w:szCs w:val="24"/>
        </w:rPr>
        <w:t xml:space="preserve">for </w:t>
      </w:r>
      <w:r w:rsidRPr="003C37B5">
        <w:rPr>
          <w:rFonts w:ascii="Times New Roman" w:eastAsia="DengXian" w:hAnsi="Times New Roman" w:cs="Times New Roman"/>
          <w:sz w:val="24"/>
          <w:szCs w:val="24"/>
        </w:rPr>
        <w:t xml:space="preserve">least critical to 1000 </w:t>
      </w:r>
      <w:r w:rsidR="00414D5E">
        <w:rPr>
          <w:rFonts w:ascii="Times New Roman" w:eastAsia="DengXian" w:hAnsi="Times New Roman" w:cs="Times New Roman"/>
          <w:sz w:val="24"/>
          <w:szCs w:val="24"/>
        </w:rPr>
        <w:t xml:space="preserve">for the </w:t>
      </w:r>
      <w:r w:rsidRPr="003C37B5">
        <w:rPr>
          <w:rFonts w:ascii="Times New Roman" w:eastAsia="DengXian" w:hAnsi="Times New Roman" w:cs="Times New Roman"/>
          <w:sz w:val="24"/>
          <w:szCs w:val="24"/>
        </w:rPr>
        <w:t xml:space="preserve">most critical. </w:t>
      </w:r>
      <w:r w:rsidR="006D111A" w:rsidRPr="003C37B5">
        <w:rPr>
          <w:rFonts w:ascii="Times New Roman" w:eastAsia="DengXian" w:hAnsi="Times New Roman" w:cs="Times New Roman"/>
          <w:sz w:val="24"/>
          <w:szCs w:val="24"/>
        </w:rPr>
        <w:t>In this study, the observed RPN values ranged from 2 to 487, reflecting the relative composite impact of each failure mode within the study context</w:t>
      </w:r>
      <w:r w:rsidR="006D111A">
        <w:rPr>
          <w:rFonts w:ascii="Times New Roman" w:eastAsia="DengXian" w:hAnsi="Times New Roman" w:cs="Times New Roman"/>
          <w:sz w:val="24"/>
          <w:szCs w:val="24"/>
        </w:rPr>
        <w:t>.</w:t>
      </w:r>
      <w:r>
        <w:rPr>
          <w:rFonts w:ascii="Times New Roman" w:eastAsia="DengXian" w:hAnsi="Times New Roman" w:cs="Times New Roman"/>
          <w:sz w:val="24"/>
          <w:szCs w:val="24"/>
        </w:rPr>
        <w:t xml:space="preserve"> </w:t>
      </w:r>
      <w:r w:rsidR="00C65EBF" w:rsidRPr="00C65EBF">
        <w:rPr>
          <w:rFonts w:ascii="Times New Roman" w:eastAsia="DengXian" w:hAnsi="Times New Roman" w:cs="Times New Roman"/>
          <w:sz w:val="24"/>
          <w:szCs w:val="24"/>
        </w:rPr>
        <w:t xml:space="preserve">It is important to note that our FMEA's Detection score was developed from the perspective of identifying risk within an intermittent, survey-based monitoring framework. </w:t>
      </w:r>
      <w:r w:rsidR="006D111A" w:rsidRPr="00C65EBF">
        <w:rPr>
          <w:rFonts w:ascii="Times New Roman" w:eastAsia="DengXian" w:hAnsi="Times New Roman" w:cs="Times New Roman"/>
          <w:sz w:val="24"/>
          <w:szCs w:val="24"/>
        </w:rPr>
        <w:t xml:space="preserve">An alternative formulation designed specifically for other goals, such as guiding operational repair prioritization, </w:t>
      </w:r>
      <w:r w:rsidR="006D111A">
        <w:rPr>
          <w:rFonts w:ascii="Times New Roman" w:eastAsia="DengXian" w:hAnsi="Times New Roman" w:cs="Times New Roman"/>
          <w:sz w:val="24"/>
          <w:szCs w:val="24"/>
        </w:rPr>
        <w:t>may</w:t>
      </w:r>
      <w:r w:rsidR="006D111A" w:rsidRPr="00C65EBF">
        <w:rPr>
          <w:rFonts w:ascii="Times New Roman" w:eastAsia="DengXian" w:hAnsi="Times New Roman" w:cs="Times New Roman"/>
          <w:sz w:val="24"/>
          <w:szCs w:val="24"/>
        </w:rPr>
        <w:t xml:space="preserve"> adopt a different metric, such as a cumulative emissions score, to directly reflect long-duration, high-impact sources.</w:t>
      </w:r>
    </w:p>
    <w:p w14:paraId="24440BBB" w14:textId="77777777" w:rsidR="00E006A5" w:rsidRDefault="00E006A5" w:rsidP="008733E6">
      <w:pPr>
        <w:spacing w:line="480" w:lineRule="auto"/>
        <w:jc w:val="both"/>
        <w:rPr>
          <w:rFonts w:ascii="Times New Roman" w:eastAsia="DengXian" w:hAnsi="Times New Roman" w:cs="Times New Roman"/>
          <w:sz w:val="24"/>
          <w:szCs w:val="24"/>
        </w:rPr>
      </w:pPr>
    </w:p>
    <w:p w14:paraId="60687B7A" w14:textId="08138EA2" w:rsidR="004A661D" w:rsidRPr="00F9010C" w:rsidRDefault="00CE1503" w:rsidP="004A661D">
      <w:pPr>
        <w:spacing w:line="480" w:lineRule="auto"/>
        <w:jc w:val="both"/>
        <w:rPr>
          <w:rFonts w:ascii="Times New Roman" w:eastAsia="DengXian" w:hAnsi="Times New Roman" w:cs="Times New Roman"/>
          <w:b/>
          <w:bCs/>
          <w:sz w:val="24"/>
          <w:szCs w:val="24"/>
        </w:rPr>
      </w:pPr>
      <w:r>
        <w:rPr>
          <w:rFonts w:ascii="Times New Roman" w:eastAsia="DengXian" w:hAnsi="Times New Roman" w:cs="Times New Roman"/>
          <w:b/>
          <w:bCs/>
          <w:sz w:val="24"/>
          <w:szCs w:val="24"/>
        </w:rPr>
        <w:t xml:space="preserve">Supplementary Note </w:t>
      </w:r>
      <w:r w:rsidR="004A661D">
        <w:rPr>
          <w:rFonts w:ascii="Times New Roman" w:eastAsia="DengXian" w:hAnsi="Times New Roman" w:cs="Times New Roman"/>
          <w:b/>
          <w:bCs/>
          <w:sz w:val="24"/>
          <w:szCs w:val="24"/>
        </w:rPr>
        <w:t>S3</w:t>
      </w:r>
      <w:r>
        <w:rPr>
          <w:rFonts w:ascii="Times New Roman" w:eastAsia="DengXian" w:hAnsi="Times New Roman" w:cs="Times New Roman"/>
          <w:b/>
          <w:bCs/>
          <w:sz w:val="24"/>
          <w:szCs w:val="24"/>
        </w:rPr>
        <w:t>.</w:t>
      </w:r>
      <w:r w:rsidR="004A661D">
        <w:rPr>
          <w:rFonts w:ascii="Times New Roman" w:eastAsia="DengXian" w:hAnsi="Times New Roman" w:cs="Times New Roman"/>
          <w:b/>
          <w:bCs/>
          <w:sz w:val="24"/>
          <w:szCs w:val="24"/>
        </w:rPr>
        <w:t xml:space="preserve"> </w:t>
      </w:r>
      <w:r w:rsidR="004A661D" w:rsidRPr="00D3671A">
        <w:rPr>
          <w:rFonts w:ascii="Times New Roman" w:eastAsia="DengXian" w:hAnsi="Times New Roman" w:cs="Times New Roman"/>
          <w:b/>
          <w:bCs/>
          <w:sz w:val="24"/>
          <w:szCs w:val="24"/>
        </w:rPr>
        <w:t>F</w:t>
      </w:r>
      <w:r w:rsidR="004A661D">
        <w:rPr>
          <w:rFonts w:ascii="Times New Roman" w:eastAsia="DengXian" w:hAnsi="Times New Roman" w:cs="Times New Roman"/>
          <w:b/>
          <w:bCs/>
          <w:sz w:val="24"/>
          <w:szCs w:val="24"/>
        </w:rPr>
        <w:t>ault Tree Analysis (FTA)</w:t>
      </w:r>
    </w:p>
    <w:p w14:paraId="30BB9A83" w14:textId="7881EE28" w:rsidR="00EA2102" w:rsidRDefault="006D111A" w:rsidP="008733E6">
      <w:pPr>
        <w:spacing w:line="480" w:lineRule="auto"/>
        <w:jc w:val="both"/>
        <w:rPr>
          <w:rFonts w:ascii="Times New Roman" w:eastAsia="DengXian" w:hAnsi="Times New Roman" w:cs="Times New Roman"/>
          <w:sz w:val="24"/>
          <w:szCs w:val="24"/>
        </w:rPr>
        <w:sectPr w:rsidR="00EA2102" w:rsidSect="00202A9E">
          <w:type w:val="continuous"/>
          <w:pgSz w:w="12240" w:h="15840"/>
          <w:pgMar w:top="1440" w:right="1440" w:bottom="1440" w:left="1440" w:header="720" w:footer="720" w:gutter="0"/>
          <w:lnNumType w:countBy="1" w:restart="continuous"/>
          <w:cols w:space="720"/>
          <w:docGrid w:linePitch="360"/>
        </w:sectPr>
      </w:pPr>
      <w:r w:rsidRPr="00202A9E">
        <w:rPr>
          <w:rFonts w:ascii="Times New Roman" w:eastAsia="DengXian" w:hAnsi="Times New Roman" w:cs="Times New Roman"/>
          <w:sz w:val="24"/>
          <w:szCs w:val="24"/>
        </w:rPr>
        <w:t xml:space="preserve">This section provides </w:t>
      </w:r>
      <w:r w:rsidRPr="00C20868">
        <w:rPr>
          <w:rFonts w:ascii="Times New Roman" w:eastAsia="DengXian" w:hAnsi="Times New Roman" w:cs="Times New Roman"/>
          <w:sz w:val="24"/>
          <w:szCs w:val="24"/>
        </w:rPr>
        <w:t>the detailed</w:t>
      </w:r>
      <w:r w:rsidRPr="00202A9E">
        <w:rPr>
          <w:rFonts w:ascii="Times New Roman" w:eastAsia="DengXian" w:hAnsi="Times New Roman" w:cs="Times New Roman"/>
          <w:sz w:val="24"/>
          <w:szCs w:val="24"/>
        </w:rPr>
        <w:t xml:space="preserve"> structure and input data for the </w:t>
      </w:r>
      <w:r w:rsidRPr="00C20868">
        <w:rPr>
          <w:rFonts w:ascii="Times New Roman" w:eastAsia="DengXian" w:hAnsi="Times New Roman" w:cs="Times New Roman"/>
          <w:sz w:val="24"/>
          <w:szCs w:val="24"/>
        </w:rPr>
        <w:t>FTA</w:t>
      </w:r>
      <w:r w:rsidRPr="00202A9E">
        <w:rPr>
          <w:rFonts w:ascii="Times New Roman" w:eastAsia="DengXian" w:hAnsi="Times New Roman" w:cs="Times New Roman"/>
          <w:sz w:val="24"/>
          <w:szCs w:val="24"/>
        </w:rPr>
        <w:t xml:space="preserve"> used to quantitatively assess the annual probability of methane emission events from key causal categories.</w:t>
      </w:r>
      <w:r w:rsidR="00E94592" w:rsidRPr="00202A9E">
        <w:rPr>
          <w:rFonts w:ascii="Times New Roman" w:eastAsia="DengXian" w:hAnsi="Times New Roman" w:cs="Times New Roman"/>
          <w:sz w:val="24"/>
          <w:szCs w:val="24"/>
        </w:rPr>
        <w:t xml:space="preserve"> </w:t>
      </w:r>
      <w:r w:rsidR="002D2A46" w:rsidRPr="00202A9E">
        <w:rPr>
          <w:rFonts w:ascii="Times New Roman" w:eastAsia="Times New Roman" w:hAnsi="Times New Roman" w:cs="Times New Roman"/>
          <w:color w:val="000000"/>
          <w:sz w:val="24"/>
          <w:szCs w:val="24"/>
          <w:lang w:eastAsia="en-US"/>
        </w:rPr>
        <w:t>Supplementary</w:t>
      </w:r>
      <w:r w:rsidR="002D2A46" w:rsidRPr="00202A9E">
        <w:rPr>
          <w:rFonts w:ascii="Times New Roman" w:eastAsia="DengXian" w:hAnsi="Times New Roman" w:cs="Times New Roman"/>
          <w:sz w:val="24"/>
          <w:szCs w:val="24"/>
        </w:rPr>
        <w:t xml:space="preserve"> </w:t>
      </w:r>
      <w:r w:rsidR="00E25DD4" w:rsidRPr="00202A9E">
        <w:rPr>
          <w:rFonts w:ascii="Times New Roman" w:eastAsia="DengXian" w:hAnsi="Times New Roman" w:cs="Times New Roman"/>
          <w:sz w:val="24"/>
          <w:szCs w:val="24"/>
        </w:rPr>
        <w:t>Fig</w:t>
      </w:r>
      <w:r w:rsidR="002D2A46" w:rsidRPr="00202A9E">
        <w:rPr>
          <w:rFonts w:ascii="Times New Roman" w:eastAsia="DengXian" w:hAnsi="Times New Roman" w:cs="Times New Roman"/>
          <w:sz w:val="24"/>
          <w:szCs w:val="24"/>
        </w:rPr>
        <w:t>.</w:t>
      </w:r>
      <w:r w:rsidR="00E25DD4" w:rsidRPr="00202A9E">
        <w:rPr>
          <w:rFonts w:ascii="Times New Roman" w:eastAsia="DengXian" w:hAnsi="Times New Roman" w:cs="Times New Roman"/>
          <w:sz w:val="24"/>
          <w:szCs w:val="24"/>
        </w:rPr>
        <w:t xml:space="preserve"> 6</w:t>
      </w:r>
      <w:r w:rsidR="00DF5AB5" w:rsidRPr="00C20868">
        <w:rPr>
          <w:rFonts w:ascii="Times New Roman" w:eastAsia="DengXian" w:hAnsi="Times New Roman" w:cs="Times New Roman"/>
          <w:sz w:val="24"/>
          <w:szCs w:val="24"/>
        </w:rPr>
        <w:t xml:space="preserve"> shows the</w:t>
      </w:r>
      <w:r w:rsidR="00E25DD4" w:rsidRPr="00C20868">
        <w:rPr>
          <w:rFonts w:ascii="Times New Roman" w:eastAsia="DengXian" w:hAnsi="Times New Roman" w:cs="Times New Roman"/>
          <w:sz w:val="24"/>
          <w:szCs w:val="24"/>
        </w:rPr>
        <w:t xml:space="preserve"> FTA logic diagram illustrating the hierarchical structure used to model failure pathways for </w:t>
      </w:r>
      <w:r w:rsidR="00E94592" w:rsidRPr="00C20868">
        <w:rPr>
          <w:rFonts w:ascii="Times New Roman" w:eastAsia="DengXian" w:hAnsi="Times New Roman" w:cs="Times New Roman"/>
          <w:sz w:val="24"/>
          <w:szCs w:val="24"/>
        </w:rPr>
        <w:t>the major causal categories analyzed</w:t>
      </w:r>
      <w:r w:rsidR="00E25DD4" w:rsidRPr="00C20868">
        <w:rPr>
          <w:rFonts w:ascii="Times New Roman" w:eastAsia="DengXian" w:hAnsi="Times New Roman" w:cs="Times New Roman"/>
          <w:sz w:val="24"/>
          <w:szCs w:val="24"/>
        </w:rPr>
        <w:t xml:space="preserve">. This structure served as the basis for calculating the overall and individual annual probabilities of methane emissions from these categories, as reported in the </w:t>
      </w:r>
      <w:r>
        <w:rPr>
          <w:rFonts w:ascii="Times New Roman" w:eastAsia="DengXian" w:hAnsi="Times New Roman" w:cs="Times New Roman"/>
          <w:sz w:val="24"/>
          <w:szCs w:val="24"/>
        </w:rPr>
        <w:t>(m</w:t>
      </w:r>
      <w:r w:rsidR="0064759F" w:rsidRPr="00C20868">
        <w:rPr>
          <w:rFonts w:ascii="Times New Roman" w:eastAsia="DengXian" w:hAnsi="Times New Roman" w:cs="Times New Roman"/>
          <w:sz w:val="24"/>
          <w:szCs w:val="24"/>
        </w:rPr>
        <w:t xml:space="preserve">ain </w:t>
      </w:r>
      <w:r>
        <w:rPr>
          <w:rFonts w:ascii="Times New Roman" w:eastAsia="DengXian" w:hAnsi="Times New Roman" w:cs="Times New Roman"/>
          <w:sz w:val="24"/>
          <w:szCs w:val="24"/>
        </w:rPr>
        <w:t>t</w:t>
      </w:r>
      <w:r w:rsidR="0064759F" w:rsidRPr="00C20868">
        <w:rPr>
          <w:rFonts w:ascii="Times New Roman" w:eastAsia="DengXian" w:hAnsi="Times New Roman" w:cs="Times New Roman"/>
          <w:sz w:val="24"/>
          <w:szCs w:val="24"/>
        </w:rPr>
        <w:t>ext</w:t>
      </w:r>
      <w:r>
        <w:rPr>
          <w:rFonts w:ascii="Times New Roman" w:eastAsia="DengXian" w:hAnsi="Times New Roman" w:cs="Times New Roman"/>
          <w:sz w:val="24"/>
          <w:szCs w:val="24"/>
        </w:rPr>
        <w:t>)</w:t>
      </w:r>
      <w:r w:rsidR="0064759F" w:rsidRPr="00C20868">
        <w:rPr>
          <w:rFonts w:ascii="Times New Roman" w:eastAsia="DengXian" w:hAnsi="Times New Roman" w:cs="Times New Roman"/>
          <w:sz w:val="24"/>
          <w:szCs w:val="24"/>
        </w:rPr>
        <w:t xml:space="preserve"> </w:t>
      </w:r>
      <w:r w:rsidR="009814F9" w:rsidRPr="00202A9E">
        <w:rPr>
          <w:rFonts w:ascii="Times New Roman" w:eastAsia="DengXian" w:hAnsi="Times New Roman" w:cs="Times New Roman"/>
          <w:sz w:val="24"/>
          <w:szCs w:val="24"/>
        </w:rPr>
        <w:t>S</w:t>
      </w:r>
      <w:r w:rsidR="005B6CC7" w:rsidRPr="00202A9E">
        <w:rPr>
          <w:rFonts w:ascii="Times New Roman" w:eastAsia="DengXian" w:hAnsi="Times New Roman" w:cs="Times New Roman"/>
          <w:sz w:val="24"/>
          <w:szCs w:val="24"/>
        </w:rPr>
        <w:t>ection 3.4</w:t>
      </w:r>
      <w:r w:rsidR="00E25DD4" w:rsidRPr="00202A9E">
        <w:rPr>
          <w:rFonts w:ascii="Times New Roman" w:eastAsia="DengXian" w:hAnsi="Times New Roman" w:cs="Times New Roman"/>
          <w:sz w:val="24"/>
          <w:szCs w:val="24"/>
        </w:rPr>
        <w:t xml:space="preserve"> and </w:t>
      </w:r>
      <w:r w:rsidR="002D2A46" w:rsidRPr="00202A9E">
        <w:rPr>
          <w:rFonts w:ascii="Times New Roman" w:eastAsia="Times New Roman" w:hAnsi="Times New Roman" w:cs="Times New Roman"/>
          <w:color w:val="000000"/>
          <w:sz w:val="24"/>
          <w:szCs w:val="24"/>
          <w:lang w:eastAsia="en-US"/>
        </w:rPr>
        <w:t>Supplementary</w:t>
      </w:r>
      <w:r w:rsidR="002D2A46" w:rsidRPr="00202A9E">
        <w:rPr>
          <w:rFonts w:ascii="Times New Roman" w:eastAsia="DengXian" w:hAnsi="Times New Roman" w:cs="Times New Roman"/>
          <w:sz w:val="24"/>
          <w:szCs w:val="24"/>
        </w:rPr>
        <w:t xml:space="preserve"> </w:t>
      </w:r>
      <w:r w:rsidR="00E25DD4" w:rsidRPr="00202A9E">
        <w:rPr>
          <w:rFonts w:ascii="Times New Roman" w:eastAsia="DengXian" w:hAnsi="Times New Roman" w:cs="Times New Roman"/>
          <w:sz w:val="24"/>
          <w:szCs w:val="24"/>
        </w:rPr>
        <w:t>Table 2</w:t>
      </w:r>
      <w:r w:rsidR="00E25DD4" w:rsidRPr="00C20868">
        <w:rPr>
          <w:rFonts w:ascii="Times New Roman" w:eastAsia="DengXian" w:hAnsi="Times New Roman" w:cs="Times New Roman"/>
          <w:sz w:val="24"/>
          <w:szCs w:val="24"/>
        </w:rPr>
        <w:t xml:space="preserve">. </w:t>
      </w:r>
      <w:r w:rsidRPr="00C20868">
        <w:rPr>
          <w:rFonts w:ascii="Times New Roman" w:eastAsia="DengXian" w:hAnsi="Times New Roman" w:cs="Times New Roman"/>
          <w:sz w:val="24"/>
          <w:szCs w:val="24"/>
        </w:rPr>
        <w:t>The fault tree logic enables the identification of critical contributing events and their combinations, supporting risk prioritization.</w:t>
      </w:r>
    </w:p>
    <w:p w14:paraId="784957D6" w14:textId="77777777" w:rsidR="00EA2102" w:rsidRDefault="00EA2102" w:rsidP="008733E6">
      <w:pPr>
        <w:spacing w:line="480" w:lineRule="auto"/>
        <w:jc w:val="both"/>
        <w:rPr>
          <w:rFonts w:ascii="Times New Roman" w:eastAsia="DengXian" w:hAnsi="Times New Roman" w:cs="Times New Roman"/>
          <w:sz w:val="24"/>
          <w:szCs w:val="24"/>
        </w:rPr>
      </w:pPr>
    </w:p>
    <w:p w14:paraId="6EA5D4AE" w14:textId="26C45912" w:rsidR="00CF2A69" w:rsidRDefault="00D144BF" w:rsidP="008733E6">
      <w:pPr>
        <w:spacing w:line="480" w:lineRule="auto"/>
        <w:jc w:val="both"/>
        <w:rPr>
          <w:rFonts w:ascii="Times New Roman" w:eastAsia="DengXian" w:hAnsi="Times New Roman" w:cs="Times New Roman"/>
          <w:noProof/>
          <w:sz w:val="24"/>
          <w:szCs w:val="24"/>
        </w:rPr>
      </w:pPr>
      <w:r w:rsidRPr="00D144BF">
        <w:rPr>
          <w:rFonts w:ascii="Times New Roman" w:eastAsia="DengXian" w:hAnsi="Times New Roman" w:cs="Times New Roman"/>
          <w:noProof/>
          <w:sz w:val="24"/>
          <w:szCs w:val="24"/>
        </w:rPr>
        <w:drawing>
          <wp:inline distT="0" distB="0" distL="0" distR="0" wp14:anchorId="55CA372C" wp14:editId="60A5AE17">
            <wp:extent cx="8229600" cy="4629149"/>
            <wp:effectExtent l="0" t="0" r="0" b="635"/>
            <wp:docPr id="1584893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893568" name="Picture 1"/>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8229600" cy="4629149"/>
                    </a:xfrm>
                    <a:prstGeom prst="rect">
                      <a:avLst/>
                    </a:prstGeom>
                    <a:noFill/>
                    <a:ln>
                      <a:noFill/>
                    </a:ln>
                  </pic:spPr>
                </pic:pic>
              </a:graphicData>
            </a:graphic>
          </wp:inline>
        </w:drawing>
      </w:r>
    </w:p>
    <w:p w14:paraId="2ACCBD63" w14:textId="29C14442" w:rsidR="003E07A3" w:rsidRDefault="002D2A46" w:rsidP="00202A9E">
      <w:pPr>
        <w:rPr>
          <w:rFonts w:ascii="Times New Roman" w:eastAsia="DengXian" w:hAnsi="Times New Roman" w:cs="Times New Roman"/>
          <w:sz w:val="24"/>
          <w:szCs w:val="24"/>
        </w:rPr>
      </w:pPr>
      <w:r>
        <w:rPr>
          <w:rFonts w:ascii="Times New Roman" w:eastAsia="Times New Roman" w:hAnsi="Times New Roman" w:cs="Times New Roman"/>
          <w:b/>
          <w:bCs/>
          <w:color w:val="000000"/>
          <w:sz w:val="24"/>
          <w:szCs w:val="24"/>
          <w:lang w:eastAsia="en-US"/>
        </w:rPr>
        <w:t>Supplementary</w:t>
      </w:r>
      <w:r w:rsidRPr="003E3203">
        <w:rPr>
          <w:rFonts w:ascii="Times New Roman" w:eastAsia="DengXian" w:hAnsi="Times New Roman" w:cs="Times New Roman"/>
          <w:b/>
          <w:bCs/>
          <w:sz w:val="24"/>
          <w:szCs w:val="24"/>
        </w:rPr>
        <w:t xml:space="preserve"> </w:t>
      </w:r>
      <w:r w:rsidR="003E07A3" w:rsidRPr="003E3203">
        <w:rPr>
          <w:rFonts w:ascii="Times New Roman" w:eastAsia="DengXian" w:hAnsi="Times New Roman" w:cs="Times New Roman"/>
          <w:b/>
          <w:bCs/>
          <w:sz w:val="24"/>
          <w:szCs w:val="24"/>
        </w:rPr>
        <w:t>Fig</w:t>
      </w:r>
      <w:r>
        <w:rPr>
          <w:rFonts w:ascii="Times New Roman" w:eastAsia="DengXian" w:hAnsi="Times New Roman" w:cs="Times New Roman"/>
          <w:b/>
          <w:bCs/>
          <w:sz w:val="24"/>
          <w:szCs w:val="24"/>
        </w:rPr>
        <w:t>.</w:t>
      </w:r>
      <w:r w:rsidR="003E07A3" w:rsidRPr="003E3203">
        <w:rPr>
          <w:rFonts w:ascii="Times New Roman" w:eastAsia="DengXian" w:hAnsi="Times New Roman" w:cs="Times New Roman"/>
          <w:b/>
          <w:bCs/>
          <w:sz w:val="24"/>
          <w:szCs w:val="24"/>
        </w:rPr>
        <w:t xml:space="preserve"> </w:t>
      </w:r>
      <w:r w:rsidR="001F4519">
        <w:rPr>
          <w:rFonts w:ascii="Times New Roman" w:eastAsia="DengXian" w:hAnsi="Times New Roman" w:cs="Times New Roman"/>
          <w:b/>
          <w:bCs/>
          <w:sz w:val="24"/>
          <w:szCs w:val="24"/>
        </w:rPr>
        <w:t>6</w:t>
      </w:r>
      <w:r w:rsidR="003E07A3" w:rsidRPr="003E3203">
        <w:rPr>
          <w:rFonts w:ascii="Times New Roman" w:eastAsia="DengXian" w:hAnsi="Times New Roman" w:cs="Times New Roman"/>
          <w:sz w:val="24"/>
          <w:szCs w:val="24"/>
        </w:rPr>
        <w:t xml:space="preserve">. </w:t>
      </w:r>
      <w:r w:rsidR="0089766E">
        <w:rPr>
          <w:rFonts w:ascii="Times New Roman" w:eastAsia="DengXian" w:hAnsi="Times New Roman" w:cs="Times New Roman"/>
          <w:sz w:val="24"/>
          <w:szCs w:val="24"/>
        </w:rPr>
        <w:t xml:space="preserve">The </w:t>
      </w:r>
      <w:r w:rsidR="004423A8">
        <w:rPr>
          <w:rFonts w:ascii="Times New Roman" w:eastAsia="DengXian" w:hAnsi="Times New Roman" w:cs="Times New Roman"/>
          <w:sz w:val="24"/>
          <w:szCs w:val="24"/>
        </w:rPr>
        <w:t>f</w:t>
      </w:r>
      <w:r w:rsidR="000C19D6" w:rsidRPr="000C19D6">
        <w:rPr>
          <w:rFonts w:ascii="Times New Roman" w:eastAsia="DengXian" w:hAnsi="Times New Roman" w:cs="Times New Roman"/>
          <w:sz w:val="24"/>
          <w:szCs w:val="24"/>
        </w:rPr>
        <w:t xml:space="preserve">ault </w:t>
      </w:r>
      <w:r w:rsidR="004423A8">
        <w:rPr>
          <w:rFonts w:ascii="Times New Roman" w:eastAsia="DengXian" w:hAnsi="Times New Roman" w:cs="Times New Roman"/>
          <w:sz w:val="24"/>
          <w:szCs w:val="24"/>
        </w:rPr>
        <w:t>t</w:t>
      </w:r>
      <w:r w:rsidR="000C19D6" w:rsidRPr="000C19D6">
        <w:rPr>
          <w:rFonts w:ascii="Times New Roman" w:eastAsia="DengXian" w:hAnsi="Times New Roman" w:cs="Times New Roman"/>
          <w:sz w:val="24"/>
          <w:szCs w:val="24"/>
        </w:rPr>
        <w:t xml:space="preserve">ree </w:t>
      </w:r>
      <w:r w:rsidR="004423A8">
        <w:rPr>
          <w:rFonts w:ascii="Times New Roman" w:eastAsia="DengXian" w:hAnsi="Times New Roman" w:cs="Times New Roman"/>
          <w:sz w:val="24"/>
          <w:szCs w:val="24"/>
        </w:rPr>
        <w:t>d</w:t>
      </w:r>
      <w:r w:rsidR="000C19D6" w:rsidRPr="000C19D6">
        <w:rPr>
          <w:rFonts w:ascii="Times New Roman" w:eastAsia="DengXian" w:hAnsi="Times New Roman" w:cs="Times New Roman"/>
          <w:sz w:val="24"/>
          <w:szCs w:val="24"/>
        </w:rPr>
        <w:t xml:space="preserve">iagram </w:t>
      </w:r>
      <w:proofErr w:type="gramStart"/>
      <w:r w:rsidR="000C19D6" w:rsidRPr="000C19D6">
        <w:rPr>
          <w:rFonts w:ascii="Times New Roman" w:eastAsia="DengXian" w:hAnsi="Times New Roman" w:cs="Times New Roman"/>
          <w:sz w:val="24"/>
          <w:szCs w:val="24"/>
        </w:rPr>
        <w:t>illustrating</w:t>
      </w:r>
      <w:proofErr w:type="gramEnd"/>
      <w:r w:rsidR="000C19D6" w:rsidRPr="000C19D6">
        <w:rPr>
          <w:rFonts w:ascii="Times New Roman" w:eastAsia="DengXian" w:hAnsi="Times New Roman" w:cs="Times New Roman"/>
          <w:sz w:val="24"/>
          <w:szCs w:val="24"/>
        </w:rPr>
        <w:t xml:space="preserve"> the logical pathways from basic operational and equipment failures to the top event 'Methane Emissions (per year)'</w:t>
      </w:r>
      <w:r w:rsidR="0064759F">
        <w:rPr>
          <w:rFonts w:ascii="Times New Roman" w:eastAsia="DengXian" w:hAnsi="Times New Roman" w:cs="Times New Roman"/>
          <w:sz w:val="24"/>
          <w:szCs w:val="24"/>
        </w:rPr>
        <w:t>.</w:t>
      </w:r>
      <w:r w:rsidR="000C19D6" w:rsidRPr="000C19D6">
        <w:rPr>
          <w:rFonts w:ascii="Times New Roman" w:eastAsia="DengXian" w:hAnsi="Times New Roman" w:cs="Times New Roman"/>
          <w:sz w:val="24"/>
          <w:szCs w:val="24"/>
        </w:rPr>
        <w:t xml:space="preserve"> </w:t>
      </w:r>
      <w:r w:rsidR="00E828A4" w:rsidRPr="00E828A4">
        <w:rPr>
          <w:rFonts w:ascii="Times New Roman" w:eastAsia="DengXian" w:hAnsi="Times New Roman" w:cs="Times New Roman"/>
          <w:sz w:val="24"/>
          <w:szCs w:val="24"/>
        </w:rPr>
        <w:t xml:space="preserve">The probabilities (p) for basic events represent annual probabilities. </w:t>
      </w:r>
      <w:r w:rsidR="006D111A" w:rsidRPr="00E828A4">
        <w:rPr>
          <w:rFonts w:ascii="Times New Roman" w:eastAsia="DengXian" w:hAnsi="Times New Roman" w:cs="Times New Roman"/>
          <w:sz w:val="24"/>
          <w:szCs w:val="24"/>
        </w:rPr>
        <w:t>Logical relationships are defined by OR and AND gates, whereas intermediate events correspond to failure modes</w:t>
      </w:r>
      <w:r w:rsidR="006D111A" w:rsidRPr="000C19D6">
        <w:rPr>
          <w:rFonts w:ascii="Times New Roman" w:eastAsia="DengXian" w:hAnsi="Times New Roman" w:cs="Times New Roman"/>
          <w:sz w:val="24"/>
          <w:szCs w:val="24"/>
        </w:rPr>
        <w:t>.</w:t>
      </w:r>
    </w:p>
    <w:p w14:paraId="2823717A" w14:textId="77777777" w:rsidR="00EA2102" w:rsidRDefault="00EA2102" w:rsidP="000C19D6">
      <w:pPr>
        <w:spacing w:line="240" w:lineRule="auto"/>
        <w:jc w:val="both"/>
        <w:rPr>
          <w:rFonts w:ascii="Times New Roman" w:eastAsia="DengXian" w:hAnsi="Times New Roman" w:cs="Times New Roman"/>
          <w:sz w:val="24"/>
          <w:szCs w:val="24"/>
        </w:rPr>
        <w:sectPr w:rsidR="00EA2102" w:rsidSect="00202A9E">
          <w:type w:val="continuous"/>
          <w:pgSz w:w="15840" w:h="12240" w:orient="landscape"/>
          <w:pgMar w:top="1440" w:right="1440" w:bottom="1440" w:left="1440" w:header="720" w:footer="720" w:gutter="0"/>
          <w:lnNumType w:countBy="1" w:restart="continuous"/>
          <w:cols w:space="720"/>
          <w:docGrid w:linePitch="360"/>
        </w:sectPr>
      </w:pPr>
    </w:p>
    <w:p w14:paraId="2C64D423" w14:textId="02FAA82A" w:rsidR="00BB3A1D" w:rsidRPr="003E3203" w:rsidRDefault="002D2A46" w:rsidP="00D70683">
      <w:pPr>
        <w:rPr>
          <w:rFonts w:ascii="Times New Roman" w:eastAsia="DengXian" w:hAnsi="Times New Roman" w:cs="Times New Roman"/>
          <w:sz w:val="24"/>
          <w:szCs w:val="24"/>
        </w:rPr>
      </w:pPr>
      <w:r>
        <w:rPr>
          <w:rFonts w:ascii="Times New Roman" w:eastAsia="Times New Roman" w:hAnsi="Times New Roman" w:cs="Times New Roman"/>
          <w:b/>
          <w:bCs/>
          <w:color w:val="000000"/>
          <w:sz w:val="24"/>
          <w:szCs w:val="24"/>
          <w:lang w:eastAsia="en-US"/>
        </w:rPr>
        <w:lastRenderedPageBreak/>
        <w:t>Supplementary</w:t>
      </w:r>
      <w:r w:rsidRPr="003E3203">
        <w:rPr>
          <w:rFonts w:ascii="Times New Roman" w:eastAsia="DengXian" w:hAnsi="Times New Roman" w:cs="Times New Roman"/>
          <w:b/>
          <w:bCs/>
          <w:sz w:val="24"/>
          <w:szCs w:val="24"/>
        </w:rPr>
        <w:t xml:space="preserve"> </w:t>
      </w:r>
      <w:r w:rsidR="00D70683" w:rsidRPr="003E3203">
        <w:rPr>
          <w:rFonts w:ascii="Times New Roman" w:eastAsia="DengXian" w:hAnsi="Times New Roman" w:cs="Times New Roman"/>
          <w:b/>
          <w:bCs/>
          <w:sz w:val="24"/>
          <w:szCs w:val="24"/>
        </w:rPr>
        <w:t xml:space="preserve">Table </w:t>
      </w:r>
      <w:r w:rsidR="00424DDF">
        <w:rPr>
          <w:rFonts w:ascii="Times New Roman" w:eastAsia="DengXian" w:hAnsi="Times New Roman" w:cs="Times New Roman"/>
          <w:b/>
          <w:bCs/>
          <w:sz w:val="24"/>
          <w:szCs w:val="24"/>
        </w:rPr>
        <w:t>3</w:t>
      </w:r>
      <w:r w:rsidR="00D70683" w:rsidRPr="003E3203">
        <w:rPr>
          <w:rFonts w:ascii="Times New Roman" w:eastAsia="DengXian" w:hAnsi="Times New Roman" w:cs="Times New Roman"/>
          <w:sz w:val="24"/>
          <w:szCs w:val="24"/>
        </w:rPr>
        <w:t xml:space="preserve">. </w:t>
      </w:r>
      <w:r w:rsidR="006D111A" w:rsidRPr="00E828A4">
        <w:rPr>
          <w:rFonts w:ascii="Times New Roman" w:eastAsia="DengXian" w:hAnsi="Times New Roman" w:cs="Times New Roman"/>
          <w:sz w:val="24"/>
          <w:szCs w:val="24"/>
        </w:rPr>
        <w:t>Descriptions of the basic events and their assigned annual failure probabilities used in the FTA.</w:t>
      </w:r>
      <w:r w:rsidR="00E828A4" w:rsidRPr="00E828A4">
        <w:rPr>
          <w:rFonts w:ascii="Times New Roman" w:eastAsia="DengXian" w:hAnsi="Times New Roman" w:cs="Times New Roman"/>
          <w:sz w:val="24"/>
          <w:szCs w:val="24"/>
        </w:rPr>
        <w:t xml:space="preserve"> </w:t>
      </w:r>
      <w:r w:rsidR="006D111A" w:rsidRPr="00E828A4">
        <w:rPr>
          <w:rFonts w:ascii="Times New Roman" w:eastAsia="DengXian" w:hAnsi="Times New Roman" w:cs="Times New Roman"/>
          <w:sz w:val="24"/>
          <w:szCs w:val="24"/>
        </w:rPr>
        <w:t>Probabilities were derived from the study dataset, supplemented by literature estimates and external reliability standards, where applicable</w:t>
      </w:r>
      <w:r w:rsidR="006D111A" w:rsidRPr="00C43189">
        <w:rPr>
          <w:rFonts w:ascii="Times New Roman" w:eastAsia="DengXian" w:hAnsi="Times New Roman" w:cs="Times New Roman"/>
          <w:sz w:val="24"/>
          <w:szCs w:val="24"/>
        </w:rPr>
        <w:t>.</w:t>
      </w:r>
      <w:r w:rsidR="00955BD5" w:rsidRPr="00955BD5">
        <w:t xml:space="preserve"> </w:t>
      </w:r>
      <w:r w:rsidR="006D111A" w:rsidRPr="00955BD5">
        <w:rPr>
          <w:rFonts w:ascii="Times New Roman" w:eastAsia="DengXian" w:hAnsi="Times New Roman" w:cs="Times New Roman"/>
          <w:sz w:val="24"/>
          <w:szCs w:val="24"/>
        </w:rPr>
        <w:t>The probabilities marked with ** were normalized using causal analysis data</w:t>
      </w:r>
      <w:r w:rsidR="006D111A">
        <w:rPr>
          <w:rFonts w:ascii="Times New Roman" w:eastAsia="DengXian" w:hAnsi="Times New Roman" w:cs="Times New Roman"/>
          <w:sz w:val="24"/>
          <w:szCs w:val="24"/>
        </w:rPr>
        <w:t>.</w:t>
      </w:r>
    </w:p>
    <w:tbl>
      <w:tblPr>
        <w:tblW w:w="9450" w:type="dxa"/>
        <w:tblInd w:w="-100" w:type="dxa"/>
        <w:tblLook w:val="04A0" w:firstRow="1" w:lastRow="0" w:firstColumn="1" w:lastColumn="0" w:noHBand="0" w:noVBand="1"/>
      </w:tblPr>
      <w:tblGrid>
        <w:gridCol w:w="1440"/>
        <w:gridCol w:w="3643"/>
        <w:gridCol w:w="2111"/>
        <w:gridCol w:w="2256"/>
      </w:tblGrid>
      <w:tr w:rsidR="00A37809" w:rsidRPr="00BB3A1D" w14:paraId="366CD06E" w14:textId="77777777" w:rsidTr="00202A9E">
        <w:trPr>
          <w:trHeight w:val="310"/>
        </w:trPr>
        <w:tc>
          <w:tcPr>
            <w:tcW w:w="14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7606D7" w14:textId="77777777" w:rsidR="00BB3A1D" w:rsidRPr="00BB3A1D" w:rsidRDefault="00BB3A1D" w:rsidP="00BB3A1D">
            <w:pPr>
              <w:spacing w:after="0" w:line="240" w:lineRule="auto"/>
              <w:jc w:val="center"/>
              <w:rPr>
                <w:rFonts w:ascii="Times New Roman" w:eastAsia="Times New Roman" w:hAnsi="Times New Roman" w:cs="Times New Roman"/>
                <w:b/>
                <w:bCs/>
                <w:color w:val="000000"/>
                <w:sz w:val="24"/>
                <w:szCs w:val="24"/>
                <w:lang w:eastAsia="en-US"/>
              </w:rPr>
            </w:pPr>
            <w:r w:rsidRPr="00BB3A1D">
              <w:rPr>
                <w:rFonts w:ascii="Times New Roman" w:eastAsia="Times New Roman" w:hAnsi="Times New Roman" w:cs="Times New Roman"/>
                <w:b/>
                <w:bCs/>
                <w:color w:val="000000"/>
                <w:sz w:val="24"/>
                <w:szCs w:val="24"/>
                <w:lang w:eastAsia="en-US"/>
              </w:rPr>
              <w:t>Base Event</w:t>
            </w:r>
          </w:p>
        </w:tc>
        <w:tc>
          <w:tcPr>
            <w:tcW w:w="3643" w:type="dxa"/>
            <w:tcBorders>
              <w:top w:val="single" w:sz="8" w:space="0" w:color="auto"/>
              <w:left w:val="nil"/>
              <w:bottom w:val="single" w:sz="8" w:space="0" w:color="auto"/>
              <w:right w:val="single" w:sz="8" w:space="0" w:color="auto"/>
            </w:tcBorders>
            <w:shd w:val="clear" w:color="auto" w:fill="auto"/>
            <w:vAlign w:val="center"/>
            <w:hideMark/>
          </w:tcPr>
          <w:p w14:paraId="01F12799" w14:textId="77777777" w:rsidR="00BB3A1D" w:rsidRPr="00BB3A1D" w:rsidRDefault="00BB3A1D" w:rsidP="00BB3A1D">
            <w:pPr>
              <w:spacing w:after="0" w:line="240" w:lineRule="auto"/>
              <w:jc w:val="center"/>
              <w:rPr>
                <w:rFonts w:ascii="Times New Roman" w:eastAsia="Times New Roman" w:hAnsi="Times New Roman" w:cs="Times New Roman"/>
                <w:b/>
                <w:bCs/>
                <w:color w:val="000000"/>
                <w:sz w:val="24"/>
                <w:szCs w:val="24"/>
                <w:lang w:eastAsia="en-US"/>
              </w:rPr>
            </w:pPr>
            <w:r w:rsidRPr="00BB3A1D">
              <w:rPr>
                <w:rFonts w:ascii="Times New Roman" w:eastAsia="Times New Roman" w:hAnsi="Times New Roman" w:cs="Times New Roman"/>
                <w:b/>
                <w:bCs/>
                <w:color w:val="000000"/>
                <w:sz w:val="24"/>
                <w:szCs w:val="24"/>
                <w:lang w:eastAsia="en-US"/>
              </w:rPr>
              <w:t>Event Name</w:t>
            </w:r>
          </w:p>
        </w:tc>
        <w:tc>
          <w:tcPr>
            <w:tcW w:w="2111" w:type="dxa"/>
            <w:tcBorders>
              <w:top w:val="single" w:sz="8" w:space="0" w:color="auto"/>
              <w:left w:val="nil"/>
              <w:bottom w:val="single" w:sz="8" w:space="0" w:color="auto"/>
              <w:right w:val="single" w:sz="8" w:space="0" w:color="auto"/>
            </w:tcBorders>
            <w:shd w:val="clear" w:color="auto" w:fill="auto"/>
            <w:vAlign w:val="center"/>
            <w:hideMark/>
          </w:tcPr>
          <w:p w14:paraId="1B88C29F" w14:textId="77777777" w:rsidR="00BB3A1D" w:rsidRPr="00BB3A1D" w:rsidRDefault="00BB3A1D" w:rsidP="00BB3A1D">
            <w:pPr>
              <w:spacing w:after="0" w:line="240" w:lineRule="auto"/>
              <w:jc w:val="right"/>
              <w:rPr>
                <w:rFonts w:ascii="Times New Roman" w:eastAsia="Times New Roman" w:hAnsi="Times New Roman" w:cs="Times New Roman"/>
                <w:b/>
                <w:bCs/>
                <w:color w:val="000000"/>
                <w:sz w:val="24"/>
                <w:szCs w:val="24"/>
                <w:lang w:eastAsia="en-US"/>
              </w:rPr>
            </w:pPr>
            <w:r w:rsidRPr="00BB3A1D">
              <w:rPr>
                <w:rFonts w:ascii="Times New Roman" w:eastAsia="Times New Roman" w:hAnsi="Times New Roman" w:cs="Times New Roman"/>
                <w:b/>
                <w:bCs/>
                <w:color w:val="000000"/>
                <w:sz w:val="24"/>
                <w:szCs w:val="24"/>
                <w:lang w:eastAsia="en-US"/>
              </w:rPr>
              <w:t>Prob. (per year)</w:t>
            </w:r>
          </w:p>
        </w:tc>
        <w:tc>
          <w:tcPr>
            <w:tcW w:w="2256" w:type="dxa"/>
            <w:tcBorders>
              <w:top w:val="single" w:sz="8" w:space="0" w:color="auto"/>
              <w:left w:val="nil"/>
              <w:bottom w:val="single" w:sz="8" w:space="0" w:color="auto"/>
              <w:right w:val="single" w:sz="8" w:space="0" w:color="auto"/>
            </w:tcBorders>
            <w:shd w:val="clear" w:color="auto" w:fill="auto"/>
            <w:vAlign w:val="center"/>
            <w:hideMark/>
          </w:tcPr>
          <w:p w14:paraId="689EFD6B" w14:textId="77777777" w:rsidR="00BB3A1D" w:rsidRPr="00BB3A1D" w:rsidRDefault="00BB3A1D" w:rsidP="00BB3A1D">
            <w:pPr>
              <w:spacing w:after="0" w:line="240" w:lineRule="auto"/>
              <w:jc w:val="center"/>
              <w:rPr>
                <w:rFonts w:ascii="Times New Roman" w:eastAsia="Times New Roman" w:hAnsi="Times New Roman" w:cs="Times New Roman"/>
                <w:b/>
                <w:bCs/>
                <w:color w:val="000000"/>
                <w:sz w:val="24"/>
                <w:szCs w:val="24"/>
                <w:lang w:eastAsia="en-US"/>
              </w:rPr>
            </w:pPr>
            <w:r w:rsidRPr="00BB3A1D">
              <w:rPr>
                <w:rFonts w:ascii="Times New Roman" w:eastAsia="Times New Roman" w:hAnsi="Times New Roman" w:cs="Times New Roman"/>
                <w:b/>
                <w:bCs/>
                <w:color w:val="000000"/>
                <w:sz w:val="24"/>
                <w:szCs w:val="24"/>
                <w:lang w:eastAsia="en-US"/>
              </w:rPr>
              <w:t>Source/Justification</w:t>
            </w:r>
          </w:p>
        </w:tc>
      </w:tr>
      <w:tr w:rsidR="00120856" w:rsidRPr="00BB3A1D" w14:paraId="228CAB9B" w14:textId="77777777" w:rsidTr="00A37809">
        <w:trPr>
          <w:trHeight w:val="320"/>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0784EEA5" w14:textId="77777777" w:rsidR="00BB3A1D" w:rsidRPr="00BB3A1D" w:rsidRDefault="00BB3A1D" w:rsidP="00BB3A1D">
            <w:pPr>
              <w:spacing w:after="0" w:line="240" w:lineRule="auto"/>
              <w:rPr>
                <w:rFonts w:ascii="Times New Roman" w:eastAsia="Times New Roman" w:hAnsi="Times New Roman" w:cs="Times New Roman"/>
                <w:sz w:val="24"/>
                <w:szCs w:val="24"/>
                <w:lang w:eastAsia="en-US"/>
              </w:rPr>
            </w:pPr>
            <w:r w:rsidRPr="00BB3A1D">
              <w:rPr>
                <w:rFonts w:ascii="Times New Roman" w:eastAsia="Times New Roman" w:hAnsi="Times New Roman" w:cs="Times New Roman"/>
                <w:sz w:val="24"/>
                <w:szCs w:val="24"/>
                <w:lang w:eastAsia="en-US"/>
              </w:rPr>
              <w:t>p1</w:t>
            </w:r>
          </w:p>
        </w:tc>
        <w:tc>
          <w:tcPr>
            <w:tcW w:w="3643" w:type="dxa"/>
            <w:tcBorders>
              <w:top w:val="nil"/>
              <w:left w:val="nil"/>
              <w:bottom w:val="single" w:sz="8" w:space="0" w:color="auto"/>
              <w:right w:val="single" w:sz="8" w:space="0" w:color="auto"/>
            </w:tcBorders>
            <w:shd w:val="clear" w:color="auto" w:fill="auto"/>
            <w:vAlign w:val="center"/>
            <w:hideMark/>
          </w:tcPr>
          <w:p w14:paraId="11C3EBE3" w14:textId="79672C5B" w:rsidR="00BB3A1D" w:rsidRPr="00BB3A1D" w:rsidRDefault="00BB3A1D" w:rsidP="00BB3A1D">
            <w:pPr>
              <w:spacing w:after="0" w:line="240" w:lineRule="auto"/>
              <w:rPr>
                <w:rFonts w:ascii="Times New Roman" w:eastAsia="Times New Roman" w:hAnsi="Times New Roman" w:cs="Times New Roman"/>
                <w:sz w:val="24"/>
                <w:szCs w:val="24"/>
                <w:lang w:eastAsia="en-US"/>
              </w:rPr>
            </w:pPr>
            <w:r w:rsidRPr="00BB3A1D">
              <w:rPr>
                <w:rFonts w:ascii="Times New Roman" w:eastAsia="Times New Roman" w:hAnsi="Times New Roman" w:cs="Times New Roman"/>
                <w:sz w:val="24"/>
                <w:szCs w:val="24"/>
                <w:lang w:eastAsia="en-US"/>
              </w:rPr>
              <w:t xml:space="preserve">Hatch </w:t>
            </w:r>
            <w:r w:rsidR="00781225">
              <w:rPr>
                <w:rFonts w:ascii="Times New Roman" w:eastAsia="Times New Roman" w:hAnsi="Times New Roman" w:cs="Times New Roman"/>
                <w:sz w:val="24"/>
                <w:szCs w:val="24"/>
                <w:lang w:eastAsia="en-US"/>
              </w:rPr>
              <w:t>m</w:t>
            </w:r>
            <w:r w:rsidRPr="00BB3A1D">
              <w:rPr>
                <w:rFonts w:ascii="Times New Roman" w:eastAsia="Times New Roman" w:hAnsi="Times New Roman" w:cs="Times New Roman"/>
                <w:sz w:val="24"/>
                <w:szCs w:val="24"/>
                <w:lang w:eastAsia="en-US"/>
              </w:rPr>
              <w:t>alfunction</w:t>
            </w:r>
          </w:p>
        </w:tc>
        <w:tc>
          <w:tcPr>
            <w:tcW w:w="2111" w:type="dxa"/>
            <w:tcBorders>
              <w:top w:val="nil"/>
              <w:left w:val="nil"/>
              <w:bottom w:val="single" w:sz="8" w:space="0" w:color="auto"/>
              <w:right w:val="single" w:sz="8" w:space="0" w:color="auto"/>
            </w:tcBorders>
            <w:shd w:val="clear" w:color="000000" w:fill="FFFFFF"/>
            <w:vAlign w:val="center"/>
            <w:hideMark/>
          </w:tcPr>
          <w:p w14:paraId="243D22EE" w14:textId="77777777" w:rsidR="00BB3A1D" w:rsidRPr="00BB3A1D" w:rsidRDefault="00BB3A1D" w:rsidP="00BB3A1D">
            <w:pPr>
              <w:spacing w:after="0" w:line="240" w:lineRule="auto"/>
              <w:jc w:val="right"/>
              <w:rPr>
                <w:rFonts w:ascii="Times New Roman" w:eastAsia="Times New Roman" w:hAnsi="Times New Roman" w:cs="Times New Roman"/>
                <w:sz w:val="24"/>
                <w:szCs w:val="24"/>
                <w:lang w:eastAsia="en-US"/>
              </w:rPr>
            </w:pPr>
            <w:r w:rsidRPr="00BB3A1D">
              <w:rPr>
                <w:rFonts w:ascii="Times New Roman" w:eastAsia="Times New Roman" w:hAnsi="Times New Roman" w:cs="Times New Roman"/>
                <w:sz w:val="24"/>
                <w:szCs w:val="24"/>
                <w:lang w:eastAsia="en-US"/>
              </w:rPr>
              <w:t>0.000018</w:t>
            </w:r>
          </w:p>
        </w:tc>
        <w:tc>
          <w:tcPr>
            <w:tcW w:w="2256" w:type="dxa"/>
            <w:tcBorders>
              <w:top w:val="nil"/>
              <w:left w:val="nil"/>
              <w:bottom w:val="single" w:sz="8" w:space="0" w:color="auto"/>
              <w:right w:val="single" w:sz="8" w:space="0" w:color="auto"/>
            </w:tcBorders>
            <w:shd w:val="clear" w:color="auto" w:fill="auto"/>
            <w:vAlign w:val="center"/>
            <w:hideMark/>
          </w:tcPr>
          <w:p w14:paraId="5871D888" w14:textId="1AA78E3D" w:rsidR="00BB3A1D" w:rsidRPr="00BB3A1D" w:rsidRDefault="00F35276" w:rsidP="00202A9E">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fldChar w:fldCharType="begin"/>
            </w:r>
            <w:r w:rsidR="00D0653C">
              <w:rPr>
                <w:rFonts w:ascii="Times New Roman" w:eastAsia="Times New Roman" w:hAnsi="Times New Roman" w:cs="Times New Roman"/>
                <w:color w:val="000000"/>
                <w:sz w:val="24"/>
                <w:szCs w:val="24"/>
                <w:lang w:eastAsia="en-US"/>
              </w:rPr>
              <w:instrText xml:space="preserve"> ADDIN ZOTERO_ITEM CSL_CITATION {"citationID":"ptr8RTrq","properties":{"formattedCitation":"\\super 1\\nosupersub{}","plainCitation":"1","noteIndex":0},"citationItems":[{"id":503,"uris":["http://zotero.org/users/11490235/items/2AETEIGU"],"itemData":{"id":503,"type":"article-journal","abstract":"This report is a compilation of component failure rate and repair rate values that can be used in magnetic fusion safety assessment tasks. Several safety systems are examined, such as gas cleanup systems and plasma shutdown systems. Vacuum system component reliability values, including large vacuum chambers, have been reviewed. Values for water cooling system components have also been reported here. The report concludes with the examination of some equipment important to personnel safety, primarily sensors to detect hazardous conditions such as oxygen deficiency, toxic gas atmospheres, combustible gases, and airborne releases of radioactivity. These data should be useful to system designers to calculate scoping values for the availability and repair intervals for their systems, and for probabilistic safety or risk analysts to assess fusion systems for safety of the public and the workers.","container-title":"Idaho National Engineering and Environmental Laboratory","language":"en","source":"Zotero","title":"Selected Component Failure Rate Values From Fusion Safety Assessments Taks","URL":"https://digital.library.unt.edu/ark:/67531/metadc889049/m2/1/high_res_d/911502.pdf","volume":"INEEL/EXT-98-00892","author":[{"family":"Cadwallader","given":"L C"}],"issued":{"date-parts":[["1998",9]]}}}],"schema":"https://github.com/citation-style-language/schema/raw/master/csl-citation.json"} </w:instrText>
            </w:r>
            <w:r>
              <w:rPr>
                <w:rFonts w:ascii="Times New Roman" w:eastAsia="Times New Roman" w:hAnsi="Times New Roman" w:cs="Times New Roman"/>
                <w:color w:val="000000"/>
                <w:sz w:val="24"/>
                <w:szCs w:val="24"/>
                <w:lang w:eastAsia="en-US"/>
              </w:rPr>
              <w:fldChar w:fldCharType="separate"/>
            </w:r>
            <w:r w:rsidRPr="00F35276">
              <w:rPr>
                <w:rFonts w:ascii="Times New Roman" w:hAnsi="Times New Roman" w:cs="Times New Roman"/>
                <w:sz w:val="24"/>
                <w:vertAlign w:val="superscript"/>
              </w:rPr>
              <w:t>1</w:t>
            </w:r>
            <w:r>
              <w:rPr>
                <w:rFonts w:ascii="Times New Roman" w:eastAsia="Times New Roman" w:hAnsi="Times New Roman" w:cs="Times New Roman"/>
                <w:color w:val="000000"/>
                <w:sz w:val="24"/>
                <w:szCs w:val="24"/>
                <w:lang w:eastAsia="en-US"/>
              </w:rPr>
              <w:fldChar w:fldCharType="end"/>
            </w:r>
            <w:r w:rsidR="006F7982">
              <w:rPr>
                <w:rFonts w:ascii="Times New Roman" w:eastAsia="Times New Roman" w:hAnsi="Times New Roman" w:cs="Times New Roman"/>
                <w:color w:val="000000"/>
                <w:sz w:val="24"/>
                <w:szCs w:val="24"/>
                <w:lang w:eastAsia="en-US"/>
              </w:rPr>
              <w:t>*</w:t>
            </w:r>
          </w:p>
        </w:tc>
      </w:tr>
      <w:tr w:rsidR="00120856" w:rsidRPr="00BB3A1D" w14:paraId="285381E0" w14:textId="77777777" w:rsidTr="00A37809">
        <w:trPr>
          <w:trHeight w:val="320"/>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09A016C1" w14:textId="77777777" w:rsidR="00BB3A1D" w:rsidRPr="00BB3A1D" w:rsidRDefault="00BB3A1D" w:rsidP="00BB3A1D">
            <w:pPr>
              <w:spacing w:after="0" w:line="240" w:lineRule="auto"/>
              <w:rPr>
                <w:rFonts w:ascii="Times New Roman" w:eastAsia="Times New Roman" w:hAnsi="Times New Roman" w:cs="Times New Roman"/>
                <w:color w:val="000000"/>
                <w:sz w:val="24"/>
                <w:szCs w:val="24"/>
                <w:lang w:eastAsia="en-US"/>
              </w:rPr>
            </w:pPr>
            <w:r w:rsidRPr="00BB3A1D">
              <w:rPr>
                <w:rFonts w:ascii="Times New Roman" w:eastAsia="Times New Roman" w:hAnsi="Times New Roman" w:cs="Times New Roman"/>
                <w:color w:val="000000"/>
                <w:sz w:val="24"/>
                <w:szCs w:val="24"/>
                <w:lang w:eastAsia="en-US"/>
              </w:rPr>
              <w:t>p2</w:t>
            </w:r>
          </w:p>
        </w:tc>
        <w:tc>
          <w:tcPr>
            <w:tcW w:w="3643" w:type="dxa"/>
            <w:tcBorders>
              <w:top w:val="nil"/>
              <w:left w:val="nil"/>
              <w:bottom w:val="single" w:sz="8" w:space="0" w:color="auto"/>
              <w:right w:val="single" w:sz="8" w:space="0" w:color="auto"/>
            </w:tcBorders>
            <w:shd w:val="clear" w:color="auto" w:fill="auto"/>
            <w:vAlign w:val="center"/>
            <w:hideMark/>
          </w:tcPr>
          <w:p w14:paraId="5D959B7D" w14:textId="2388F260" w:rsidR="00BB3A1D" w:rsidRPr="00BB3A1D" w:rsidRDefault="00BB3A1D" w:rsidP="00BB3A1D">
            <w:pPr>
              <w:spacing w:after="0" w:line="240" w:lineRule="auto"/>
              <w:rPr>
                <w:rFonts w:ascii="Times New Roman" w:eastAsia="Times New Roman" w:hAnsi="Times New Roman" w:cs="Times New Roman"/>
                <w:color w:val="000000"/>
                <w:sz w:val="24"/>
                <w:szCs w:val="24"/>
                <w:lang w:eastAsia="en-US"/>
              </w:rPr>
            </w:pPr>
            <w:r w:rsidRPr="00BB3A1D">
              <w:rPr>
                <w:rFonts w:ascii="Times New Roman" w:eastAsia="Times New Roman" w:hAnsi="Times New Roman" w:cs="Times New Roman"/>
                <w:color w:val="000000"/>
                <w:sz w:val="24"/>
                <w:szCs w:val="24"/>
                <w:lang w:eastAsia="en-US"/>
              </w:rPr>
              <w:t xml:space="preserve">Relief </w:t>
            </w:r>
            <w:r w:rsidR="00781225">
              <w:rPr>
                <w:rFonts w:ascii="Times New Roman" w:eastAsia="Times New Roman" w:hAnsi="Times New Roman" w:cs="Times New Roman"/>
                <w:color w:val="000000"/>
                <w:sz w:val="24"/>
                <w:szCs w:val="24"/>
                <w:lang w:eastAsia="en-US"/>
              </w:rPr>
              <w:t>v</w:t>
            </w:r>
            <w:r w:rsidRPr="00BB3A1D">
              <w:rPr>
                <w:rFonts w:ascii="Times New Roman" w:eastAsia="Times New Roman" w:hAnsi="Times New Roman" w:cs="Times New Roman"/>
                <w:color w:val="000000"/>
                <w:sz w:val="24"/>
                <w:szCs w:val="24"/>
                <w:lang w:eastAsia="en-US"/>
              </w:rPr>
              <w:t xml:space="preserve">alve </w:t>
            </w:r>
            <w:r w:rsidR="00781225">
              <w:rPr>
                <w:rFonts w:ascii="Times New Roman" w:eastAsia="Times New Roman" w:hAnsi="Times New Roman" w:cs="Times New Roman"/>
                <w:color w:val="000000"/>
                <w:sz w:val="24"/>
                <w:szCs w:val="24"/>
                <w:lang w:eastAsia="en-US"/>
              </w:rPr>
              <w:t>f</w:t>
            </w:r>
            <w:r w:rsidRPr="00BB3A1D">
              <w:rPr>
                <w:rFonts w:ascii="Times New Roman" w:eastAsia="Times New Roman" w:hAnsi="Times New Roman" w:cs="Times New Roman"/>
                <w:color w:val="000000"/>
                <w:sz w:val="24"/>
                <w:szCs w:val="24"/>
                <w:lang w:eastAsia="en-US"/>
              </w:rPr>
              <w:t>ouled/</w:t>
            </w:r>
            <w:r w:rsidR="00781225">
              <w:rPr>
                <w:rFonts w:ascii="Times New Roman" w:eastAsia="Times New Roman" w:hAnsi="Times New Roman" w:cs="Times New Roman"/>
                <w:color w:val="000000"/>
                <w:sz w:val="24"/>
                <w:szCs w:val="24"/>
                <w:lang w:eastAsia="en-US"/>
              </w:rPr>
              <w:t>f</w:t>
            </w:r>
            <w:r w:rsidRPr="00BB3A1D">
              <w:rPr>
                <w:rFonts w:ascii="Times New Roman" w:eastAsia="Times New Roman" w:hAnsi="Times New Roman" w:cs="Times New Roman"/>
                <w:color w:val="000000"/>
                <w:sz w:val="24"/>
                <w:szCs w:val="24"/>
                <w:lang w:eastAsia="en-US"/>
              </w:rPr>
              <w:t>ail</w:t>
            </w:r>
          </w:p>
        </w:tc>
        <w:tc>
          <w:tcPr>
            <w:tcW w:w="2111" w:type="dxa"/>
            <w:tcBorders>
              <w:top w:val="nil"/>
              <w:left w:val="nil"/>
              <w:bottom w:val="single" w:sz="8" w:space="0" w:color="auto"/>
              <w:right w:val="single" w:sz="8" w:space="0" w:color="auto"/>
            </w:tcBorders>
            <w:shd w:val="clear" w:color="000000" w:fill="FFFFFF"/>
            <w:vAlign w:val="center"/>
            <w:hideMark/>
          </w:tcPr>
          <w:p w14:paraId="4F7AFF26" w14:textId="77777777" w:rsidR="00BB3A1D" w:rsidRPr="00BB3A1D" w:rsidRDefault="00BB3A1D" w:rsidP="00BB3A1D">
            <w:pPr>
              <w:spacing w:after="0" w:line="240" w:lineRule="auto"/>
              <w:jc w:val="right"/>
              <w:rPr>
                <w:rFonts w:ascii="Times New Roman" w:eastAsia="Times New Roman" w:hAnsi="Times New Roman" w:cs="Times New Roman"/>
                <w:color w:val="000000"/>
                <w:sz w:val="24"/>
                <w:szCs w:val="24"/>
                <w:lang w:eastAsia="en-US"/>
              </w:rPr>
            </w:pPr>
            <w:r w:rsidRPr="00BB3A1D">
              <w:rPr>
                <w:rFonts w:ascii="Times New Roman" w:eastAsia="Times New Roman" w:hAnsi="Times New Roman" w:cs="Times New Roman"/>
                <w:color w:val="000000"/>
                <w:sz w:val="24"/>
                <w:szCs w:val="24"/>
                <w:lang w:eastAsia="en-US"/>
              </w:rPr>
              <w:t>0.004</w:t>
            </w:r>
          </w:p>
        </w:tc>
        <w:tc>
          <w:tcPr>
            <w:tcW w:w="2256" w:type="dxa"/>
            <w:tcBorders>
              <w:top w:val="nil"/>
              <w:left w:val="nil"/>
              <w:bottom w:val="single" w:sz="8" w:space="0" w:color="auto"/>
              <w:right w:val="single" w:sz="8" w:space="0" w:color="auto"/>
            </w:tcBorders>
            <w:shd w:val="clear" w:color="auto" w:fill="auto"/>
            <w:vAlign w:val="center"/>
            <w:hideMark/>
          </w:tcPr>
          <w:p w14:paraId="3C9B2E7F" w14:textId="2908726F" w:rsidR="00BB3A1D" w:rsidRPr="00BB3A1D" w:rsidRDefault="00F96D3B" w:rsidP="00202A9E">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fldChar w:fldCharType="begin"/>
            </w:r>
            <w:r w:rsidR="000F4736">
              <w:rPr>
                <w:rFonts w:ascii="Times New Roman" w:eastAsia="Times New Roman" w:hAnsi="Times New Roman" w:cs="Times New Roman"/>
                <w:color w:val="000000"/>
                <w:sz w:val="24"/>
                <w:szCs w:val="24"/>
                <w:lang w:eastAsia="en-US"/>
              </w:rPr>
              <w:instrText xml:space="preserve"> ADDIN ZOTERO_ITEM CSL_CITATION {"citationID":"6dpNkjcv","properties":{"formattedCitation":"\\super 2\\nosupersub{}","plainCitation":"2","noteIndex":0},"citationItems":[{"id":494,"uris":["http://zotero.org/users/11490235/items/4W3CDG63"],"itemData":{"id":494,"type":"article-journal","container-title":"Partner Reported Opportunities (PROs) PRO Fact Sheet No. 602 for Reducing Methane Emissions","issue":"602","language":"en","source":"Zotero","title":"Test and Repair Pressure Safety Valves","URL":"https://19january2021snapshot.epa.gov/sites/static/files/2016-06/documents/testandrepairpressuresafetyvalves.pdf","author":[{"family":"U.S. Environmental Protection Agency","given":""}],"issued":{"date-parts":[["2011"]]}}}],"schema":"https://github.com/citation-style-language/schema/raw/master/csl-citation.json"} </w:instrText>
            </w:r>
            <w:r>
              <w:rPr>
                <w:rFonts w:ascii="Times New Roman" w:eastAsia="Times New Roman" w:hAnsi="Times New Roman" w:cs="Times New Roman"/>
                <w:color w:val="000000"/>
                <w:sz w:val="24"/>
                <w:szCs w:val="24"/>
                <w:lang w:eastAsia="en-US"/>
              </w:rPr>
              <w:fldChar w:fldCharType="separate"/>
            </w:r>
            <w:r w:rsidR="00F35276" w:rsidRPr="00F35276">
              <w:rPr>
                <w:rFonts w:ascii="Times New Roman" w:hAnsi="Times New Roman" w:cs="Times New Roman"/>
                <w:sz w:val="24"/>
                <w:vertAlign w:val="superscript"/>
              </w:rPr>
              <w:t>2</w:t>
            </w:r>
            <w:r>
              <w:rPr>
                <w:rFonts w:ascii="Times New Roman" w:eastAsia="Times New Roman" w:hAnsi="Times New Roman" w:cs="Times New Roman"/>
                <w:color w:val="000000"/>
                <w:sz w:val="24"/>
                <w:szCs w:val="24"/>
                <w:lang w:eastAsia="en-US"/>
              </w:rPr>
              <w:fldChar w:fldCharType="end"/>
            </w:r>
          </w:p>
        </w:tc>
      </w:tr>
      <w:tr w:rsidR="00120856" w:rsidRPr="00BB3A1D" w14:paraId="6E70260C" w14:textId="77777777" w:rsidTr="00A37809">
        <w:trPr>
          <w:trHeight w:val="320"/>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26AA29A5" w14:textId="77777777" w:rsidR="00BB3A1D" w:rsidRPr="00BB3A1D" w:rsidRDefault="00BB3A1D" w:rsidP="00BB3A1D">
            <w:pPr>
              <w:spacing w:after="0" w:line="240" w:lineRule="auto"/>
              <w:rPr>
                <w:rFonts w:ascii="Times New Roman" w:eastAsia="Times New Roman" w:hAnsi="Times New Roman" w:cs="Times New Roman"/>
                <w:sz w:val="24"/>
                <w:szCs w:val="24"/>
                <w:lang w:eastAsia="en-US"/>
              </w:rPr>
            </w:pPr>
            <w:r w:rsidRPr="00BB3A1D">
              <w:rPr>
                <w:rFonts w:ascii="Times New Roman" w:eastAsia="Times New Roman" w:hAnsi="Times New Roman" w:cs="Times New Roman"/>
                <w:sz w:val="24"/>
                <w:szCs w:val="24"/>
                <w:lang w:eastAsia="en-US"/>
              </w:rPr>
              <w:t>p3</w:t>
            </w:r>
          </w:p>
        </w:tc>
        <w:tc>
          <w:tcPr>
            <w:tcW w:w="3643" w:type="dxa"/>
            <w:tcBorders>
              <w:top w:val="nil"/>
              <w:left w:val="nil"/>
              <w:bottom w:val="single" w:sz="8" w:space="0" w:color="auto"/>
              <w:right w:val="single" w:sz="8" w:space="0" w:color="auto"/>
            </w:tcBorders>
            <w:shd w:val="clear" w:color="auto" w:fill="auto"/>
            <w:vAlign w:val="center"/>
            <w:hideMark/>
          </w:tcPr>
          <w:p w14:paraId="690C6C6A" w14:textId="0A4DF863" w:rsidR="00BB3A1D" w:rsidRPr="00BB3A1D" w:rsidRDefault="00BB3A1D" w:rsidP="00BB3A1D">
            <w:pPr>
              <w:spacing w:after="0" w:line="240" w:lineRule="auto"/>
              <w:rPr>
                <w:rFonts w:ascii="Times New Roman" w:eastAsia="Times New Roman" w:hAnsi="Times New Roman" w:cs="Times New Roman"/>
                <w:sz w:val="24"/>
                <w:szCs w:val="24"/>
                <w:lang w:eastAsia="en-US"/>
              </w:rPr>
            </w:pPr>
            <w:r w:rsidRPr="00BB3A1D">
              <w:rPr>
                <w:rFonts w:ascii="Times New Roman" w:eastAsia="Times New Roman" w:hAnsi="Times New Roman" w:cs="Times New Roman"/>
                <w:sz w:val="24"/>
                <w:szCs w:val="24"/>
                <w:lang w:eastAsia="en-US"/>
              </w:rPr>
              <w:t>Thief‐hatch /</w:t>
            </w:r>
            <w:r w:rsidR="00781225">
              <w:rPr>
                <w:rFonts w:ascii="Times New Roman" w:eastAsia="Times New Roman" w:hAnsi="Times New Roman" w:cs="Times New Roman"/>
                <w:sz w:val="24"/>
                <w:szCs w:val="24"/>
                <w:lang w:eastAsia="en-US"/>
              </w:rPr>
              <w:t>t</w:t>
            </w:r>
            <w:r w:rsidRPr="00BB3A1D">
              <w:rPr>
                <w:rFonts w:ascii="Times New Roman" w:eastAsia="Times New Roman" w:hAnsi="Times New Roman" w:cs="Times New Roman"/>
                <w:sz w:val="24"/>
                <w:szCs w:val="24"/>
                <w:lang w:eastAsia="en-US"/>
              </w:rPr>
              <w:t xml:space="preserve">ank </w:t>
            </w:r>
            <w:r w:rsidR="00781225">
              <w:rPr>
                <w:rFonts w:ascii="Times New Roman" w:eastAsia="Times New Roman" w:hAnsi="Times New Roman" w:cs="Times New Roman"/>
                <w:sz w:val="24"/>
                <w:szCs w:val="24"/>
                <w:lang w:eastAsia="en-US"/>
              </w:rPr>
              <w:t>o</w:t>
            </w:r>
            <w:r w:rsidRPr="00BB3A1D">
              <w:rPr>
                <w:rFonts w:ascii="Times New Roman" w:eastAsia="Times New Roman" w:hAnsi="Times New Roman" w:cs="Times New Roman"/>
                <w:sz w:val="24"/>
                <w:szCs w:val="24"/>
                <w:lang w:eastAsia="en-US"/>
              </w:rPr>
              <w:t>pening</w:t>
            </w:r>
          </w:p>
        </w:tc>
        <w:tc>
          <w:tcPr>
            <w:tcW w:w="2111" w:type="dxa"/>
            <w:tcBorders>
              <w:top w:val="nil"/>
              <w:left w:val="nil"/>
              <w:bottom w:val="single" w:sz="8" w:space="0" w:color="auto"/>
              <w:right w:val="single" w:sz="8" w:space="0" w:color="auto"/>
            </w:tcBorders>
            <w:shd w:val="clear" w:color="000000" w:fill="FFFFFF"/>
            <w:vAlign w:val="center"/>
            <w:hideMark/>
          </w:tcPr>
          <w:p w14:paraId="1CA817AB" w14:textId="77777777" w:rsidR="00BB3A1D" w:rsidRPr="00BB3A1D" w:rsidRDefault="00BB3A1D" w:rsidP="00BB3A1D">
            <w:pPr>
              <w:spacing w:after="0" w:line="240" w:lineRule="auto"/>
              <w:jc w:val="right"/>
              <w:rPr>
                <w:rFonts w:ascii="Times New Roman" w:eastAsia="Times New Roman" w:hAnsi="Times New Roman" w:cs="Times New Roman"/>
                <w:color w:val="000000"/>
                <w:sz w:val="24"/>
                <w:szCs w:val="24"/>
                <w:lang w:eastAsia="en-US"/>
              </w:rPr>
            </w:pPr>
            <w:r w:rsidRPr="00BB3A1D">
              <w:rPr>
                <w:rFonts w:ascii="Times New Roman" w:eastAsia="Times New Roman" w:hAnsi="Times New Roman" w:cs="Times New Roman"/>
                <w:color w:val="000000"/>
                <w:sz w:val="24"/>
                <w:szCs w:val="24"/>
                <w:lang w:eastAsia="en-US"/>
              </w:rPr>
              <w:t>0.01</w:t>
            </w:r>
          </w:p>
        </w:tc>
        <w:tc>
          <w:tcPr>
            <w:tcW w:w="2256" w:type="dxa"/>
            <w:tcBorders>
              <w:top w:val="nil"/>
              <w:left w:val="nil"/>
              <w:bottom w:val="single" w:sz="8" w:space="0" w:color="auto"/>
              <w:right w:val="single" w:sz="8" w:space="0" w:color="auto"/>
            </w:tcBorders>
            <w:shd w:val="clear" w:color="auto" w:fill="auto"/>
            <w:vAlign w:val="center"/>
            <w:hideMark/>
          </w:tcPr>
          <w:p w14:paraId="77A0C9F1" w14:textId="441ACF9C" w:rsidR="00BB3A1D" w:rsidRPr="00BB3A1D" w:rsidRDefault="0073144D" w:rsidP="00202A9E">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fldChar w:fldCharType="begin"/>
            </w:r>
            <w:r w:rsidR="00D0653C">
              <w:rPr>
                <w:rFonts w:ascii="Times New Roman" w:eastAsia="Times New Roman" w:hAnsi="Times New Roman" w:cs="Times New Roman"/>
                <w:color w:val="000000"/>
                <w:sz w:val="24"/>
                <w:szCs w:val="24"/>
                <w:lang w:eastAsia="en-US"/>
              </w:rPr>
              <w:instrText xml:space="preserve"> ADDIN ZOTERO_ITEM CSL_CITATION {"citationID":"esi9RpL1","properties":{"formattedCitation":"\\super 1\\nosupersub{}","plainCitation":"1","noteIndex":0},"citationItems":[{"id":503,"uris":["http://zotero.org/users/11490235/items/2AETEIGU"],"itemData":{"id":503,"type":"article-journal","abstract":"This report is a compilation of component failure rate and repair rate values that can be used in magnetic fusion safety assessment tasks. Several safety systems are examined, such as gas cleanup systems and plasma shutdown systems. Vacuum system component reliability values, including large vacuum chambers, have been reviewed. Values for water cooling system components have also been reported here. The report concludes with the examination of some equipment important to personnel safety, primarily sensors to detect hazardous conditions such as oxygen deficiency, toxic gas atmospheres, combustible gases, and airborne releases of radioactivity. These data should be useful to system designers to calculate scoping values for the availability and repair intervals for their systems, and for probabilistic safety or risk analysts to assess fusion systems for safety of the public and the workers.","container-title":"Idaho National Engineering and Environmental Laboratory","language":"en","source":"Zotero","title":"Selected Component Failure Rate Values From Fusion Safety Assessments Taks","URL":"https://digital.library.unt.edu/ark:/67531/metadc889049/m2/1/high_res_d/911502.pdf","volume":"INEEL/EXT-98-00892","author":[{"family":"Cadwallader","given":"L C"}],"issued":{"date-parts":[["1998",9]]}}}],"schema":"https://github.com/citation-style-language/schema/raw/master/csl-citation.json"} </w:instrText>
            </w:r>
            <w:r>
              <w:rPr>
                <w:rFonts w:ascii="Times New Roman" w:eastAsia="Times New Roman" w:hAnsi="Times New Roman" w:cs="Times New Roman"/>
                <w:color w:val="000000"/>
                <w:sz w:val="24"/>
                <w:szCs w:val="24"/>
                <w:lang w:eastAsia="en-US"/>
              </w:rPr>
              <w:fldChar w:fldCharType="separate"/>
            </w:r>
            <w:r w:rsidR="00F35276" w:rsidRPr="00F35276">
              <w:rPr>
                <w:rFonts w:ascii="Times New Roman" w:hAnsi="Times New Roman" w:cs="Times New Roman"/>
                <w:sz w:val="24"/>
                <w:vertAlign w:val="superscript"/>
              </w:rPr>
              <w:t>1</w:t>
            </w:r>
            <w:r>
              <w:rPr>
                <w:rFonts w:ascii="Times New Roman" w:eastAsia="Times New Roman" w:hAnsi="Times New Roman" w:cs="Times New Roman"/>
                <w:color w:val="000000"/>
                <w:sz w:val="24"/>
                <w:szCs w:val="24"/>
                <w:lang w:eastAsia="en-US"/>
              </w:rPr>
              <w:fldChar w:fldCharType="end"/>
            </w:r>
          </w:p>
        </w:tc>
      </w:tr>
      <w:tr w:rsidR="00120856" w:rsidRPr="00BB3A1D" w14:paraId="106644E1" w14:textId="77777777" w:rsidTr="00A37809">
        <w:trPr>
          <w:trHeight w:val="320"/>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5F70922B" w14:textId="77777777" w:rsidR="00BB3A1D" w:rsidRPr="00BB3A1D" w:rsidRDefault="00BB3A1D" w:rsidP="00BB3A1D">
            <w:pPr>
              <w:spacing w:after="0" w:line="240" w:lineRule="auto"/>
              <w:rPr>
                <w:rFonts w:ascii="Times New Roman" w:eastAsia="Times New Roman" w:hAnsi="Times New Roman" w:cs="Times New Roman"/>
                <w:color w:val="000000"/>
                <w:sz w:val="24"/>
                <w:szCs w:val="24"/>
                <w:lang w:eastAsia="en-US"/>
              </w:rPr>
            </w:pPr>
            <w:r w:rsidRPr="00BB3A1D">
              <w:rPr>
                <w:rFonts w:ascii="Times New Roman" w:eastAsia="Times New Roman" w:hAnsi="Times New Roman" w:cs="Times New Roman"/>
                <w:color w:val="000000"/>
                <w:sz w:val="24"/>
                <w:szCs w:val="24"/>
                <w:lang w:eastAsia="en-US"/>
              </w:rPr>
              <w:t>p4</w:t>
            </w:r>
          </w:p>
        </w:tc>
        <w:tc>
          <w:tcPr>
            <w:tcW w:w="3643" w:type="dxa"/>
            <w:tcBorders>
              <w:top w:val="nil"/>
              <w:left w:val="nil"/>
              <w:bottom w:val="single" w:sz="8" w:space="0" w:color="auto"/>
              <w:right w:val="single" w:sz="8" w:space="0" w:color="auto"/>
            </w:tcBorders>
            <w:shd w:val="clear" w:color="auto" w:fill="auto"/>
            <w:vAlign w:val="center"/>
            <w:hideMark/>
          </w:tcPr>
          <w:p w14:paraId="7CA4668A" w14:textId="3831CFD4" w:rsidR="00BB3A1D" w:rsidRPr="00BB3A1D" w:rsidRDefault="00BB3A1D" w:rsidP="00BB3A1D">
            <w:pPr>
              <w:spacing w:after="0" w:line="240" w:lineRule="auto"/>
              <w:rPr>
                <w:rFonts w:ascii="Times New Roman" w:eastAsia="Times New Roman" w:hAnsi="Times New Roman" w:cs="Times New Roman"/>
                <w:sz w:val="24"/>
                <w:szCs w:val="24"/>
                <w:lang w:eastAsia="en-US"/>
              </w:rPr>
            </w:pPr>
            <w:r w:rsidRPr="00BB3A1D">
              <w:rPr>
                <w:rFonts w:ascii="Times New Roman" w:eastAsia="Times New Roman" w:hAnsi="Times New Roman" w:cs="Times New Roman"/>
                <w:sz w:val="24"/>
                <w:szCs w:val="24"/>
                <w:lang w:eastAsia="en-US"/>
              </w:rPr>
              <w:t xml:space="preserve">Control </w:t>
            </w:r>
            <w:r w:rsidR="00781225">
              <w:rPr>
                <w:rFonts w:ascii="Times New Roman" w:eastAsia="Times New Roman" w:hAnsi="Times New Roman" w:cs="Times New Roman"/>
                <w:sz w:val="24"/>
                <w:szCs w:val="24"/>
                <w:lang w:eastAsia="en-US"/>
              </w:rPr>
              <w:t>s</w:t>
            </w:r>
            <w:r w:rsidRPr="00BB3A1D">
              <w:rPr>
                <w:rFonts w:ascii="Times New Roman" w:eastAsia="Times New Roman" w:hAnsi="Times New Roman" w:cs="Times New Roman"/>
                <w:sz w:val="24"/>
                <w:szCs w:val="24"/>
                <w:lang w:eastAsia="en-US"/>
              </w:rPr>
              <w:t xml:space="preserve">ystem </w:t>
            </w:r>
            <w:r w:rsidR="00781225">
              <w:rPr>
                <w:rFonts w:ascii="Times New Roman" w:eastAsia="Times New Roman" w:hAnsi="Times New Roman" w:cs="Times New Roman"/>
                <w:sz w:val="24"/>
                <w:szCs w:val="24"/>
                <w:lang w:eastAsia="en-US"/>
              </w:rPr>
              <w:t>f</w:t>
            </w:r>
            <w:r w:rsidRPr="00BB3A1D">
              <w:rPr>
                <w:rFonts w:ascii="Times New Roman" w:eastAsia="Times New Roman" w:hAnsi="Times New Roman" w:cs="Times New Roman"/>
                <w:sz w:val="24"/>
                <w:szCs w:val="24"/>
                <w:lang w:eastAsia="en-US"/>
              </w:rPr>
              <w:t>ailure</w:t>
            </w:r>
          </w:p>
        </w:tc>
        <w:tc>
          <w:tcPr>
            <w:tcW w:w="2111" w:type="dxa"/>
            <w:tcBorders>
              <w:top w:val="nil"/>
              <w:left w:val="nil"/>
              <w:bottom w:val="single" w:sz="8" w:space="0" w:color="auto"/>
              <w:right w:val="single" w:sz="8" w:space="0" w:color="auto"/>
            </w:tcBorders>
            <w:shd w:val="clear" w:color="000000" w:fill="FFFFFF"/>
            <w:vAlign w:val="center"/>
            <w:hideMark/>
          </w:tcPr>
          <w:p w14:paraId="49FEC40D" w14:textId="77777777" w:rsidR="00BB3A1D" w:rsidRPr="00BB3A1D" w:rsidRDefault="00BB3A1D" w:rsidP="00BB3A1D">
            <w:pPr>
              <w:spacing w:after="0" w:line="240" w:lineRule="auto"/>
              <w:jc w:val="right"/>
              <w:rPr>
                <w:rFonts w:ascii="Times New Roman" w:eastAsia="Times New Roman" w:hAnsi="Times New Roman" w:cs="Times New Roman"/>
                <w:sz w:val="24"/>
                <w:szCs w:val="24"/>
                <w:lang w:eastAsia="en-US"/>
              </w:rPr>
            </w:pPr>
            <w:r w:rsidRPr="00BB3A1D">
              <w:rPr>
                <w:rFonts w:ascii="Times New Roman" w:eastAsia="Times New Roman" w:hAnsi="Times New Roman" w:cs="Times New Roman"/>
                <w:sz w:val="24"/>
                <w:szCs w:val="24"/>
                <w:lang w:eastAsia="en-US"/>
              </w:rPr>
              <w:t>0.0085</w:t>
            </w:r>
          </w:p>
        </w:tc>
        <w:tc>
          <w:tcPr>
            <w:tcW w:w="2256" w:type="dxa"/>
            <w:tcBorders>
              <w:top w:val="nil"/>
              <w:left w:val="nil"/>
              <w:bottom w:val="single" w:sz="8" w:space="0" w:color="auto"/>
              <w:right w:val="single" w:sz="8" w:space="0" w:color="auto"/>
            </w:tcBorders>
            <w:shd w:val="clear" w:color="auto" w:fill="auto"/>
            <w:vAlign w:val="center"/>
            <w:hideMark/>
          </w:tcPr>
          <w:p w14:paraId="4DB413BE" w14:textId="539B71DB" w:rsidR="00BB3A1D" w:rsidRPr="00BB3A1D" w:rsidRDefault="0028508A" w:rsidP="00202A9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ADDIN ZOTERO_ITEM CSL_CITATION {"citationID":"Jez6LCrz","properties":{"formattedCitation":"\\super 3\\nosupersub{}","plainCitation":"3","noteIndex":0},"citationItems":[{"id":496,"uris":["http://zotero.org/users/11490235/items/DF93ZCYW"],"itemData":{"id":496,"type":"article-journal","abstract":"Aiming at the problems of complex calculation processes, insufficient risk data, and reliance on experts’ subjective judgments that exist in traditional probability analysis methods, this paper proposes a probability analysis method for hazardous chemical storage tank leakage accidents based on neural networks and fuzzy dynamic fault trees (Fuzzy DFT). This method combines fuzzy set theory (FST) and Bootstrap technology to accurately quantify the failure probabilities of basic events (BEs) and reduce the dependence on experts’ subjective judgments. Furthermore, an artificial neural network (ANN) model for tank failures is constructed. This model can accurately calculate the probability of tank leakage accidents by taking into account the dependency relationships among basic events. Finally, a long short-term memory (LSTM) network is utilized to analyze the dynamic evolution trend of the probability of storage tank accidents over time. In this paper, this method is applied to the case of the “11.28” Shenghua vinyl chloride leakage accident. The results show that the calculation results of this method are highly consistent with the actual situation of the accident, indicating that it is a scientific and effective method for analyzing the probability of hazardous chemical storage tank leakage accidents.","container-title":"Applied Sciences","DOI":"10.3390/app15073504","ISSN":"2076-3417","issue":"7","journalAbbreviation":"Applied Sciences","language":"en","license":"https://creativecommons.org/licenses/by/4.0/","page":"3504","source":"DOI.org (Crossref)","title":"Probability Analysis of Hazardous Chemicals Storage Tank Leakage Accident Based on Neural Network and Fuzzy Dynamic Fault Tree","volume":"15","author":[{"family":"Li","given":"Xue"},{"family":"Liu","given":"Wei’ao"},{"family":"Zhou","given":"Ning"},{"family":"Yuan","given":"Xiongjun"}],"issued":{"date-parts":[["2025",3,23]]}}}],"schema":"https://github.com/citation-style-language/schema/raw/master/csl-citation.json"} </w:instrText>
            </w:r>
            <w:r>
              <w:rPr>
                <w:rFonts w:ascii="Times New Roman" w:eastAsia="Times New Roman" w:hAnsi="Times New Roman" w:cs="Times New Roman"/>
                <w:sz w:val="24"/>
                <w:szCs w:val="24"/>
                <w:lang w:eastAsia="en-US"/>
              </w:rPr>
              <w:fldChar w:fldCharType="separate"/>
            </w:r>
            <w:r w:rsidRPr="0028508A">
              <w:rPr>
                <w:rFonts w:ascii="Times New Roman" w:hAnsi="Times New Roman" w:cs="Times New Roman"/>
                <w:sz w:val="24"/>
                <w:vertAlign w:val="superscript"/>
              </w:rPr>
              <w:t>3</w:t>
            </w:r>
            <w:r>
              <w:rPr>
                <w:rFonts w:ascii="Times New Roman" w:eastAsia="Times New Roman" w:hAnsi="Times New Roman" w:cs="Times New Roman"/>
                <w:sz w:val="24"/>
                <w:szCs w:val="24"/>
                <w:lang w:eastAsia="en-US"/>
              </w:rPr>
              <w:fldChar w:fldCharType="end"/>
            </w:r>
          </w:p>
        </w:tc>
      </w:tr>
      <w:tr w:rsidR="00120856" w:rsidRPr="00BB3A1D" w14:paraId="2383678B" w14:textId="77777777" w:rsidTr="00A37809">
        <w:trPr>
          <w:trHeight w:val="320"/>
        </w:trPr>
        <w:tc>
          <w:tcPr>
            <w:tcW w:w="1440" w:type="dxa"/>
            <w:tcBorders>
              <w:top w:val="nil"/>
              <w:left w:val="single" w:sz="8" w:space="0" w:color="auto"/>
              <w:bottom w:val="single" w:sz="8" w:space="0" w:color="auto"/>
              <w:right w:val="single" w:sz="8" w:space="0" w:color="auto"/>
            </w:tcBorders>
            <w:shd w:val="clear" w:color="auto" w:fill="auto"/>
            <w:vAlign w:val="center"/>
          </w:tcPr>
          <w:p w14:paraId="3B1A0826" w14:textId="4C32C219" w:rsidR="00781225" w:rsidRPr="00BB3A1D" w:rsidRDefault="00781225" w:rsidP="00781225">
            <w:pPr>
              <w:spacing w:after="0" w:line="240" w:lineRule="auto"/>
              <w:rPr>
                <w:rFonts w:ascii="Times New Roman" w:eastAsia="Times New Roman" w:hAnsi="Times New Roman" w:cs="Times New Roman"/>
                <w:sz w:val="24"/>
                <w:szCs w:val="24"/>
                <w:lang w:eastAsia="en-US"/>
              </w:rPr>
            </w:pPr>
            <w:r w:rsidRPr="00BB3A1D">
              <w:rPr>
                <w:rFonts w:ascii="Times New Roman" w:eastAsia="Times New Roman" w:hAnsi="Times New Roman" w:cs="Times New Roman"/>
                <w:sz w:val="24"/>
                <w:szCs w:val="24"/>
                <w:lang w:eastAsia="en-US"/>
              </w:rPr>
              <w:t>p5</w:t>
            </w:r>
          </w:p>
        </w:tc>
        <w:tc>
          <w:tcPr>
            <w:tcW w:w="3643" w:type="dxa"/>
            <w:tcBorders>
              <w:top w:val="nil"/>
              <w:left w:val="nil"/>
              <w:bottom w:val="single" w:sz="8" w:space="0" w:color="auto"/>
              <w:right w:val="single" w:sz="8" w:space="0" w:color="auto"/>
            </w:tcBorders>
            <w:shd w:val="clear" w:color="auto" w:fill="auto"/>
            <w:vAlign w:val="center"/>
          </w:tcPr>
          <w:p w14:paraId="70B77D75" w14:textId="6F94E30F" w:rsidR="00781225" w:rsidRPr="00BB3A1D" w:rsidRDefault="00781225" w:rsidP="00781225">
            <w:pPr>
              <w:spacing w:after="0" w:line="240" w:lineRule="auto"/>
              <w:rPr>
                <w:rFonts w:ascii="Times New Roman" w:eastAsia="Times New Roman" w:hAnsi="Times New Roman" w:cs="Times New Roman"/>
                <w:sz w:val="24"/>
                <w:szCs w:val="24"/>
                <w:lang w:eastAsia="en-US"/>
              </w:rPr>
            </w:pPr>
            <w:r w:rsidRPr="00BB3A1D">
              <w:rPr>
                <w:rFonts w:ascii="Times New Roman" w:eastAsia="Times New Roman" w:hAnsi="Times New Roman" w:cs="Times New Roman"/>
                <w:sz w:val="24"/>
                <w:szCs w:val="24"/>
                <w:lang w:eastAsia="en-US"/>
              </w:rPr>
              <w:t xml:space="preserve">Separator </w:t>
            </w:r>
            <w:r>
              <w:rPr>
                <w:rFonts w:ascii="Times New Roman" w:eastAsia="Times New Roman" w:hAnsi="Times New Roman" w:cs="Times New Roman"/>
                <w:sz w:val="24"/>
                <w:szCs w:val="24"/>
                <w:lang w:eastAsia="en-US"/>
              </w:rPr>
              <w:t>c</w:t>
            </w:r>
            <w:r w:rsidRPr="00BB3A1D">
              <w:rPr>
                <w:rFonts w:ascii="Times New Roman" w:eastAsia="Times New Roman" w:hAnsi="Times New Roman" w:cs="Times New Roman"/>
                <w:sz w:val="24"/>
                <w:szCs w:val="24"/>
                <w:lang w:eastAsia="en-US"/>
              </w:rPr>
              <w:t>arryover</w:t>
            </w:r>
          </w:p>
        </w:tc>
        <w:tc>
          <w:tcPr>
            <w:tcW w:w="2111" w:type="dxa"/>
            <w:tcBorders>
              <w:top w:val="nil"/>
              <w:left w:val="nil"/>
              <w:bottom w:val="single" w:sz="8" w:space="0" w:color="auto"/>
              <w:right w:val="single" w:sz="8" w:space="0" w:color="auto"/>
            </w:tcBorders>
            <w:shd w:val="clear" w:color="auto" w:fill="auto"/>
            <w:vAlign w:val="center"/>
          </w:tcPr>
          <w:p w14:paraId="4A54E1AC" w14:textId="70466BA3" w:rsidR="00781225" w:rsidRPr="00BB3A1D" w:rsidRDefault="00781225" w:rsidP="00781225">
            <w:pPr>
              <w:spacing w:after="0" w:line="240" w:lineRule="auto"/>
              <w:jc w:val="right"/>
              <w:rPr>
                <w:rFonts w:ascii="Times New Roman" w:eastAsia="Times New Roman" w:hAnsi="Times New Roman" w:cs="Times New Roman"/>
                <w:sz w:val="24"/>
                <w:szCs w:val="24"/>
                <w:lang w:eastAsia="en-US"/>
              </w:rPr>
            </w:pPr>
            <w:r w:rsidRPr="00BB3A1D">
              <w:rPr>
                <w:rFonts w:ascii="Times New Roman" w:eastAsia="Times New Roman" w:hAnsi="Times New Roman" w:cs="Times New Roman"/>
                <w:sz w:val="24"/>
                <w:szCs w:val="24"/>
                <w:lang w:eastAsia="en-US"/>
              </w:rPr>
              <w:t>0.004</w:t>
            </w:r>
          </w:p>
        </w:tc>
        <w:tc>
          <w:tcPr>
            <w:tcW w:w="2256" w:type="dxa"/>
            <w:tcBorders>
              <w:top w:val="nil"/>
              <w:left w:val="nil"/>
              <w:bottom w:val="single" w:sz="8" w:space="0" w:color="auto"/>
              <w:right w:val="single" w:sz="8" w:space="0" w:color="auto"/>
            </w:tcBorders>
            <w:shd w:val="clear" w:color="auto" w:fill="auto"/>
            <w:vAlign w:val="center"/>
          </w:tcPr>
          <w:p w14:paraId="35625A2D" w14:textId="0D6BC4C4" w:rsidR="00781225" w:rsidRPr="00BB3A1D" w:rsidRDefault="00781225" w:rsidP="00202A9E">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fldChar w:fldCharType="begin"/>
            </w:r>
            <w:r>
              <w:rPr>
                <w:rFonts w:ascii="Times New Roman" w:eastAsia="Times New Roman" w:hAnsi="Times New Roman" w:cs="Times New Roman"/>
                <w:color w:val="000000"/>
                <w:sz w:val="24"/>
                <w:szCs w:val="24"/>
                <w:lang w:eastAsia="en-US"/>
              </w:rPr>
              <w:instrText xml:space="preserve"> ADDIN ZOTERO_ITEM CSL_CITATION {"citationID":"vFGcFgqd","properties":{"formattedCitation":"\\super 4\\nosupersub{}","plainCitation":"4","noteIndex":0},"citationItems":[{"id":500,"uris":["http://zotero.org/users/11490235/items/QQ8N7Y86"],"itemData":{"id":500,"type":"book","edition":"1","ISBN":"978-0-8169-0461-7","language":"en","note":"DOI: 10.1002/9780470925096","publisher":"Wiley","source":"DOI.org (Crossref)","title":"Qualitative and Quantitative Prediction of Human Error in Risk Assessment","URL":"https://onlinelibrary.wiley.com/doi/book/10.1002/9780470925096","author":[{"literal":"Center for Chemical Process Safety"}],"accessed":{"date-parts":[["2025",6,2]]},"issued":{"date-parts":[["2004",8]]}}}],"schema":"https://github.com/citation-style-language/schema/raw/master/csl-citation.json"} </w:instrText>
            </w:r>
            <w:r>
              <w:rPr>
                <w:rFonts w:ascii="Times New Roman" w:eastAsia="Times New Roman" w:hAnsi="Times New Roman" w:cs="Times New Roman"/>
                <w:color w:val="000000"/>
                <w:sz w:val="24"/>
                <w:szCs w:val="24"/>
                <w:lang w:eastAsia="en-US"/>
              </w:rPr>
              <w:fldChar w:fldCharType="separate"/>
            </w:r>
            <w:r w:rsidRPr="001B46D0">
              <w:rPr>
                <w:rFonts w:ascii="Times New Roman" w:hAnsi="Times New Roman" w:cs="Times New Roman"/>
                <w:sz w:val="24"/>
                <w:vertAlign w:val="superscript"/>
              </w:rPr>
              <w:t>4</w:t>
            </w:r>
            <w:r>
              <w:rPr>
                <w:rFonts w:ascii="Times New Roman" w:eastAsia="Times New Roman" w:hAnsi="Times New Roman" w:cs="Times New Roman"/>
                <w:color w:val="000000"/>
                <w:sz w:val="24"/>
                <w:szCs w:val="24"/>
                <w:lang w:eastAsia="en-US"/>
              </w:rPr>
              <w:fldChar w:fldCharType="end"/>
            </w:r>
          </w:p>
        </w:tc>
      </w:tr>
      <w:tr w:rsidR="00120856" w:rsidRPr="00BB3A1D" w14:paraId="3E937967" w14:textId="77777777" w:rsidTr="00A37809">
        <w:trPr>
          <w:trHeight w:val="320"/>
        </w:trPr>
        <w:tc>
          <w:tcPr>
            <w:tcW w:w="1440" w:type="dxa"/>
            <w:tcBorders>
              <w:top w:val="nil"/>
              <w:left w:val="single" w:sz="8" w:space="0" w:color="auto"/>
              <w:bottom w:val="single" w:sz="8" w:space="0" w:color="auto"/>
              <w:right w:val="single" w:sz="8" w:space="0" w:color="auto"/>
            </w:tcBorders>
            <w:shd w:val="clear" w:color="auto" w:fill="auto"/>
            <w:vAlign w:val="center"/>
          </w:tcPr>
          <w:p w14:paraId="0755BAA3" w14:textId="7FF2CD9E" w:rsidR="00781225" w:rsidRPr="00BB3A1D" w:rsidRDefault="00781225" w:rsidP="00781225">
            <w:pPr>
              <w:spacing w:after="0" w:line="240" w:lineRule="auto"/>
              <w:rPr>
                <w:rFonts w:ascii="Times New Roman" w:eastAsia="Times New Roman" w:hAnsi="Times New Roman" w:cs="Times New Roman"/>
                <w:sz w:val="24"/>
                <w:szCs w:val="24"/>
                <w:lang w:eastAsia="en-US"/>
              </w:rPr>
            </w:pPr>
            <w:r w:rsidRPr="00BB3A1D">
              <w:rPr>
                <w:rFonts w:ascii="Times New Roman" w:eastAsia="Times New Roman" w:hAnsi="Times New Roman" w:cs="Times New Roman"/>
                <w:color w:val="000000"/>
                <w:sz w:val="24"/>
                <w:szCs w:val="24"/>
                <w:lang w:eastAsia="en-US"/>
              </w:rPr>
              <w:t>p6</w:t>
            </w:r>
          </w:p>
        </w:tc>
        <w:tc>
          <w:tcPr>
            <w:tcW w:w="3643" w:type="dxa"/>
            <w:tcBorders>
              <w:top w:val="nil"/>
              <w:left w:val="nil"/>
              <w:bottom w:val="single" w:sz="8" w:space="0" w:color="auto"/>
              <w:right w:val="single" w:sz="8" w:space="0" w:color="auto"/>
            </w:tcBorders>
            <w:shd w:val="clear" w:color="auto" w:fill="auto"/>
            <w:vAlign w:val="center"/>
          </w:tcPr>
          <w:p w14:paraId="7EE5BDB4" w14:textId="04A5CD63" w:rsidR="00781225" w:rsidRPr="00BB3A1D" w:rsidRDefault="00781225" w:rsidP="00781225">
            <w:pPr>
              <w:spacing w:after="0" w:line="240" w:lineRule="auto"/>
              <w:rPr>
                <w:rFonts w:ascii="Times New Roman" w:eastAsia="Times New Roman" w:hAnsi="Times New Roman" w:cs="Times New Roman"/>
                <w:sz w:val="24"/>
                <w:szCs w:val="24"/>
                <w:lang w:eastAsia="en-US"/>
              </w:rPr>
            </w:pPr>
            <w:r w:rsidRPr="00BB3A1D">
              <w:rPr>
                <w:rFonts w:ascii="Times New Roman" w:eastAsia="Times New Roman" w:hAnsi="Times New Roman" w:cs="Times New Roman"/>
                <w:sz w:val="24"/>
                <w:szCs w:val="24"/>
                <w:lang w:eastAsia="en-US"/>
              </w:rPr>
              <w:t xml:space="preserve">Dumping </w:t>
            </w:r>
            <w:r>
              <w:rPr>
                <w:rFonts w:ascii="Times New Roman" w:eastAsia="Times New Roman" w:hAnsi="Times New Roman" w:cs="Times New Roman"/>
                <w:sz w:val="24"/>
                <w:szCs w:val="24"/>
                <w:lang w:eastAsia="en-US"/>
              </w:rPr>
              <w:t>v</w:t>
            </w:r>
            <w:r w:rsidRPr="00BB3A1D">
              <w:rPr>
                <w:rFonts w:ascii="Times New Roman" w:eastAsia="Times New Roman" w:hAnsi="Times New Roman" w:cs="Times New Roman"/>
                <w:sz w:val="24"/>
                <w:szCs w:val="24"/>
                <w:lang w:eastAsia="en-US"/>
              </w:rPr>
              <w:t xml:space="preserve">alve </w:t>
            </w:r>
            <w:r>
              <w:rPr>
                <w:rFonts w:ascii="Times New Roman" w:eastAsia="Times New Roman" w:hAnsi="Times New Roman" w:cs="Times New Roman"/>
                <w:sz w:val="24"/>
                <w:szCs w:val="24"/>
                <w:lang w:eastAsia="en-US"/>
              </w:rPr>
              <w:t>f</w:t>
            </w:r>
            <w:r w:rsidRPr="00BB3A1D">
              <w:rPr>
                <w:rFonts w:ascii="Times New Roman" w:eastAsia="Times New Roman" w:hAnsi="Times New Roman" w:cs="Times New Roman"/>
                <w:sz w:val="24"/>
                <w:szCs w:val="24"/>
                <w:lang w:eastAsia="en-US"/>
              </w:rPr>
              <w:t>ailure</w:t>
            </w:r>
          </w:p>
        </w:tc>
        <w:tc>
          <w:tcPr>
            <w:tcW w:w="2111" w:type="dxa"/>
            <w:tcBorders>
              <w:top w:val="nil"/>
              <w:left w:val="nil"/>
              <w:bottom w:val="single" w:sz="8" w:space="0" w:color="auto"/>
              <w:right w:val="single" w:sz="8" w:space="0" w:color="auto"/>
            </w:tcBorders>
            <w:shd w:val="clear" w:color="auto" w:fill="auto"/>
            <w:vAlign w:val="center"/>
          </w:tcPr>
          <w:p w14:paraId="4EAB8EF6" w14:textId="10B0EFD5" w:rsidR="00781225" w:rsidRPr="00BB3A1D" w:rsidRDefault="00781225" w:rsidP="00781225">
            <w:pPr>
              <w:spacing w:after="0" w:line="240" w:lineRule="auto"/>
              <w:jc w:val="right"/>
              <w:rPr>
                <w:rFonts w:ascii="Times New Roman" w:eastAsia="Times New Roman" w:hAnsi="Times New Roman" w:cs="Times New Roman"/>
                <w:sz w:val="24"/>
                <w:szCs w:val="24"/>
                <w:lang w:eastAsia="en-US"/>
              </w:rPr>
            </w:pPr>
            <w:r w:rsidRPr="00BB3A1D">
              <w:rPr>
                <w:rFonts w:ascii="Times New Roman" w:eastAsia="Times New Roman" w:hAnsi="Times New Roman" w:cs="Times New Roman"/>
                <w:sz w:val="24"/>
                <w:szCs w:val="24"/>
                <w:lang w:eastAsia="en-US"/>
              </w:rPr>
              <w:t>0.0001</w:t>
            </w:r>
          </w:p>
        </w:tc>
        <w:tc>
          <w:tcPr>
            <w:tcW w:w="2256" w:type="dxa"/>
            <w:tcBorders>
              <w:top w:val="nil"/>
              <w:left w:val="nil"/>
              <w:bottom w:val="single" w:sz="8" w:space="0" w:color="auto"/>
              <w:right w:val="single" w:sz="8" w:space="0" w:color="auto"/>
            </w:tcBorders>
            <w:shd w:val="clear" w:color="auto" w:fill="auto"/>
            <w:vAlign w:val="center"/>
          </w:tcPr>
          <w:p w14:paraId="269854DA" w14:textId="7A683D62" w:rsidR="00781225" w:rsidRPr="00BB3A1D" w:rsidRDefault="00781225" w:rsidP="00202A9E">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fldChar w:fldCharType="begin"/>
            </w:r>
            <w:r>
              <w:rPr>
                <w:rFonts w:ascii="Times New Roman" w:eastAsia="Times New Roman" w:hAnsi="Times New Roman" w:cs="Times New Roman"/>
                <w:color w:val="000000"/>
                <w:sz w:val="24"/>
                <w:szCs w:val="24"/>
                <w:lang w:eastAsia="en-US"/>
              </w:rPr>
              <w:instrText xml:space="preserve"> ADDIN ZOTERO_ITEM CSL_CITATION {"citationID":"mXft8bEl","properties":{"formattedCitation":"\\super 5\\nosupersub{}","plainCitation":"5","noteIndex":0},"citationItems":[{"id":505,"uris":["http://zotero.org/users/11490235/items/G5RL73G8"],"itemData":{"id":505,"type":"article-journal","container-title":"UK Health and Safety Executive","language":"en","source":"Zotero","title":"Failure Rate and Event Data for use within Land Use Planning Risk Assessments","URL":"https://www.primatech.com/images/docs/failure-rates.pdf","author":[{"family":"Health and Safety Executive. (n.d.).","given":""}],"issued":{"date-parts":[["2001",7,17]]}}}],"schema":"https://github.com/citation-style-language/schema/raw/master/csl-citation.json"} </w:instrText>
            </w:r>
            <w:r>
              <w:rPr>
                <w:rFonts w:ascii="Times New Roman" w:eastAsia="Times New Roman" w:hAnsi="Times New Roman" w:cs="Times New Roman"/>
                <w:color w:val="000000"/>
                <w:sz w:val="24"/>
                <w:szCs w:val="24"/>
                <w:lang w:eastAsia="en-US"/>
              </w:rPr>
              <w:fldChar w:fldCharType="separate"/>
            </w:r>
            <w:r w:rsidRPr="00A523F3">
              <w:rPr>
                <w:rFonts w:ascii="Times New Roman" w:hAnsi="Times New Roman" w:cs="Times New Roman"/>
                <w:sz w:val="24"/>
                <w:vertAlign w:val="superscript"/>
              </w:rPr>
              <w:t>5</w:t>
            </w:r>
            <w:r>
              <w:rPr>
                <w:rFonts w:ascii="Times New Roman" w:eastAsia="Times New Roman" w:hAnsi="Times New Roman" w:cs="Times New Roman"/>
                <w:color w:val="000000"/>
                <w:sz w:val="24"/>
                <w:szCs w:val="24"/>
                <w:lang w:eastAsia="en-US"/>
              </w:rPr>
              <w:fldChar w:fldCharType="end"/>
            </w:r>
          </w:p>
        </w:tc>
      </w:tr>
      <w:tr w:rsidR="00120856" w:rsidRPr="00BB3A1D" w14:paraId="1F3C6BD0" w14:textId="77777777" w:rsidTr="00A37809">
        <w:trPr>
          <w:trHeight w:val="320"/>
        </w:trPr>
        <w:tc>
          <w:tcPr>
            <w:tcW w:w="1440" w:type="dxa"/>
            <w:tcBorders>
              <w:top w:val="nil"/>
              <w:left w:val="single" w:sz="8" w:space="0" w:color="auto"/>
              <w:bottom w:val="single" w:sz="8" w:space="0" w:color="auto"/>
              <w:right w:val="single" w:sz="8" w:space="0" w:color="auto"/>
            </w:tcBorders>
            <w:shd w:val="clear" w:color="auto" w:fill="auto"/>
            <w:vAlign w:val="center"/>
          </w:tcPr>
          <w:p w14:paraId="28027D56" w14:textId="2A042464" w:rsidR="00781225" w:rsidRPr="00BB3A1D" w:rsidRDefault="00781225" w:rsidP="00781225">
            <w:pPr>
              <w:spacing w:after="0" w:line="240" w:lineRule="auto"/>
              <w:rPr>
                <w:rFonts w:ascii="Times New Roman" w:eastAsia="Times New Roman" w:hAnsi="Times New Roman" w:cs="Times New Roman"/>
                <w:sz w:val="24"/>
                <w:szCs w:val="24"/>
                <w:lang w:eastAsia="en-US"/>
              </w:rPr>
            </w:pPr>
            <w:r w:rsidRPr="00BB3A1D">
              <w:rPr>
                <w:rFonts w:ascii="Times New Roman" w:eastAsia="Times New Roman" w:hAnsi="Times New Roman" w:cs="Times New Roman"/>
                <w:sz w:val="24"/>
                <w:szCs w:val="24"/>
                <w:lang w:eastAsia="en-US"/>
              </w:rPr>
              <w:t>p7</w:t>
            </w:r>
          </w:p>
        </w:tc>
        <w:tc>
          <w:tcPr>
            <w:tcW w:w="3643" w:type="dxa"/>
            <w:tcBorders>
              <w:top w:val="nil"/>
              <w:left w:val="nil"/>
              <w:bottom w:val="single" w:sz="8" w:space="0" w:color="auto"/>
              <w:right w:val="single" w:sz="8" w:space="0" w:color="auto"/>
            </w:tcBorders>
            <w:shd w:val="clear" w:color="auto" w:fill="auto"/>
            <w:vAlign w:val="center"/>
          </w:tcPr>
          <w:p w14:paraId="028F1A52" w14:textId="084362CB" w:rsidR="00781225" w:rsidRPr="00BB3A1D" w:rsidRDefault="00781225" w:rsidP="00781225">
            <w:pPr>
              <w:spacing w:after="0" w:line="240" w:lineRule="auto"/>
              <w:rPr>
                <w:rFonts w:ascii="Times New Roman" w:eastAsia="Times New Roman" w:hAnsi="Times New Roman" w:cs="Times New Roman"/>
                <w:sz w:val="24"/>
                <w:szCs w:val="24"/>
                <w:lang w:eastAsia="en-US"/>
              </w:rPr>
            </w:pPr>
            <w:r w:rsidRPr="00BB3A1D">
              <w:rPr>
                <w:rFonts w:ascii="Times New Roman" w:eastAsia="Times New Roman" w:hAnsi="Times New Roman" w:cs="Times New Roman"/>
                <w:color w:val="000000"/>
                <w:sz w:val="24"/>
                <w:szCs w:val="24"/>
                <w:lang w:eastAsia="en-US"/>
              </w:rPr>
              <w:t xml:space="preserve">Stuck </w:t>
            </w:r>
            <w:r>
              <w:rPr>
                <w:rFonts w:ascii="Times New Roman" w:eastAsia="Times New Roman" w:hAnsi="Times New Roman" w:cs="Times New Roman"/>
                <w:color w:val="000000"/>
                <w:sz w:val="24"/>
                <w:szCs w:val="24"/>
                <w:lang w:eastAsia="en-US"/>
              </w:rPr>
              <w:t>d</w:t>
            </w:r>
            <w:r w:rsidRPr="00BB3A1D">
              <w:rPr>
                <w:rFonts w:ascii="Times New Roman" w:eastAsia="Times New Roman" w:hAnsi="Times New Roman" w:cs="Times New Roman"/>
                <w:color w:val="000000"/>
                <w:sz w:val="24"/>
                <w:szCs w:val="24"/>
                <w:lang w:eastAsia="en-US"/>
              </w:rPr>
              <w:t xml:space="preserve">ump </w:t>
            </w:r>
            <w:r>
              <w:rPr>
                <w:rFonts w:ascii="Times New Roman" w:eastAsia="Times New Roman" w:hAnsi="Times New Roman" w:cs="Times New Roman"/>
                <w:color w:val="000000"/>
                <w:sz w:val="24"/>
                <w:szCs w:val="24"/>
                <w:lang w:eastAsia="en-US"/>
              </w:rPr>
              <w:t>v</w:t>
            </w:r>
            <w:r w:rsidRPr="00BB3A1D">
              <w:rPr>
                <w:rFonts w:ascii="Times New Roman" w:eastAsia="Times New Roman" w:hAnsi="Times New Roman" w:cs="Times New Roman"/>
                <w:color w:val="000000"/>
                <w:sz w:val="24"/>
                <w:szCs w:val="24"/>
                <w:lang w:eastAsia="en-US"/>
              </w:rPr>
              <w:t xml:space="preserve">alve </w:t>
            </w:r>
          </w:p>
        </w:tc>
        <w:tc>
          <w:tcPr>
            <w:tcW w:w="2111" w:type="dxa"/>
            <w:tcBorders>
              <w:top w:val="nil"/>
              <w:left w:val="nil"/>
              <w:bottom w:val="single" w:sz="8" w:space="0" w:color="auto"/>
              <w:right w:val="single" w:sz="8" w:space="0" w:color="auto"/>
            </w:tcBorders>
            <w:shd w:val="clear" w:color="auto" w:fill="auto"/>
            <w:vAlign w:val="center"/>
          </w:tcPr>
          <w:p w14:paraId="46F1799B" w14:textId="7B55A17C" w:rsidR="00781225" w:rsidRPr="00BB3A1D" w:rsidRDefault="00781225" w:rsidP="00781225">
            <w:pPr>
              <w:spacing w:after="0" w:line="240" w:lineRule="auto"/>
              <w:jc w:val="right"/>
              <w:rPr>
                <w:rFonts w:ascii="Times New Roman" w:eastAsia="Times New Roman" w:hAnsi="Times New Roman" w:cs="Times New Roman"/>
                <w:sz w:val="24"/>
                <w:szCs w:val="24"/>
                <w:lang w:eastAsia="en-US"/>
              </w:rPr>
            </w:pPr>
            <w:r w:rsidRPr="00BB3A1D">
              <w:rPr>
                <w:rFonts w:ascii="Times New Roman" w:eastAsia="Times New Roman" w:hAnsi="Times New Roman" w:cs="Times New Roman"/>
                <w:color w:val="000000"/>
                <w:sz w:val="24"/>
                <w:szCs w:val="24"/>
                <w:lang w:eastAsia="en-US"/>
              </w:rPr>
              <w:t>0.0001</w:t>
            </w:r>
          </w:p>
        </w:tc>
        <w:tc>
          <w:tcPr>
            <w:tcW w:w="2256" w:type="dxa"/>
            <w:tcBorders>
              <w:top w:val="nil"/>
              <w:left w:val="nil"/>
              <w:bottom w:val="single" w:sz="8" w:space="0" w:color="auto"/>
              <w:right w:val="single" w:sz="8" w:space="0" w:color="auto"/>
            </w:tcBorders>
            <w:shd w:val="clear" w:color="auto" w:fill="auto"/>
            <w:vAlign w:val="center"/>
          </w:tcPr>
          <w:p w14:paraId="38D30388" w14:textId="0C07E2EC" w:rsidR="00781225" w:rsidRPr="00BB3A1D" w:rsidRDefault="00781225" w:rsidP="00202A9E">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fldChar w:fldCharType="begin"/>
            </w:r>
            <w:r>
              <w:rPr>
                <w:rFonts w:ascii="Times New Roman" w:eastAsia="Times New Roman" w:hAnsi="Times New Roman" w:cs="Times New Roman"/>
                <w:color w:val="000000"/>
                <w:sz w:val="24"/>
                <w:szCs w:val="24"/>
                <w:lang w:eastAsia="en-US"/>
              </w:rPr>
              <w:instrText xml:space="preserve"> ADDIN ZOTERO_ITEM CSL_CITATION {"citationID":"NHwZN705","properties":{"formattedCitation":"\\super 5\\nosupersub{}","plainCitation":"5","noteIndex":0},"citationItems":[{"id":505,"uris":["http://zotero.org/users/11490235/items/G5RL73G8"],"itemData":{"id":505,"type":"article-journal","container-title":"UK Health and Safety Executive","language":"en","source":"Zotero","title":"Failure Rate and Event Data for use within Land Use Planning Risk Assessments","URL":"https://www.primatech.com/images/docs/failure-rates.pdf","author":[{"family":"Health and Safety Executive. (n.d.).","given":""}],"issued":{"date-parts":[["2001",7,17]]}}}],"schema":"https://github.com/citation-style-language/schema/raw/master/csl-citation.json"} </w:instrText>
            </w:r>
            <w:r>
              <w:rPr>
                <w:rFonts w:ascii="Times New Roman" w:eastAsia="Times New Roman" w:hAnsi="Times New Roman" w:cs="Times New Roman"/>
                <w:color w:val="000000"/>
                <w:sz w:val="24"/>
                <w:szCs w:val="24"/>
                <w:lang w:eastAsia="en-US"/>
              </w:rPr>
              <w:fldChar w:fldCharType="separate"/>
            </w:r>
            <w:r w:rsidRPr="00A523F3">
              <w:rPr>
                <w:rFonts w:ascii="Times New Roman" w:hAnsi="Times New Roman" w:cs="Times New Roman"/>
                <w:sz w:val="24"/>
                <w:vertAlign w:val="superscript"/>
              </w:rPr>
              <w:t>5</w:t>
            </w:r>
            <w:r>
              <w:rPr>
                <w:rFonts w:ascii="Times New Roman" w:eastAsia="Times New Roman" w:hAnsi="Times New Roman" w:cs="Times New Roman"/>
                <w:color w:val="000000"/>
                <w:sz w:val="24"/>
                <w:szCs w:val="24"/>
                <w:lang w:eastAsia="en-US"/>
              </w:rPr>
              <w:fldChar w:fldCharType="end"/>
            </w:r>
          </w:p>
        </w:tc>
      </w:tr>
      <w:tr w:rsidR="00120856" w:rsidRPr="00BB3A1D" w14:paraId="73BE2A5E" w14:textId="77777777" w:rsidTr="00A37809">
        <w:trPr>
          <w:trHeight w:val="320"/>
        </w:trPr>
        <w:tc>
          <w:tcPr>
            <w:tcW w:w="1440" w:type="dxa"/>
            <w:tcBorders>
              <w:top w:val="nil"/>
              <w:left w:val="single" w:sz="8" w:space="0" w:color="auto"/>
              <w:bottom w:val="single" w:sz="8" w:space="0" w:color="auto"/>
              <w:right w:val="single" w:sz="8" w:space="0" w:color="auto"/>
            </w:tcBorders>
            <w:shd w:val="clear" w:color="auto" w:fill="auto"/>
            <w:vAlign w:val="center"/>
          </w:tcPr>
          <w:p w14:paraId="07733C36" w14:textId="4F5C1A50" w:rsidR="00781225" w:rsidRPr="00BB3A1D" w:rsidRDefault="00781225" w:rsidP="00781225">
            <w:pPr>
              <w:spacing w:after="0" w:line="240" w:lineRule="auto"/>
              <w:rPr>
                <w:rFonts w:ascii="Times New Roman" w:eastAsia="Times New Roman" w:hAnsi="Times New Roman" w:cs="Times New Roman"/>
                <w:sz w:val="24"/>
                <w:szCs w:val="24"/>
                <w:lang w:eastAsia="en-US"/>
              </w:rPr>
            </w:pPr>
            <w:r w:rsidRPr="00BB3A1D">
              <w:rPr>
                <w:rFonts w:ascii="Times New Roman" w:eastAsia="Times New Roman" w:hAnsi="Times New Roman" w:cs="Times New Roman"/>
                <w:color w:val="000000"/>
                <w:sz w:val="24"/>
                <w:szCs w:val="24"/>
                <w:lang w:eastAsia="en-US"/>
              </w:rPr>
              <w:t>p8</w:t>
            </w:r>
          </w:p>
        </w:tc>
        <w:tc>
          <w:tcPr>
            <w:tcW w:w="3643" w:type="dxa"/>
            <w:tcBorders>
              <w:top w:val="nil"/>
              <w:left w:val="nil"/>
              <w:bottom w:val="single" w:sz="8" w:space="0" w:color="auto"/>
              <w:right w:val="single" w:sz="8" w:space="0" w:color="auto"/>
            </w:tcBorders>
            <w:shd w:val="clear" w:color="auto" w:fill="auto"/>
            <w:vAlign w:val="center"/>
          </w:tcPr>
          <w:p w14:paraId="6AD99691" w14:textId="02A26769" w:rsidR="00781225" w:rsidRPr="00BB3A1D" w:rsidRDefault="00781225" w:rsidP="00781225">
            <w:pPr>
              <w:spacing w:after="0" w:line="240" w:lineRule="auto"/>
              <w:rPr>
                <w:rFonts w:ascii="Times New Roman" w:eastAsia="Times New Roman" w:hAnsi="Times New Roman" w:cs="Times New Roman"/>
                <w:sz w:val="24"/>
                <w:szCs w:val="24"/>
                <w:lang w:eastAsia="en-US"/>
              </w:rPr>
            </w:pPr>
            <w:r w:rsidRPr="00BB3A1D">
              <w:rPr>
                <w:rFonts w:ascii="Times New Roman" w:eastAsia="Times New Roman" w:hAnsi="Times New Roman" w:cs="Times New Roman"/>
                <w:color w:val="000000"/>
                <w:sz w:val="24"/>
                <w:szCs w:val="24"/>
                <w:lang w:eastAsia="en-US"/>
              </w:rPr>
              <w:t xml:space="preserve">Dump </w:t>
            </w:r>
            <w:r>
              <w:rPr>
                <w:rFonts w:ascii="Times New Roman" w:eastAsia="Times New Roman" w:hAnsi="Times New Roman" w:cs="Times New Roman"/>
                <w:color w:val="000000"/>
                <w:sz w:val="24"/>
                <w:szCs w:val="24"/>
                <w:lang w:eastAsia="en-US"/>
              </w:rPr>
              <w:t>v</w:t>
            </w:r>
            <w:r w:rsidRPr="00BB3A1D">
              <w:rPr>
                <w:rFonts w:ascii="Times New Roman" w:eastAsia="Times New Roman" w:hAnsi="Times New Roman" w:cs="Times New Roman"/>
                <w:color w:val="000000"/>
                <w:sz w:val="24"/>
                <w:szCs w:val="24"/>
                <w:lang w:eastAsia="en-US"/>
              </w:rPr>
              <w:t xml:space="preserve">alve </w:t>
            </w:r>
            <w:r>
              <w:rPr>
                <w:rFonts w:ascii="Times New Roman" w:eastAsia="Times New Roman" w:hAnsi="Times New Roman" w:cs="Times New Roman"/>
                <w:color w:val="000000"/>
                <w:sz w:val="24"/>
                <w:szCs w:val="24"/>
                <w:lang w:eastAsia="en-US"/>
              </w:rPr>
              <w:t>h</w:t>
            </w:r>
            <w:r w:rsidRPr="00BB3A1D">
              <w:rPr>
                <w:rFonts w:ascii="Times New Roman" w:eastAsia="Times New Roman" w:hAnsi="Times New Roman" w:cs="Times New Roman"/>
                <w:color w:val="000000"/>
                <w:sz w:val="24"/>
                <w:szCs w:val="24"/>
                <w:lang w:eastAsia="en-US"/>
              </w:rPr>
              <w:t>ung open</w:t>
            </w:r>
          </w:p>
        </w:tc>
        <w:tc>
          <w:tcPr>
            <w:tcW w:w="2111" w:type="dxa"/>
            <w:tcBorders>
              <w:top w:val="nil"/>
              <w:left w:val="nil"/>
              <w:bottom w:val="single" w:sz="8" w:space="0" w:color="auto"/>
              <w:right w:val="single" w:sz="8" w:space="0" w:color="auto"/>
            </w:tcBorders>
            <w:shd w:val="clear" w:color="auto" w:fill="auto"/>
            <w:vAlign w:val="center"/>
          </w:tcPr>
          <w:p w14:paraId="3872264C" w14:textId="567BC319" w:rsidR="00781225" w:rsidRPr="00BB3A1D" w:rsidRDefault="00781225" w:rsidP="00781225">
            <w:pPr>
              <w:spacing w:after="0" w:line="240" w:lineRule="auto"/>
              <w:jc w:val="right"/>
              <w:rPr>
                <w:rFonts w:ascii="Times New Roman" w:eastAsia="Times New Roman" w:hAnsi="Times New Roman" w:cs="Times New Roman"/>
                <w:sz w:val="24"/>
                <w:szCs w:val="24"/>
                <w:lang w:eastAsia="en-US"/>
              </w:rPr>
            </w:pPr>
            <w:r w:rsidRPr="00BB3A1D">
              <w:rPr>
                <w:rFonts w:ascii="Times New Roman" w:eastAsia="Times New Roman" w:hAnsi="Times New Roman" w:cs="Times New Roman"/>
                <w:color w:val="000000"/>
                <w:sz w:val="24"/>
                <w:szCs w:val="24"/>
                <w:lang w:eastAsia="en-US"/>
              </w:rPr>
              <w:t>0.0001</w:t>
            </w:r>
          </w:p>
        </w:tc>
        <w:tc>
          <w:tcPr>
            <w:tcW w:w="2256" w:type="dxa"/>
            <w:tcBorders>
              <w:top w:val="nil"/>
              <w:left w:val="nil"/>
              <w:bottom w:val="single" w:sz="8" w:space="0" w:color="auto"/>
              <w:right w:val="single" w:sz="8" w:space="0" w:color="auto"/>
            </w:tcBorders>
            <w:shd w:val="clear" w:color="auto" w:fill="auto"/>
            <w:vAlign w:val="center"/>
          </w:tcPr>
          <w:p w14:paraId="0E340190" w14:textId="25993733" w:rsidR="00781225" w:rsidRPr="00BB3A1D" w:rsidRDefault="00781225" w:rsidP="00202A9E">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fldChar w:fldCharType="begin"/>
            </w:r>
            <w:r>
              <w:rPr>
                <w:rFonts w:ascii="Times New Roman" w:eastAsia="Times New Roman" w:hAnsi="Times New Roman" w:cs="Times New Roman"/>
                <w:color w:val="000000"/>
                <w:sz w:val="24"/>
                <w:szCs w:val="24"/>
                <w:lang w:eastAsia="en-US"/>
              </w:rPr>
              <w:instrText xml:space="preserve"> ADDIN ZOTERO_ITEM CSL_CITATION {"citationID":"RSCezpuL","properties":{"formattedCitation":"\\super 5\\nosupersub{}","plainCitation":"5","noteIndex":0},"citationItems":[{"id":505,"uris":["http://zotero.org/users/11490235/items/G5RL73G8"],"itemData":{"id":505,"type":"article-journal","container-title":"UK Health and Safety Executive","language":"en","source":"Zotero","title":"Failure Rate and Event Data for use within Land Use Planning Risk Assessments","URL":"https://www.primatech.com/images/docs/failure-rates.pdf","author":[{"family":"Health and Safety Executive. (n.d.).","given":""}],"issued":{"date-parts":[["2001",7,17]]}}}],"schema":"https://github.com/citation-style-language/schema/raw/master/csl-citation.json"} </w:instrText>
            </w:r>
            <w:r>
              <w:rPr>
                <w:rFonts w:ascii="Times New Roman" w:eastAsia="Times New Roman" w:hAnsi="Times New Roman" w:cs="Times New Roman"/>
                <w:color w:val="000000"/>
                <w:sz w:val="24"/>
                <w:szCs w:val="24"/>
                <w:lang w:eastAsia="en-US"/>
              </w:rPr>
              <w:fldChar w:fldCharType="separate"/>
            </w:r>
            <w:r w:rsidRPr="00A820FB">
              <w:rPr>
                <w:rFonts w:ascii="Times New Roman" w:hAnsi="Times New Roman" w:cs="Times New Roman"/>
                <w:sz w:val="24"/>
                <w:vertAlign w:val="superscript"/>
              </w:rPr>
              <w:t>5</w:t>
            </w:r>
            <w:r>
              <w:rPr>
                <w:rFonts w:ascii="Times New Roman" w:eastAsia="Times New Roman" w:hAnsi="Times New Roman" w:cs="Times New Roman"/>
                <w:color w:val="000000"/>
                <w:sz w:val="24"/>
                <w:szCs w:val="24"/>
                <w:lang w:eastAsia="en-US"/>
              </w:rPr>
              <w:fldChar w:fldCharType="end"/>
            </w:r>
          </w:p>
        </w:tc>
      </w:tr>
      <w:tr w:rsidR="00120856" w:rsidRPr="00BB3A1D" w14:paraId="1C754726" w14:textId="77777777" w:rsidTr="00A37809">
        <w:trPr>
          <w:trHeight w:val="320"/>
        </w:trPr>
        <w:tc>
          <w:tcPr>
            <w:tcW w:w="1440" w:type="dxa"/>
            <w:tcBorders>
              <w:top w:val="nil"/>
              <w:left w:val="single" w:sz="8" w:space="0" w:color="auto"/>
              <w:bottom w:val="single" w:sz="8" w:space="0" w:color="auto"/>
              <w:right w:val="single" w:sz="8" w:space="0" w:color="auto"/>
            </w:tcBorders>
            <w:shd w:val="clear" w:color="auto" w:fill="auto"/>
            <w:vAlign w:val="center"/>
          </w:tcPr>
          <w:p w14:paraId="56A3D799" w14:textId="2D123E11" w:rsidR="00781225" w:rsidRPr="00BB3A1D" w:rsidRDefault="00781225" w:rsidP="00781225">
            <w:pPr>
              <w:spacing w:after="0" w:line="240" w:lineRule="auto"/>
              <w:rPr>
                <w:rFonts w:ascii="Times New Roman" w:eastAsia="Times New Roman" w:hAnsi="Times New Roman" w:cs="Times New Roman"/>
                <w:sz w:val="24"/>
                <w:szCs w:val="24"/>
                <w:lang w:eastAsia="en-US"/>
              </w:rPr>
            </w:pPr>
            <w:r w:rsidRPr="00BB3A1D">
              <w:rPr>
                <w:rFonts w:ascii="Times New Roman" w:eastAsia="Times New Roman" w:hAnsi="Times New Roman" w:cs="Times New Roman"/>
                <w:sz w:val="24"/>
                <w:szCs w:val="24"/>
                <w:lang w:eastAsia="en-US"/>
              </w:rPr>
              <w:t>p9</w:t>
            </w:r>
          </w:p>
        </w:tc>
        <w:tc>
          <w:tcPr>
            <w:tcW w:w="3643" w:type="dxa"/>
            <w:tcBorders>
              <w:top w:val="nil"/>
              <w:left w:val="nil"/>
              <w:bottom w:val="single" w:sz="8" w:space="0" w:color="auto"/>
              <w:right w:val="single" w:sz="8" w:space="0" w:color="auto"/>
            </w:tcBorders>
            <w:shd w:val="clear" w:color="auto" w:fill="auto"/>
            <w:vAlign w:val="center"/>
          </w:tcPr>
          <w:p w14:paraId="6692F227" w14:textId="2FE3E473" w:rsidR="00781225" w:rsidRPr="00BB3A1D" w:rsidRDefault="00781225" w:rsidP="00781225">
            <w:pPr>
              <w:spacing w:after="0" w:line="240" w:lineRule="auto"/>
              <w:rPr>
                <w:rFonts w:ascii="Times New Roman" w:eastAsia="Times New Roman" w:hAnsi="Times New Roman" w:cs="Times New Roman"/>
                <w:sz w:val="24"/>
                <w:szCs w:val="24"/>
                <w:lang w:eastAsia="en-US"/>
              </w:rPr>
            </w:pPr>
            <w:r w:rsidRPr="00BB3A1D">
              <w:rPr>
                <w:rFonts w:ascii="Times New Roman" w:eastAsia="Times New Roman" w:hAnsi="Times New Roman" w:cs="Times New Roman"/>
                <w:color w:val="000000"/>
                <w:sz w:val="24"/>
                <w:szCs w:val="24"/>
                <w:lang w:eastAsia="en-US"/>
              </w:rPr>
              <w:t>Dump valve cut</w:t>
            </w:r>
          </w:p>
        </w:tc>
        <w:tc>
          <w:tcPr>
            <w:tcW w:w="2111" w:type="dxa"/>
            <w:tcBorders>
              <w:top w:val="nil"/>
              <w:left w:val="nil"/>
              <w:bottom w:val="single" w:sz="8" w:space="0" w:color="auto"/>
              <w:right w:val="single" w:sz="8" w:space="0" w:color="auto"/>
            </w:tcBorders>
            <w:shd w:val="clear" w:color="auto" w:fill="auto"/>
            <w:vAlign w:val="center"/>
          </w:tcPr>
          <w:p w14:paraId="2E60BFC0" w14:textId="54BFD430" w:rsidR="00781225" w:rsidRPr="00BB3A1D" w:rsidRDefault="00781225" w:rsidP="00781225">
            <w:pPr>
              <w:spacing w:after="0" w:line="240" w:lineRule="auto"/>
              <w:jc w:val="right"/>
              <w:rPr>
                <w:rFonts w:ascii="Times New Roman" w:eastAsia="Times New Roman" w:hAnsi="Times New Roman" w:cs="Times New Roman"/>
                <w:sz w:val="24"/>
                <w:szCs w:val="24"/>
                <w:lang w:eastAsia="en-US"/>
              </w:rPr>
            </w:pPr>
            <w:r w:rsidRPr="00BB3A1D">
              <w:rPr>
                <w:rFonts w:ascii="Times New Roman" w:eastAsia="Times New Roman" w:hAnsi="Times New Roman" w:cs="Times New Roman"/>
                <w:color w:val="000000"/>
                <w:sz w:val="24"/>
                <w:szCs w:val="24"/>
                <w:lang w:eastAsia="en-US"/>
              </w:rPr>
              <w:t>0.000005</w:t>
            </w:r>
          </w:p>
        </w:tc>
        <w:tc>
          <w:tcPr>
            <w:tcW w:w="2256" w:type="dxa"/>
            <w:tcBorders>
              <w:top w:val="nil"/>
              <w:left w:val="nil"/>
              <w:bottom w:val="single" w:sz="8" w:space="0" w:color="auto"/>
              <w:right w:val="single" w:sz="8" w:space="0" w:color="auto"/>
            </w:tcBorders>
            <w:shd w:val="clear" w:color="auto" w:fill="auto"/>
            <w:vAlign w:val="center"/>
          </w:tcPr>
          <w:p w14:paraId="50A8ECB6" w14:textId="01E7739A" w:rsidR="00781225" w:rsidRPr="00BB3A1D" w:rsidRDefault="00781225" w:rsidP="00202A9E">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fldChar w:fldCharType="begin"/>
            </w:r>
            <w:r>
              <w:rPr>
                <w:rFonts w:ascii="Times New Roman" w:eastAsia="Times New Roman" w:hAnsi="Times New Roman" w:cs="Times New Roman"/>
                <w:color w:val="000000"/>
                <w:sz w:val="24"/>
                <w:szCs w:val="24"/>
                <w:lang w:eastAsia="en-US"/>
              </w:rPr>
              <w:instrText xml:space="preserve"> ADDIN ZOTERO_ITEM CSL_CITATION {"citationID":"VnEa7Oa0","properties":{"formattedCitation":"\\super 5\\nosupersub{}","plainCitation":"5","noteIndex":0},"citationItems":[{"id":505,"uris":["http://zotero.org/users/11490235/items/G5RL73G8"],"itemData":{"id":505,"type":"article-journal","container-title":"UK Health and Safety Executive","language":"en","source":"Zotero","title":"Failure Rate and Event Data for use within Land Use Planning Risk Assessments","URL":"https://www.primatech.com/images/docs/failure-rates.pdf","author":[{"family":"Health and Safety Executive. (n.d.).","given":""}],"issued":{"date-parts":[["2001",7,17]]}}}],"schema":"https://github.com/citation-style-language/schema/raw/master/csl-citation.json"} </w:instrText>
            </w:r>
            <w:r>
              <w:rPr>
                <w:rFonts w:ascii="Times New Roman" w:eastAsia="Times New Roman" w:hAnsi="Times New Roman" w:cs="Times New Roman"/>
                <w:color w:val="000000"/>
                <w:sz w:val="24"/>
                <w:szCs w:val="24"/>
                <w:lang w:eastAsia="en-US"/>
              </w:rPr>
              <w:fldChar w:fldCharType="separate"/>
            </w:r>
            <w:r w:rsidRPr="00A820FB">
              <w:rPr>
                <w:rFonts w:ascii="Times New Roman" w:hAnsi="Times New Roman" w:cs="Times New Roman"/>
                <w:sz w:val="24"/>
                <w:vertAlign w:val="superscript"/>
              </w:rPr>
              <w:t>5</w:t>
            </w:r>
            <w:r>
              <w:rPr>
                <w:rFonts w:ascii="Times New Roman" w:eastAsia="Times New Roman" w:hAnsi="Times New Roman" w:cs="Times New Roman"/>
                <w:color w:val="000000"/>
                <w:sz w:val="24"/>
                <w:szCs w:val="24"/>
                <w:lang w:eastAsia="en-US"/>
              </w:rPr>
              <w:fldChar w:fldCharType="end"/>
            </w:r>
          </w:p>
        </w:tc>
      </w:tr>
      <w:tr w:rsidR="00120856" w:rsidRPr="00BB3A1D" w14:paraId="584F9191" w14:textId="77777777" w:rsidTr="00A37809">
        <w:trPr>
          <w:trHeight w:val="320"/>
        </w:trPr>
        <w:tc>
          <w:tcPr>
            <w:tcW w:w="1440" w:type="dxa"/>
            <w:tcBorders>
              <w:top w:val="nil"/>
              <w:left w:val="single" w:sz="8" w:space="0" w:color="auto"/>
              <w:bottom w:val="single" w:sz="8" w:space="0" w:color="auto"/>
              <w:right w:val="single" w:sz="8" w:space="0" w:color="auto"/>
            </w:tcBorders>
            <w:shd w:val="clear" w:color="auto" w:fill="auto"/>
            <w:vAlign w:val="center"/>
          </w:tcPr>
          <w:p w14:paraId="0AC9485D" w14:textId="40345333" w:rsidR="00781225" w:rsidRPr="00BB3A1D" w:rsidRDefault="00781225" w:rsidP="00781225">
            <w:pPr>
              <w:spacing w:after="0" w:line="240" w:lineRule="auto"/>
              <w:rPr>
                <w:rFonts w:ascii="Times New Roman" w:eastAsia="Times New Roman" w:hAnsi="Times New Roman" w:cs="Times New Roman"/>
                <w:sz w:val="24"/>
                <w:szCs w:val="24"/>
                <w:lang w:eastAsia="en-US"/>
              </w:rPr>
            </w:pPr>
            <w:r w:rsidRPr="00BB3A1D">
              <w:rPr>
                <w:rFonts w:ascii="Times New Roman" w:eastAsia="Times New Roman" w:hAnsi="Times New Roman" w:cs="Times New Roman"/>
                <w:color w:val="000000"/>
                <w:sz w:val="24"/>
                <w:szCs w:val="24"/>
                <w:lang w:eastAsia="en-US"/>
              </w:rPr>
              <w:t>p10</w:t>
            </w:r>
          </w:p>
        </w:tc>
        <w:tc>
          <w:tcPr>
            <w:tcW w:w="3643" w:type="dxa"/>
            <w:tcBorders>
              <w:top w:val="nil"/>
              <w:left w:val="nil"/>
              <w:bottom w:val="single" w:sz="8" w:space="0" w:color="auto"/>
              <w:right w:val="single" w:sz="8" w:space="0" w:color="auto"/>
            </w:tcBorders>
            <w:shd w:val="clear" w:color="auto" w:fill="auto"/>
            <w:vAlign w:val="center"/>
          </w:tcPr>
          <w:p w14:paraId="66E9C56A" w14:textId="6ABC89C7" w:rsidR="00781225" w:rsidRPr="00BB3A1D" w:rsidRDefault="00781225" w:rsidP="00781225">
            <w:pPr>
              <w:spacing w:after="0" w:line="240" w:lineRule="auto"/>
              <w:rPr>
                <w:rFonts w:ascii="Times New Roman" w:eastAsia="Times New Roman" w:hAnsi="Times New Roman" w:cs="Times New Roman"/>
                <w:sz w:val="24"/>
                <w:szCs w:val="24"/>
                <w:lang w:eastAsia="en-US"/>
              </w:rPr>
            </w:pPr>
            <w:r w:rsidRPr="00BB3A1D">
              <w:rPr>
                <w:rFonts w:ascii="Times New Roman" w:eastAsia="Times New Roman" w:hAnsi="Times New Roman" w:cs="Times New Roman"/>
                <w:color w:val="000000"/>
                <w:sz w:val="24"/>
                <w:szCs w:val="24"/>
                <w:lang w:eastAsia="en-US"/>
              </w:rPr>
              <w:t xml:space="preserve">Human valve </w:t>
            </w:r>
            <w:r>
              <w:rPr>
                <w:rFonts w:ascii="Times New Roman" w:eastAsia="Times New Roman" w:hAnsi="Times New Roman" w:cs="Times New Roman"/>
                <w:color w:val="000000"/>
                <w:sz w:val="24"/>
                <w:szCs w:val="24"/>
                <w:lang w:eastAsia="en-US"/>
              </w:rPr>
              <w:t>o</w:t>
            </w:r>
            <w:r w:rsidRPr="00BB3A1D">
              <w:rPr>
                <w:rFonts w:ascii="Times New Roman" w:eastAsia="Times New Roman" w:hAnsi="Times New Roman" w:cs="Times New Roman"/>
                <w:color w:val="000000"/>
                <w:sz w:val="24"/>
                <w:szCs w:val="24"/>
                <w:lang w:eastAsia="en-US"/>
              </w:rPr>
              <w:t>pen</w:t>
            </w:r>
          </w:p>
        </w:tc>
        <w:tc>
          <w:tcPr>
            <w:tcW w:w="2111" w:type="dxa"/>
            <w:tcBorders>
              <w:top w:val="nil"/>
              <w:left w:val="nil"/>
              <w:bottom w:val="single" w:sz="8" w:space="0" w:color="auto"/>
              <w:right w:val="single" w:sz="8" w:space="0" w:color="auto"/>
            </w:tcBorders>
            <w:shd w:val="clear" w:color="auto" w:fill="auto"/>
            <w:vAlign w:val="center"/>
          </w:tcPr>
          <w:p w14:paraId="3147651A" w14:textId="730FFF28" w:rsidR="00781225" w:rsidRPr="00BB3A1D" w:rsidRDefault="00781225" w:rsidP="00781225">
            <w:pPr>
              <w:spacing w:after="0" w:line="240" w:lineRule="auto"/>
              <w:jc w:val="right"/>
              <w:rPr>
                <w:rFonts w:ascii="Times New Roman" w:eastAsia="Times New Roman" w:hAnsi="Times New Roman" w:cs="Times New Roman"/>
                <w:sz w:val="24"/>
                <w:szCs w:val="24"/>
                <w:lang w:eastAsia="en-US"/>
              </w:rPr>
            </w:pPr>
            <w:r w:rsidRPr="00BB3A1D">
              <w:rPr>
                <w:rFonts w:ascii="Times New Roman" w:eastAsia="Times New Roman" w:hAnsi="Times New Roman" w:cs="Times New Roman"/>
                <w:color w:val="000000"/>
                <w:sz w:val="24"/>
                <w:szCs w:val="24"/>
                <w:lang w:eastAsia="en-US"/>
              </w:rPr>
              <w:t>0.02</w:t>
            </w:r>
          </w:p>
        </w:tc>
        <w:tc>
          <w:tcPr>
            <w:tcW w:w="2256" w:type="dxa"/>
            <w:tcBorders>
              <w:top w:val="nil"/>
              <w:left w:val="nil"/>
              <w:bottom w:val="single" w:sz="8" w:space="0" w:color="auto"/>
              <w:right w:val="single" w:sz="8" w:space="0" w:color="auto"/>
            </w:tcBorders>
            <w:shd w:val="clear" w:color="auto" w:fill="auto"/>
            <w:vAlign w:val="center"/>
          </w:tcPr>
          <w:p w14:paraId="1AFE5803" w14:textId="274A86C8" w:rsidR="00781225" w:rsidRPr="00BB3A1D" w:rsidRDefault="00781225" w:rsidP="00202A9E">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fldChar w:fldCharType="begin"/>
            </w:r>
            <w:r>
              <w:rPr>
                <w:rFonts w:ascii="Times New Roman" w:eastAsia="Times New Roman" w:hAnsi="Times New Roman" w:cs="Times New Roman"/>
                <w:color w:val="000000"/>
                <w:sz w:val="24"/>
                <w:szCs w:val="24"/>
                <w:lang w:eastAsia="en-US"/>
              </w:rPr>
              <w:instrText xml:space="preserve"> ADDIN ZOTERO_ITEM CSL_CITATION {"citationID":"gThHU84j","properties":{"formattedCitation":"\\super 6\\nosupersub{}","plainCitation":"6","noteIndex":0},"citationItems":[{"id":506,"uris":["http://zotero.org/users/11490235/items/YPARWHYX"],"itemData":{"id":506,"type":"article-journal","container-title":"8th Global Congress on Process Safety, Houston, TX","language":"en","source":"Zotero","title":"Accounting for Human Error Probability in SIL Verification Calculations","URL":"https://www.process-improvement-institute.com/_downloads/Accounting_for_Human_Error_Probability_in_SIL_Verification_website.pdf","author":[{"family":"Bridges, W. G., &amp; Thomas, H. W.","given":""}],"issued":{"date-parts":[["2012"]]}}}],"schema":"https://github.com/citation-style-language/schema/raw/master/csl-citation.json"} </w:instrText>
            </w:r>
            <w:r>
              <w:rPr>
                <w:rFonts w:ascii="Times New Roman" w:eastAsia="Times New Roman" w:hAnsi="Times New Roman" w:cs="Times New Roman"/>
                <w:color w:val="000000"/>
                <w:sz w:val="24"/>
                <w:szCs w:val="24"/>
                <w:lang w:eastAsia="en-US"/>
              </w:rPr>
              <w:fldChar w:fldCharType="separate"/>
            </w:r>
            <w:r w:rsidRPr="005149F4">
              <w:rPr>
                <w:rFonts w:ascii="Times New Roman" w:hAnsi="Times New Roman" w:cs="Times New Roman"/>
                <w:sz w:val="24"/>
                <w:vertAlign w:val="superscript"/>
              </w:rPr>
              <w:t>6</w:t>
            </w:r>
            <w:r>
              <w:rPr>
                <w:rFonts w:ascii="Times New Roman" w:eastAsia="Times New Roman" w:hAnsi="Times New Roman" w:cs="Times New Roman"/>
                <w:color w:val="000000"/>
                <w:sz w:val="24"/>
                <w:szCs w:val="24"/>
                <w:lang w:eastAsia="en-US"/>
              </w:rPr>
              <w:fldChar w:fldCharType="end"/>
            </w:r>
          </w:p>
        </w:tc>
      </w:tr>
      <w:tr w:rsidR="00120856" w:rsidRPr="00BB3A1D" w14:paraId="099B79FD" w14:textId="77777777" w:rsidTr="00A37809">
        <w:trPr>
          <w:trHeight w:val="320"/>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3E6D31F2" w14:textId="69FED30D" w:rsidR="00781225" w:rsidRPr="00BB3A1D" w:rsidRDefault="00781225" w:rsidP="00781225">
            <w:pPr>
              <w:spacing w:after="0" w:line="240" w:lineRule="auto"/>
              <w:rPr>
                <w:rFonts w:ascii="Times New Roman" w:eastAsia="Times New Roman" w:hAnsi="Times New Roman" w:cs="Times New Roman"/>
                <w:sz w:val="24"/>
                <w:szCs w:val="24"/>
                <w:lang w:eastAsia="en-US"/>
              </w:rPr>
            </w:pPr>
            <w:r w:rsidRPr="00BB3A1D">
              <w:rPr>
                <w:rFonts w:ascii="Times New Roman" w:eastAsia="Times New Roman" w:hAnsi="Times New Roman" w:cs="Times New Roman"/>
                <w:color w:val="000000"/>
                <w:sz w:val="24"/>
                <w:szCs w:val="24"/>
                <w:lang w:eastAsia="en-US"/>
              </w:rPr>
              <w:t>p1</w:t>
            </w:r>
            <w:r>
              <w:rPr>
                <w:rFonts w:ascii="Times New Roman" w:eastAsia="Times New Roman" w:hAnsi="Times New Roman" w:cs="Times New Roman"/>
                <w:color w:val="000000"/>
                <w:sz w:val="24"/>
                <w:szCs w:val="24"/>
                <w:lang w:eastAsia="en-US"/>
              </w:rPr>
              <w:t>1</w:t>
            </w:r>
          </w:p>
        </w:tc>
        <w:tc>
          <w:tcPr>
            <w:tcW w:w="3643" w:type="dxa"/>
            <w:tcBorders>
              <w:top w:val="nil"/>
              <w:left w:val="nil"/>
              <w:bottom w:val="single" w:sz="8" w:space="0" w:color="auto"/>
              <w:right w:val="single" w:sz="8" w:space="0" w:color="auto"/>
            </w:tcBorders>
            <w:shd w:val="clear" w:color="auto" w:fill="auto"/>
            <w:vAlign w:val="center"/>
            <w:hideMark/>
          </w:tcPr>
          <w:p w14:paraId="7E21F251" w14:textId="6FF38E29" w:rsidR="00781225" w:rsidRPr="00BB3A1D" w:rsidRDefault="00781225" w:rsidP="00781225">
            <w:pPr>
              <w:spacing w:after="0" w:line="240" w:lineRule="auto"/>
              <w:rPr>
                <w:rFonts w:ascii="Times New Roman" w:eastAsia="Times New Roman" w:hAnsi="Times New Roman" w:cs="Times New Roman"/>
                <w:sz w:val="24"/>
                <w:szCs w:val="24"/>
                <w:lang w:eastAsia="en-US"/>
              </w:rPr>
            </w:pPr>
            <w:r w:rsidRPr="00BB3A1D">
              <w:rPr>
                <w:rFonts w:ascii="Times New Roman" w:eastAsia="Times New Roman" w:hAnsi="Times New Roman" w:cs="Times New Roman"/>
                <w:color w:val="000000"/>
                <w:sz w:val="24"/>
                <w:szCs w:val="24"/>
                <w:lang w:eastAsia="en-US"/>
              </w:rPr>
              <w:t>Gasket failure</w:t>
            </w:r>
          </w:p>
        </w:tc>
        <w:tc>
          <w:tcPr>
            <w:tcW w:w="2111" w:type="dxa"/>
            <w:tcBorders>
              <w:top w:val="nil"/>
              <w:left w:val="nil"/>
              <w:bottom w:val="single" w:sz="8" w:space="0" w:color="auto"/>
              <w:right w:val="single" w:sz="8" w:space="0" w:color="auto"/>
            </w:tcBorders>
            <w:shd w:val="clear" w:color="auto" w:fill="auto"/>
            <w:vAlign w:val="center"/>
            <w:hideMark/>
          </w:tcPr>
          <w:p w14:paraId="775A12B8" w14:textId="6DA19F12" w:rsidR="00781225" w:rsidRPr="00BB3A1D" w:rsidRDefault="00781225" w:rsidP="00781225">
            <w:pPr>
              <w:spacing w:after="0" w:line="240" w:lineRule="auto"/>
              <w:jc w:val="right"/>
              <w:rPr>
                <w:rFonts w:ascii="Times New Roman" w:eastAsia="Times New Roman" w:hAnsi="Times New Roman" w:cs="Times New Roman"/>
                <w:sz w:val="24"/>
                <w:szCs w:val="24"/>
                <w:lang w:eastAsia="en-US"/>
              </w:rPr>
            </w:pPr>
            <w:r w:rsidRPr="00BB3A1D">
              <w:rPr>
                <w:rFonts w:ascii="Times New Roman" w:eastAsia="Times New Roman" w:hAnsi="Times New Roman" w:cs="Times New Roman"/>
                <w:color w:val="000000"/>
                <w:sz w:val="24"/>
                <w:szCs w:val="24"/>
                <w:lang w:eastAsia="en-US"/>
              </w:rPr>
              <w:t>0.00315</w:t>
            </w:r>
          </w:p>
        </w:tc>
        <w:tc>
          <w:tcPr>
            <w:tcW w:w="2256" w:type="dxa"/>
            <w:tcBorders>
              <w:top w:val="nil"/>
              <w:left w:val="nil"/>
              <w:bottom w:val="single" w:sz="8" w:space="0" w:color="auto"/>
              <w:right w:val="single" w:sz="8" w:space="0" w:color="auto"/>
            </w:tcBorders>
            <w:shd w:val="clear" w:color="auto" w:fill="auto"/>
            <w:vAlign w:val="center"/>
            <w:hideMark/>
          </w:tcPr>
          <w:p w14:paraId="558D2271" w14:textId="4ABD1557" w:rsidR="00781225" w:rsidRPr="00BB3A1D" w:rsidRDefault="00781225" w:rsidP="00202A9E">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fldChar w:fldCharType="begin"/>
            </w:r>
            <w:r>
              <w:rPr>
                <w:rFonts w:ascii="Times New Roman" w:eastAsia="Times New Roman" w:hAnsi="Times New Roman" w:cs="Times New Roman"/>
                <w:color w:val="000000"/>
                <w:sz w:val="24"/>
                <w:szCs w:val="24"/>
                <w:lang w:eastAsia="en-US"/>
              </w:rPr>
              <w:instrText xml:space="preserve"> ADDIN ZOTERO_ITEM CSL_CITATION {"citationID":"ZcUvJHQO","properties":{"formattedCitation":"\\super 3\\nosupersub{}","plainCitation":"3","noteIndex":0},"citationItems":[{"id":496,"uris":["http://zotero.org/users/11490235/items/DF93ZCYW"],"itemData":{"id":496,"type":"article-journal","abstract":"Aiming at the problems of complex calculation processes, insufficient risk data, and reliance on experts’ subjective judgments that exist in traditional probability analysis methods, this paper proposes a probability analysis method for hazardous chemical storage tank leakage accidents based on neural networks and fuzzy dynamic fault trees (Fuzzy DFT). This method combines fuzzy set theory (FST) and Bootstrap technology to accurately quantify the failure probabilities of basic events (BEs) and reduce the dependence on experts’ subjective judgments. Furthermore, an artificial neural network (ANN) model for tank failures is constructed. This model can accurately calculate the probability of tank leakage accidents by taking into account the dependency relationships among basic events. Finally, a long short-term memory (LSTM) network is utilized to analyze the dynamic evolution trend of the probability of storage tank accidents over time. In this paper, this method is applied to the case of the “11.28” Shenghua vinyl chloride leakage accident. The results show that the calculation results of this method are highly consistent with the actual situation of the accident, indicating that it is a scientific and effective method for analyzing the probability of hazardous chemical storage tank leakage accidents.","container-title":"Applied Sciences","DOI":"10.3390/app15073504","ISSN":"2076-3417","issue":"7","journalAbbreviation":"Applied Sciences","language":"en","license":"https://creativecommons.org/licenses/by/4.0/","page":"3504","source":"DOI.org (Crossref)","title":"Probability Analysis of Hazardous Chemicals Storage Tank Leakage Accident Based on Neural Network and Fuzzy Dynamic Fault Tree","volume":"15","author":[{"family":"Li","given":"Xue"},{"family":"Liu","given":"Wei’ao"},{"family":"Zhou","given":"Ning"},{"family":"Yuan","given":"Xiongjun"}],"issued":{"date-parts":[["2025",3,23]]}}}],"schema":"https://github.com/citation-style-language/schema/raw/master/csl-citation.json"} </w:instrText>
            </w:r>
            <w:r>
              <w:rPr>
                <w:rFonts w:ascii="Times New Roman" w:eastAsia="Times New Roman" w:hAnsi="Times New Roman" w:cs="Times New Roman"/>
                <w:color w:val="000000"/>
                <w:sz w:val="24"/>
                <w:szCs w:val="24"/>
                <w:lang w:eastAsia="en-US"/>
              </w:rPr>
              <w:fldChar w:fldCharType="separate"/>
            </w:r>
            <w:r w:rsidRPr="0018287E">
              <w:rPr>
                <w:rFonts w:ascii="Times New Roman" w:hAnsi="Times New Roman" w:cs="Times New Roman"/>
                <w:sz w:val="24"/>
                <w:vertAlign w:val="superscript"/>
              </w:rPr>
              <w:t>3</w:t>
            </w:r>
            <w:r>
              <w:rPr>
                <w:rFonts w:ascii="Times New Roman" w:eastAsia="Times New Roman" w:hAnsi="Times New Roman" w:cs="Times New Roman"/>
                <w:color w:val="000000"/>
                <w:sz w:val="24"/>
                <w:szCs w:val="24"/>
                <w:lang w:eastAsia="en-US"/>
              </w:rPr>
              <w:fldChar w:fldCharType="end"/>
            </w:r>
            <w:r>
              <w:rPr>
                <w:rFonts w:ascii="Times New Roman" w:eastAsia="Times New Roman" w:hAnsi="Times New Roman" w:cs="Times New Roman"/>
                <w:color w:val="000000"/>
                <w:sz w:val="24"/>
                <w:szCs w:val="24"/>
                <w:lang w:eastAsia="en-US"/>
              </w:rPr>
              <w:t>*</w:t>
            </w:r>
          </w:p>
        </w:tc>
      </w:tr>
      <w:tr w:rsidR="00120856" w:rsidRPr="00BB3A1D" w14:paraId="3BACEC72" w14:textId="77777777" w:rsidTr="00A37809">
        <w:trPr>
          <w:trHeight w:val="320"/>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1BD6DF4C" w14:textId="52E88917" w:rsidR="00781225" w:rsidRPr="00BB3A1D" w:rsidRDefault="00781225" w:rsidP="00781225">
            <w:pPr>
              <w:spacing w:after="0" w:line="240" w:lineRule="auto"/>
              <w:rPr>
                <w:rFonts w:ascii="Times New Roman" w:eastAsia="Times New Roman" w:hAnsi="Times New Roman" w:cs="Times New Roman"/>
                <w:color w:val="000000"/>
                <w:sz w:val="24"/>
                <w:szCs w:val="24"/>
                <w:lang w:eastAsia="en-US"/>
              </w:rPr>
            </w:pPr>
            <w:r w:rsidRPr="00BB3A1D">
              <w:rPr>
                <w:rFonts w:ascii="Times New Roman" w:eastAsia="Times New Roman" w:hAnsi="Times New Roman" w:cs="Times New Roman"/>
                <w:sz w:val="24"/>
                <w:szCs w:val="24"/>
                <w:lang w:eastAsia="en-US"/>
              </w:rPr>
              <w:t>p1</w:t>
            </w:r>
            <w:r>
              <w:rPr>
                <w:rFonts w:ascii="Times New Roman" w:eastAsia="Times New Roman" w:hAnsi="Times New Roman" w:cs="Times New Roman"/>
                <w:sz w:val="24"/>
                <w:szCs w:val="24"/>
                <w:lang w:eastAsia="en-US"/>
              </w:rPr>
              <w:t>2</w:t>
            </w:r>
          </w:p>
        </w:tc>
        <w:tc>
          <w:tcPr>
            <w:tcW w:w="3643" w:type="dxa"/>
            <w:tcBorders>
              <w:top w:val="nil"/>
              <w:left w:val="nil"/>
              <w:bottom w:val="single" w:sz="8" w:space="0" w:color="auto"/>
              <w:right w:val="single" w:sz="8" w:space="0" w:color="auto"/>
            </w:tcBorders>
            <w:shd w:val="clear" w:color="auto" w:fill="auto"/>
            <w:vAlign w:val="center"/>
            <w:hideMark/>
          </w:tcPr>
          <w:p w14:paraId="1D412554" w14:textId="3DE01311" w:rsidR="00781225" w:rsidRPr="00BB3A1D" w:rsidRDefault="00781225" w:rsidP="00781225">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Cracks/ l</w:t>
            </w:r>
            <w:r w:rsidRPr="00BB3A1D">
              <w:rPr>
                <w:rFonts w:ascii="Times New Roman" w:eastAsia="Times New Roman" w:hAnsi="Times New Roman" w:cs="Times New Roman"/>
                <w:color w:val="000000"/>
                <w:sz w:val="24"/>
                <w:szCs w:val="24"/>
                <w:lang w:eastAsia="en-US"/>
              </w:rPr>
              <w:t>oose fitting</w:t>
            </w:r>
          </w:p>
        </w:tc>
        <w:tc>
          <w:tcPr>
            <w:tcW w:w="2111" w:type="dxa"/>
            <w:tcBorders>
              <w:top w:val="nil"/>
              <w:left w:val="nil"/>
              <w:bottom w:val="single" w:sz="8" w:space="0" w:color="auto"/>
              <w:right w:val="single" w:sz="8" w:space="0" w:color="auto"/>
            </w:tcBorders>
            <w:shd w:val="clear" w:color="auto" w:fill="auto"/>
            <w:vAlign w:val="center"/>
            <w:hideMark/>
          </w:tcPr>
          <w:p w14:paraId="6741BC43" w14:textId="5848599A" w:rsidR="00781225" w:rsidRPr="00BB3A1D" w:rsidRDefault="00781225" w:rsidP="00781225">
            <w:pPr>
              <w:spacing w:after="0" w:line="240" w:lineRule="auto"/>
              <w:jc w:val="right"/>
              <w:rPr>
                <w:rFonts w:ascii="Times New Roman" w:eastAsia="Times New Roman" w:hAnsi="Times New Roman" w:cs="Times New Roman"/>
                <w:sz w:val="24"/>
                <w:szCs w:val="24"/>
                <w:lang w:eastAsia="en-US"/>
              </w:rPr>
            </w:pPr>
            <w:r w:rsidRPr="00BB3A1D">
              <w:rPr>
                <w:rFonts w:ascii="Times New Roman" w:eastAsia="Times New Roman" w:hAnsi="Times New Roman" w:cs="Times New Roman"/>
                <w:color w:val="000000"/>
                <w:sz w:val="24"/>
                <w:szCs w:val="24"/>
                <w:lang w:eastAsia="en-US"/>
              </w:rPr>
              <w:t>0.005175</w:t>
            </w:r>
          </w:p>
        </w:tc>
        <w:tc>
          <w:tcPr>
            <w:tcW w:w="2256" w:type="dxa"/>
            <w:tcBorders>
              <w:top w:val="nil"/>
              <w:left w:val="nil"/>
              <w:bottom w:val="single" w:sz="8" w:space="0" w:color="auto"/>
              <w:right w:val="single" w:sz="8" w:space="0" w:color="auto"/>
            </w:tcBorders>
            <w:shd w:val="clear" w:color="auto" w:fill="auto"/>
            <w:vAlign w:val="center"/>
            <w:hideMark/>
          </w:tcPr>
          <w:p w14:paraId="5FE051BF" w14:textId="6FA676A5" w:rsidR="00781225" w:rsidRPr="00BB3A1D" w:rsidRDefault="00781225" w:rsidP="00202A9E">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fldChar w:fldCharType="begin"/>
            </w:r>
            <w:r>
              <w:rPr>
                <w:rFonts w:ascii="Times New Roman" w:eastAsia="Times New Roman" w:hAnsi="Times New Roman" w:cs="Times New Roman"/>
                <w:color w:val="000000"/>
                <w:sz w:val="24"/>
                <w:szCs w:val="24"/>
                <w:lang w:eastAsia="en-US"/>
              </w:rPr>
              <w:instrText xml:space="preserve"> ADDIN ZOTERO_ITEM CSL_CITATION {"citationID":"3UkN6vYi","properties":{"formattedCitation":"\\super 3\\nosupersub{}","plainCitation":"3","noteIndex":0},"citationItems":[{"id":496,"uris":["http://zotero.org/users/11490235/items/DF93ZCYW"],"itemData":{"id":496,"type":"article-journal","abstract":"Aiming at the problems of complex calculation processes, insufficient risk data, and reliance on experts’ subjective judgments that exist in traditional probability analysis methods, this paper proposes a probability analysis method for hazardous chemical storage tank leakage accidents based on neural networks and fuzzy dynamic fault trees (Fuzzy DFT). This method combines fuzzy set theory (FST) and Bootstrap technology to accurately quantify the failure probabilities of basic events (BEs) and reduce the dependence on experts’ subjective judgments. Furthermore, an artificial neural network (ANN) model for tank failures is constructed. This model can accurately calculate the probability of tank leakage accidents by taking into account the dependency relationships among basic events. Finally, a long short-term memory (LSTM) network is utilized to analyze the dynamic evolution trend of the probability of storage tank accidents over time. In this paper, this method is applied to the case of the “11.28” Shenghua vinyl chloride leakage accident. The results show that the calculation results of this method are highly consistent with the actual situation of the accident, indicating that it is a scientific and effective method for analyzing the probability of hazardous chemical storage tank leakage accidents.","container-title":"Applied Sciences","DOI":"10.3390/app15073504","ISSN":"2076-3417","issue":"7","journalAbbreviation":"Applied Sciences","language":"en","license":"https://creativecommons.org/licenses/by/4.0/","page":"3504","source":"DOI.org (Crossref)","title":"Probability Analysis of Hazardous Chemicals Storage Tank Leakage Accident Based on Neural Network and Fuzzy Dynamic Fault Tree","volume":"15","author":[{"family":"Li","given":"Xue"},{"family":"Liu","given":"Wei’ao"},{"family":"Zhou","given":"Ning"},{"family":"Yuan","given":"Xiongjun"}],"issued":{"date-parts":[["2025",3,23]]}}}],"schema":"https://github.com/citation-style-language/schema/raw/master/csl-citation.json"} </w:instrText>
            </w:r>
            <w:r>
              <w:rPr>
                <w:rFonts w:ascii="Times New Roman" w:eastAsia="Times New Roman" w:hAnsi="Times New Roman" w:cs="Times New Roman"/>
                <w:color w:val="000000"/>
                <w:sz w:val="24"/>
                <w:szCs w:val="24"/>
                <w:lang w:eastAsia="en-US"/>
              </w:rPr>
              <w:fldChar w:fldCharType="separate"/>
            </w:r>
            <w:r w:rsidRPr="0018287E">
              <w:rPr>
                <w:rFonts w:ascii="Times New Roman" w:hAnsi="Times New Roman" w:cs="Times New Roman"/>
                <w:sz w:val="24"/>
                <w:vertAlign w:val="superscript"/>
              </w:rPr>
              <w:t>3</w:t>
            </w:r>
            <w:r>
              <w:rPr>
                <w:rFonts w:ascii="Times New Roman" w:eastAsia="Times New Roman" w:hAnsi="Times New Roman" w:cs="Times New Roman"/>
                <w:color w:val="000000"/>
                <w:sz w:val="24"/>
                <w:szCs w:val="24"/>
                <w:lang w:eastAsia="en-US"/>
              </w:rPr>
              <w:fldChar w:fldCharType="end"/>
            </w:r>
            <w:r>
              <w:rPr>
                <w:rFonts w:ascii="Times New Roman" w:eastAsia="Times New Roman" w:hAnsi="Times New Roman" w:cs="Times New Roman"/>
                <w:color w:val="000000"/>
                <w:sz w:val="24"/>
                <w:szCs w:val="24"/>
                <w:lang w:eastAsia="en-US"/>
              </w:rPr>
              <w:t>*</w:t>
            </w:r>
          </w:p>
        </w:tc>
      </w:tr>
      <w:tr w:rsidR="00120856" w:rsidRPr="00BB3A1D" w14:paraId="441641CE" w14:textId="77777777" w:rsidTr="00A37809">
        <w:trPr>
          <w:trHeight w:val="320"/>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73F7A601" w14:textId="60227EBE" w:rsidR="00781225" w:rsidRPr="00BB3A1D" w:rsidRDefault="00781225" w:rsidP="00781225">
            <w:pPr>
              <w:spacing w:after="0" w:line="240" w:lineRule="auto"/>
              <w:rPr>
                <w:rFonts w:ascii="Times New Roman" w:eastAsia="Times New Roman" w:hAnsi="Times New Roman" w:cs="Times New Roman"/>
                <w:sz w:val="24"/>
                <w:szCs w:val="24"/>
                <w:lang w:eastAsia="en-US"/>
              </w:rPr>
            </w:pPr>
            <w:r w:rsidRPr="00BB3A1D">
              <w:rPr>
                <w:rFonts w:ascii="Times New Roman" w:eastAsia="Times New Roman" w:hAnsi="Times New Roman" w:cs="Times New Roman"/>
                <w:sz w:val="24"/>
                <w:szCs w:val="24"/>
                <w:lang w:eastAsia="en-US"/>
              </w:rPr>
              <w:t>p13</w:t>
            </w:r>
          </w:p>
        </w:tc>
        <w:tc>
          <w:tcPr>
            <w:tcW w:w="3643" w:type="dxa"/>
            <w:tcBorders>
              <w:top w:val="nil"/>
              <w:left w:val="nil"/>
              <w:bottom w:val="single" w:sz="8" w:space="0" w:color="auto"/>
              <w:right w:val="single" w:sz="8" w:space="0" w:color="auto"/>
            </w:tcBorders>
            <w:shd w:val="clear" w:color="auto" w:fill="auto"/>
            <w:vAlign w:val="center"/>
            <w:hideMark/>
          </w:tcPr>
          <w:p w14:paraId="7EA87756" w14:textId="266520F5" w:rsidR="00781225" w:rsidRPr="00BB3A1D" w:rsidRDefault="00781225" w:rsidP="00781225">
            <w:pPr>
              <w:spacing w:after="0" w:line="240" w:lineRule="auto"/>
              <w:rPr>
                <w:rFonts w:ascii="Times New Roman" w:eastAsia="Times New Roman" w:hAnsi="Times New Roman" w:cs="Times New Roman"/>
                <w:color w:val="000000"/>
                <w:sz w:val="24"/>
                <w:szCs w:val="24"/>
                <w:lang w:eastAsia="en-US"/>
              </w:rPr>
            </w:pPr>
            <w:r w:rsidRPr="00BB3A1D">
              <w:rPr>
                <w:rFonts w:ascii="Times New Roman" w:eastAsia="Times New Roman" w:hAnsi="Times New Roman" w:cs="Times New Roman"/>
                <w:color w:val="000000"/>
                <w:sz w:val="24"/>
                <w:szCs w:val="24"/>
                <w:lang w:eastAsia="en-US"/>
              </w:rPr>
              <w:t>Packing / O</w:t>
            </w:r>
            <w:r w:rsidRPr="00BB3A1D">
              <w:rPr>
                <w:rFonts w:ascii="Times New Roman" w:eastAsia="Times New Roman" w:hAnsi="Times New Roman" w:cs="Times New Roman"/>
                <w:color w:val="000000"/>
                <w:sz w:val="24"/>
                <w:szCs w:val="24"/>
                <w:lang w:eastAsia="en-US"/>
              </w:rPr>
              <w:noBreakHyphen/>
              <w:t>ring failure</w:t>
            </w:r>
          </w:p>
        </w:tc>
        <w:tc>
          <w:tcPr>
            <w:tcW w:w="2111" w:type="dxa"/>
            <w:tcBorders>
              <w:top w:val="nil"/>
              <w:left w:val="nil"/>
              <w:bottom w:val="single" w:sz="8" w:space="0" w:color="auto"/>
              <w:right w:val="single" w:sz="8" w:space="0" w:color="auto"/>
            </w:tcBorders>
            <w:shd w:val="clear" w:color="auto" w:fill="auto"/>
            <w:vAlign w:val="center"/>
            <w:hideMark/>
          </w:tcPr>
          <w:p w14:paraId="1FF70B91" w14:textId="10AE19FE" w:rsidR="00781225" w:rsidRPr="00BB3A1D" w:rsidRDefault="00781225" w:rsidP="00781225">
            <w:pPr>
              <w:spacing w:after="0" w:line="240" w:lineRule="auto"/>
              <w:jc w:val="right"/>
              <w:rPr>
                <w:rFonts w:ascii="Times New Roman" w:eastAsia="Times New Roman" w:hAnsi="Times New Roman" w:cs="Times New Roman"/>
                <w:color w:val="000000"/>
                <w:sz w:val="24"/>
                <w:szCs w:val="24"/>
                <w:lang w:eastAsia="en-US"/>
              </w:rPr>
            </w:pPr>
            <w:r w:rsidRPr="00BB3A1D">
              <w:rPr>
                <w:rFonts w:ascii="Times New Roman" w:eastAsia="Times New Roman" w:hAnsi="Times New Roman" w:cs="Times New Roman"/>
                <w:color w:val="000000"/>
                <w:sz w:val="24"/>
                <w:szCs w:val="24"/>
                <w:lang w:eastAsia="en-US"/>
              </w:rPr>
              <w:t>0.00255</w:t>
            </w:r>
          </w:p>
        </w:tc>
        <w:tc>
          <w:tcPr>
            <w:tcW w:w="2256" w:type="dxa"/>
            <w:tcBorders>
              <w:top w:val="nil"/>
              <w:left w:val="nil"/>
              <w:bottom w:val="single" w:sz="8" w:space="0" w:color="auto"/>
              <w:right w:val="single" w:sz="8" w:space="0" w:color="auto"/>
            </w:tcBorders>
            <w:shd w:val="clear" w:color="auto" w:fill="auto"/>
            <w:vAlign w:val="center"/>
            <w:hideMark/>
          </w:tcPr>
          <w:p w14:paraId="63836DC0" w14:textId="4FEC35D1" w:rsidR="00781225" w:rsidRPr="00BB3A1D" w:rsidRDefault="00781225" w:rsidP="00202A9E">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fldChar w:fldCharType="begin"/>
            </w:r>
            <w:r>
              <w:rPr>
                <w:rFonts w:ascii="Times New Roman" w:eastAsia="Times New Roman" w:hAnsi="Times New Roman" w:cs="Times New Roman"/>
                <w:color w:val="000000"/>
                <w:sz w:val="24"/>
                <w:szCs w:val="24"/>
                <w:lang w:eastAsia="en-US"/>
              </w:rPr>
              <w:instrText xml:space="preserve"> ADDIN ZOTERO_ITEM CSL_CITATION {"citationID":"emvTlGiQ","properties":{"formattedCitation":"\\super 3\\nosupersub{}","plainCitation":"3","noteIndex":0},"citationItems":[{"id":496,"uris":["http://zotero.org/users/11490235/items/DF93ZCYW"],"itemData":{"id":496,"type":"article-journal","abstract":"Aiming at the problems of complex calculation processes, insufficient risk data, and reliance on experts’ subjective judgments that exist in traditional probability analysis methods, this paper proposes a probability analysis method for hazardous chemical storage tank leakage accidents based on neural networks and fuzzy dynamic fault trees (Fuzzy DFT). This method combines fuzzy set theory (FST) and Bootstrap technology to accurately quantify the failure probabilities of basic events (BEs) and reduce the dependence on experts’ subjective judgments. Furthermore, an artificial neural network (ANN) model for tank failures is constructed. This model can accurately calculate the probability of tank leakage accidents by taking into account the dependency relationships among basic events. Finally, a long short-term memory (LSTM) network is utilized to analyze the dynamic evolution trend of the probability of storage tank accidents over time. In this paper, this method is applied to the case of the “11.28” Shenghua vinyl chloride leakage accident. The results show that the calculation results of this method are highly consistent with the actual situation of the accident, indicating that it is a scientific and effective method for analyzing the probability of hazardous chemical storage tank leakage accidents.","container-title":"Applied Sciences","DOI":"10.3390/app15073504","ISSN":"2076-3417","issue":"7","journalAbbreviation":"Applied Sciences","language":"en","license":"https://creativecommons.org/licenses/by/4.0/","page":"3504","source":"DOI.org (Crossref)","title":"Probability Analysis of Hazardous Chemicals Storage Tank Leakage Accident Based on Neural Network and Fuzzy Dynamic Fault Tree","volume":"15","author":[{"family":"Li","given":"Xue"},{"family":"Liu","given":"Wei’ao"},{"family":"Zhou","given":"Ning"},{"family":"Yuan","given":"Xiongjun"}],"issued":{"date-parts":[["2025",3,23]]}}}],"schema":"https://github.com/citation-style-language/schema/raw/master/csl-citation.json"} </w:instrText>
            </w:r>
            <w:r>
              <w:rPr>
                <w:rFonts w:ascii="Times New Roman" w:eastAsia="Times New Roman" w:hAnsi="Times New Roman" w:cs="Times New Roman"/>
                <w:color w:val="000000"/>
                <w:sz w:val="24"/>
                <w:szCs w:val="24"/>
                <w:lang w:eastAsia="en-US"/>
              </w:rPr>
              <w:fldChar w:fldCharType="separate"/>
            </w:r>
            <w:r w:rsidRPr="0018287E">
              <w:rPr>
                <w:rFonts w:ascii="Times New Roman" w:hAnsi="Times New Roman" w:cs="Times New Roman"/>
                <w:sz w:val="24"/>
                <w:vertAlign w:val="superscript"/>
              </w:rPr>
              <w:t>3</w:t>
            </w:r>
            <w:r>
              <w:rPr>
                <w:rFonts w:ascii="Times New Roman" w:eastAsia="Times New Roman" w:hAnsi="Times New Roman" w:cs="Times New Roman"/>
                <w:color w:val="000000"/>
                <w:sz w:val="24"/>
                <w:szCs w:val="24"/>
                <w:lang w:eastAsia="en-US"/>
              </w:rPr>
              <w:fldChar w:fldCharType="end"/>
            </w:r>
            <w:r>
              <w:rPr>
                <w:rFonts w:ascii="Times New Roman" w:eastAsia="Times New Roman" w:hAnsi="Times New Roman" w:cs="Times New Roman"/>
                <w:color w:val="000000"/>
                <w:sz w:val="24"/>
                <w:szCs w:val="24"/>
                <w:lang w:eastAsia="en-US"/>
              </w:rPr>
              <w:t>*</w:t>
            </w:r>
          </w:p>
        </w:tc>
      </w:tr>
      <w:tr w:rsidR="00120856" w:rsidRPr="00BB3A1D" w14:paraId="4E41624A" w14:textId="77777777" w:rsidTr="00A37809">
        <w:trPr>
          <w:trHeight w:val="320"/>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24E75A9F" w14:textId="33D961FB" w:rsidR="00781225" w:rsidRPr="00BB3A1D" w:rsidRDefault="00781225" w:rsidP="00781225">
            <w:pPr>
              <w:spacing w:after="0" w:line="240" w:lineRule="auto"/>
              <w:rPr>
                <w:rFonts w:ascii="Times New Roman" w:eastAsia="Times New Roman" w:hAnsi="Times New Roman" w:cs="Times New Roman"/>
                <w:color w:val="000000"/>
                <w:sz w:val="24"/>
                <w:szCs w:val="24"/>
                <w:lang w:eastAsia="en-US"/>
              </w:rPr>
            </w:pPr>
            <w:r w:rsidRPr="00BB3A1D">
              <w:rPr>
                <w:rFonts w:ascii="Times New Roman" w:eastAsia="Times New Roman" w:hAnsi="Times New Roman" w:cs="Times New Roman"/>
                <w:color w:val="000000"/>
                <w:sz w:val="24"/>
                <w:szCs w:val="24"/>
                <w:lang w:eastAsia="en-US"/>
              </w:rPr>
              <w:t>p14</w:t>
            </w:r>
          </w:p>
        </w:tc>
        <w:tc>
          <w:tcPr>
            <w:tcW w:w="3643" w:type="dxa"/>
            <w:tcBorders>
              <w:top w:val="nil"/>
              <w:left w:val="nil"/>
              <w:bottom w:val="single" w:sz="8" w:space="0" w:color="auto"/>
              <w:right w:val="single" w:sz="8" w:space="0" w:color="auto"/>
            </w:tcBorders>
            <w:shd w:val="clear" w:color="auto" w:fill="auto"/>
            <w:vAlign w:val="center"/>
            <w:hideMark/>
          </w:tcPr>
          <w:p w14:paraId="5A8C56FC" w14:textId="35909680" w:rsidR="00781225" w:rsidRPr="00BB3A1D" w:rsidRDefault="00781225" w:rsidP="00781225">
            <w:pPr>
              <w:spacing w:after="0" w:line="240" w:lineRule="auto"/>
              <w:rPr>
                <w:rFonts w:ascii="Times New Roman" w:eastAsia="Times New Roman" w:hAnsi="Times New Roman" w:cs="Times New Roman"/>
                <w:color w:val="000000"/>
                <w:sz w:val="24"/>
                <w:szCs w:val="24"/>
                <w:lang w:eastAsia="en-US"/>
              </w:rPr>
            </w:pPr>
            <w:r w:rsidRPr="00BB3A1D">
              <w:rPr>
                <w:rFonts w:ascii="Times New Roman" w:eastAsia="Times New Roman" w:hAnsi="Times New Roman" w:cs="Times New Roman"/>
                <w:color w:val="000000"/>
                <w:sz w:val="24"/>
                <w:szCs w:val="24"/>
                <w:lang w:eastAsia="en-US"/>
              </w:rPr>
              <w:t>Corrosion</w:t>
            </w:r>
          </w:p>
        </w:tc>
        <w:tc>
          <w:tcPr>
            <w:tcW w:w="2111" w:type="dxa"/>
            <w:tcBorders>
              <w:top w:val="nil"/>
              <w:left w:val="nil"/>
              <w:bottom w:val="single" w:sz="8" w:space="0" w:color="auto"/>
              <w:right w:val="single" w:sz="8" w:space="0" w:color="auto"/>
            </w:tcBorders>
            <w:shd w:val="clear" w:color="auto" w:fill="auto"/>
            <w:vAlign w:val="center"/>
            <w:hideMark/>
          </w:tcPr>
          <w:p w14:paraId="54F1D77D" w14:textId="06EA8ECF" w:rsidR="00781225" w:rsidRPr="00BB3A1D" w:rsidRDefault="00781225" w:rsidP="00781225">
            <w:pPr>
              <w:spacing w:after="0" w:line="240" w:lineRule="auto"/>
              <w:jc w:val="right"/>
              <w:rPr>
                <w:rFonts w:ascii="Times New Roman" w:eastAsia="Times New Roman" w:hAnsi="Times New Roman" w:cs="Times New Roman"/>
                <w:color w:val="000000"/>
                <w:sz w:val="24"/>
                <w:szCs w:val="24"/>
                <w:lang w:eastAsia="en-US"/>
              </w:rPr>
            </w:pPr>
            <w:r w:rsidRPr="00BB3A1D">
              <w:rPr>
                <w:rFonts w:ascii="Times New Roman" w:eastAsia="Times New Roman" w:hAnsi="Times New Roman" w:cs="Times New Roman"/>
                <w:color w:val="000000"/>
                <w:sz w:val="24"/>
                <w:szCs w:val="24"/>
                <w:lang w:eastAsia="en-US"/>
              </w:rPr>
              <w:t>0.005</w:t>
            </w:r>
          </w:p>
        </w:tc>
        <w:tc>
          <w:tcPr>
            <w:tcW w:w="2256" w:type="dxa"/>
            <w:tcBorders>
              <w:top w:val="nil"/>
              <w:left w:val="nil"/>
              <w:bottom w:val="single" w:sz="8" w:space="0" w:color="auto"/>
              <w:right w:val="single" w:sz="8" w:space="0" w:color="auto"/>
            </w:tcBorders>
            <w:shd w:val="clear" w:color="auto" w:fill="auto"/>
            <w:vAlign w:val="center"/>
            <w:hideMark/>
          </w:tcPr>
          <w:p w14:paraId="5CE4BD5C" w14:textId="0423FFD5" w:rsidR="00781225" w:rsidRPr="00BB3A1D" w:rsidRDefault="00781225" w:rsidP="00202A9E">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fldChar w:fldCharType="begin"/>
            </w:r>
            <w:r>
              <w:rPr>
                <w:rFonts w:ascii="Times New Roman" w:eastAsia="Times New Roman" w:hAnsi="Times New Roman" w:cs="Times New Roman"/>
                <w:color w:val="000000"/>
                <w:sz w:val="24"/>
                <w:szCs w:val="24"/>
                <w:lang w:eastAsia="en-US"/>
              </w:rPr>
              <w:instrText xml:space="preserve"> ADDIN ZOTERO_ITEM CSL_CITATION {"citationID":"Ogbakjsj","properties":{"formattedCitation":"\\super 3\\nosupersub{}","plainCitation":"3","noteIndex":0},"citationItems":[{"id":496,"uris":["http://zotero.org/users/11490235/items/DF93ZCYW"],"itemData":{"id":496,"type":"article-journal","abstract":"Aiming at the problems of complex calculation processes, insufficient risk data, and reliance on experts’ subjective judgments that exist in traditional probability analysis methods, this paper proposes a probability analysis method for hazardous chemical storage tank leakage accidents based on neural networks and fuzzy dynamic fault trees (Fuzzy DFT). This method combines fuzzy set theory (FST) and Bootstrap technology to accurately quantify the failure probabilities of basic events (BEs) and reduce the dependence on experts’ subjective judgments. Furthermore, an artificial neural network (ANN) model for tank failures is constructed. This model can accurately calculate the probability of tank leakage accidents by taking into account the dependency relationships among basic events. Finally, a long short-term memory (LSTM) network is utilized to analyze the dynamic evolution trend of the probability of storage tank accidents over time. In this paper, this method is applied to the case of the “11.28” Shenghua vinyl chloride leakage accident. The results show that the calculation results of this method are highly consistent with the actual situation of the accident, indicating that it is a scientific and effective method for analyzing the probability of hazardous chemical storage tank leakage accidents.","container-title":"Applied Sciences","DOI":"10.3390/app15073504","ISSN":"2076-3417","issue":"7","journalAbbreviation":"Applied Sciences","language":"en","license":"https://creativecommons.org/licenses/by/4.0/","page":"3504","source":"DOI.org (Crossref)","title":"Probability Analysis of Hazardous Chemicals Storage Tank Leakage Accident Based on Neural Network and Fuzzy Dynamic Fault Tree","volume":"15","author":[{"family":"Li","given":"Xue"},{"family":"Liu","given":"Wei’ao"},{"family":"Zhou","given":"Ning"},{"family":"Yuan","given":"Xiongjun"}],"issued":{"date-parts":[["2025",3,23]]}}}],"schema":"https://github.com/citation-style-language/schema/raw/master/csl-citation.json"} </w:instrText>
            </w:r>
            <w:r>
              <w:rPr>
                <w:rFonts w:ascii="Times New Roman" w:eastAsia="Times New Roman" w:hAnsi="Times New Roman" w:cs="Times New Roman"/>
                <w:color w:val="000000"/>
                <w:sz w:val="24"/>
                <w:szCs w:val="24"/>
                <w:lang w:eastAsia="en-US"/>
              </w:rPr>
              <w:fldChar w:fldCharType="separate"/>
            </w:r>
            <w:r w:rsidRPr="0018287E">
              <w:rPr>
                <w:rFonts w:ascii="Times New Roman" w:hAnsi="Times New Roman" w:cs="Times New Roman"/>
                <w:sz w:val="24"/>
                <w:vertAlign w:val="superscript"/>
              </w:rPr>
              <w:t>3</w:t>
            </w:r>
            <w:r>
              <w:rPr>
                <w:rFonts w:ascii="Times New Roman" w:eastAsia="Times New Roman" w:hAnsi="Times New Roman" w:cs="Times New Roman"/>
                <w:color w:val="000000"/>
                <w:sz w:val="24"/>
                <w:szCs w:val="24"/>
                <w:lang w:eastAsia="en-US"/>
              </w:rPr>
              <w:fldChar w:fldCharType="end"/>
            </w:r>
          </w:p>
        </w:tc>
      </w:tr>
      <w:tr w:rsidR="00120856" w:rsidRPr="00BB3A1D" w14:paraId="41CB9987" w14:textId="77777777" w:rsidTr="00A37809">
        <w:trPr>
          <w:trHeight w:val="320"/>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3D6491FE" w14:textId="741A3A5C" w:rsidR="00781225" w:rsidRPr="00BB3A1D" w:rsidRDefault="00781225" w:rsidP="00781225">
            <w:pPr>
              <w:spacing w:after="0" w:line="240" w:lineRule="auto"/>
              <w:rPr>
                <w:rFonts w:ascii="Times New Roman" w:eastAsia="Times New Roman" w:hAnsi="Times New Roman" w:cs="Times New Roman"/>
                <w:sz w:val="24"/>
                <w:szCs w:val="24"/>
                <w:lang w:eastAsia="en-US"/>
              </w:rPr>
            </w:pPr>
            <w:r w:rsidRPr="00BB3A1D">
              <w:rPr>
                <w:rFonts w:ascii="Times New Roman" w:eastAsia="Times New Roman" w:hAnsi="Times New Roman" w:cs="Times New Roman"/>
                <w:color w:val="000000"/>
                <w:sz w:val="24"/>
                <w:szCs w:val="24"/>
                <w:lang w:eastAsia="en-US"/>
              </w:rPr>
              <w:t>p15</w:t>
            </w:r>
          </w:p>
        </w:tc>
        <w:tc>
          <w:tcPr>
            <w:tcW w:w="3643" w:type="dxa"/>
            <w:tcBorders>
              <w:top w:val="nil"/>
              <w:left w:val="nil"/>
              <w:bottom w:val="single" w:sz="8" w:space="0" w:color="auto"/>
              <w:right w:val="single" w:sz="8" w:space="0" w:color="auto"/>
            </w:tcBorders>
            <w:shd w:val="clear" w:color="auto" w:fill="auto"/>
            <w:vAlign w:val="center"/>
            <w:hideMark/>
          </w:tcPr>
          <w:p w14:paraId="56418055" w14:textId="2D3DCD2A" w:rsidR="00781225" w:rsidRPr="00BB3A1D" w:rsidRDefault="00781225" w:rsidP="00781225">
            <w:pPr>
              <w:spacing w:after="0" w:line="240" w:lineRule="auto"/>
              <w:rPr>
                <w:rFonts w:ascii="Times New Roman" w:eastAsia="Times New Roman" w:hAnsi="Times New Roman" w:cs="Times New Roman"/>
                <w:color w:val="000000"/>
                <w:sz w:val="24"/>
                <w:szCs w:val="24"/>
                <w:lang w:eastAsia="en-US"/>
              </w:rPr>
            </w:pPr>
            <w:r w:rsidRPr="00BB3A1D">
              <w:rPr>
                <w:rFonts w:ascii="Times New Roman" w:eastAsia="Times New Roman" w:hAnsi="Times New Roman" w:cs="Times New Roman"/>
                <w:color w:val="000000"/>
                <w:sz w:val="24"/>
                <w:szCs w:val="24"/>
                <w:lang w:eastAsia="en-US"/>
              </w:rPr>
              <w:t>Other internal failure</w:t>
            </w:r>
          </w:p>
        </w:tc>
        <w:tc>
          <w:tcPr>
            <w:tcW w:w="2111" w:type="dxa"/>
            <w:tcBorders>
              <w:top w:val="nil"/>
              <w:left w:val="nil"/>
              <w:bottom w:val="single" w:sz="8" w:space="0" w:color="auto"/>
              <w:right w:val="single" w:sz="8" w:space="0" w:color="auto"/>
            </w:tcBorders>
            <w:shd w:val="clear" w:color="auto" w:fill="auto"/>
            <w:vAlign w:val="center"/>
            <w:hideMark/>
          </w:tcPr>
          <w:p w14:paraId="29E52C86" w14:textId="36F493E8" w:rsidR="00781225" w:rsidRPr="00BB3A1D" w:rsidRDefault="00781225" w:rsidP="00781225">
            <w:pPr>
              <w:spacing w:after="0" w:line="240" w:lineRule="auto"/>
              <w:jc w:val="right"/>
              <w:rPr>
                <w:rFonts w:ascii="Times New Roman" w:eastAsia="Times New Roman" w:hAnsi="Times New Roman" w:cs="Times New Roman"/>
                <w:color w:val="000000"/>
                <w:sz w:val="24"/>
                <w:szCs w:val="24"/>
                <w:lang w:eastAsia="en-US"/>
              </w:rPr>
            </w:pPr>
            <w:r w:rsidRPr="00BB3A1D">
              <w:rPr>
                <w:rFonts w:ascii="Times New Roman" w:eastAsia="Times New Roman" w:hAnsi="Times New Roman" w:cs="Times New Roman"/>
                <w:color w:val="000000"/>
                <w:sz w:val="24"/>
                <w:szCs w:val="24"/>
                <w:lang w:eastAsia="en-US"/>
              </w:rPr>
              <w:t>0.009</w:t>
            </w:r>
          </w:p>
        </w:tc>
        <w:tc>
          <w:tcPr>
            <w:tcW w:w="2256" w:type="dxa"/>
            <w:tcBorders>
              <w:top w:val="nil"/>
              <w:left w:val="nil"/>
              <w:bottom w:val="single" w:sz="8" w:space="0" w:color="auto"/>
              <w:right w:val="single" w:sz="8" w:space="0" w:color="auto"/>
            </w:tcBorders>
            <w:shd w:val="clear" w:color="auto" w:fill="auto"/>
            <w:vAlign w:val="center"/>
            <w:hideMark/>
          </w:tcPr>
          <w:p w14:paraId="57E9DCE1" w14:textId="70DBE25F" w:rsidR="00781225" w:rsidRPr="00BB3A1D" w:rsidRDefault="00781225" w:rsidP="00202A9E">
            <w:pPr>
              <w:spacing w:after="0" w:line="240" w:lineRule="auto"/>
              <w:jc w:val="center"/>
              <w:rPr>
                <w:rFonts w:ascii="Times New Roman" w:eastAsia="Times New Roman" w:hAnsi="Times New Roman" w:cs="Times New Roman"/>
                <w:color w:val="000000"/>
                <w:sz w:val="24"/>
                <w:szCs w:val="24"/>
                <w:lang w:eastAsia="en-US"/>
              </w:rPr>
            </w:pPr>
            <w:r w:rsidRPr="00202A9E">
              <w:rPr>
                <w:rFonts w:ascii="Times New Roman" w:eastAsia="Times New Roman" w:hAnsi="Times New Roman" w:cs="Times New Roman"/>
                <w:color w:val="000000"/>
                <w:sz w:val="24"/>
                <w:szCs w:val="24"/>
                <w:vertAlign w:val="superscript"/>
                <w:lang w:eastAsia="en-US"/>
              </w:rPr>
              <w:fldChar w:fldCharType="begin"/>
            </w:r>
            <w:r w:rsidRPr="00202A9E">
              <w:rPr>
                <w:rFonts w:ascii="Times New Roman" w:eastAsia="Times New Roman" w:hAnsi="Times New Roman" w:cs="Times New Roman"/>
                <w:color w:val="000000"/>
                <w:sz w:val="24"/>
                <w:szCs w:val="24"/>
                <w:vertAlign w:val="superscript"/>
                <w:lang w:eastAsia="en-US"/>
              </w:rPr>
              <w:instrText xml:space="preserve"> ADDIN ZOTERO_ITEM CSL_CITATION {"citationID":"HDpYM642","properties":{"formattedCitation":"\\super 3\\nosupersub{}","plainCitation":"3","noteIndex":0},"citationItems":[{"id":496,"uris":["http://zotero.org/users/11490235/items/DF93ZCYW"],"itemData":{"id":496,"type":"article-journal","abstract":"Aiming at the problems of complex calculation processes, insufficient risk data, and reliance on experts’ subjective judgments that exist in traditional probability analysis methods, this paper proposes a probability analysis method for hazardous chemical storage tank leakage accidents based on neural networks and fuzzy dynamic fault trees (Fuzzy DFT). This method combines fuzzy set theory (FST) and Bootstrap technology to accurately quantify the failure probabilities of basic events (BEs) and reduce the dependence on experts’ subjective judgments. Furthermore, an artificial neural network (ANN) model for tank failures is constructed. This model can accurately calculate the probability of tank leakage accidents by taking into account the dependency relationships among basic events. Finally, a long short-term memory (LSTM) network is utilized to analyze the dynamic evolution trend of the probability of storage tank accidents over time. In this paper, this method is applied to the case of the “11.28” Shenghua vinyl chloride leakage accident. The results show that the calculation results of this method are highly consistent with the actual situation of the accident, indicating that it is a scientific and effective method for analyzing the probability of hazardous chemical storage tank leakage accidents.","container-title":"Applied Sciences","DOI":"10.3390/app15073504","ISSN":"2076-3417","issue":"7","journalAbbreviation":"Applied Sciences","language":"en","license":"https://creativecommons.org/licenses/by/4.0/","page":"3504","source":"DOI.org (Crossref)","title":"Probability Analysis of Hazardous Chemicals Storage Tank Leakage Accident Based on Neural Network and Fuzzy Dynamic Fault Tree","volume":"15","author":[{"family":"Li","given":"Xue"},{"family":"Liu","given":"Wei’ao"},{"family":"Zhou","given":"Ning"},{"family":"Yuan","given":"Xiongjun"}],"issued":{"date-parts":[["2025",3,23]]}}}],"schema":"https://github.com/citation-style-language/schema/raw/master/csl-citation.json"} </w:instrText>
            </w:r>
            <w:r w:rsidRPr="00202A9E">
              <w:rPr>
                <w:rFonts w:ascii="Times New Roman" w:eastAsia="Times New Roman" w:hAnsi="Times New Roman" w:cs="Times New Roman"/>
                <w:color w:val="000000"/>
                <w:sz w:val="24"/>
                <w:szCs w:val="24"/>
                <w:vertAlign w:val="superscript"/>
                <w:lang w:eastAsia="en-US"/>
              </w:rPr>
              <w:fldChar w:fldCharType="separate"/>
            </w:r>
            <w:r w:rsidRPr="00A37809">
              <w:rPr>
                <w:rFonts w:ascii="Times New Roman" w:hAnsi="Times New Roman" w:cs="Times New Roman"/>
                <w:sz w:val="24"/>
                <w:vertAlign w:val="superscript"/>
              </w:rPr>
              <w:t>3</w:t>
            </w:r>
            <w:r w:rsidRPr="00202A9E">
              <w:rPr>
                <w:rFonts w:ascii="Times New Roman" w:eastAsia="Times New Roman" w:hAnsi="Times New Roman" w:cs="Times New Roman"/>
                <w:color w:val="000000"/>
                <w:sz w:val="24"/>
                <w:szCs w:val="24"/>
                <w:vertAlign w:val="superscript"/>
                <w:lang w:eastAsia="en-US"/>
              </w:rPr>
              <w:fldChar w:fldCharType="end"/>
            </w:r>
            <w:r>
              <w:rPr>
                <w:rFonts w:ascii="Times New Roman" w:eastAsia="Times New Roman" w:hAnsi="Times New Roman" w:cs="Times New Roman"/>
                <w:color w:val="000000"/>
                <w:sz w:val="24"/>
                <w:szCs w:val="24"/>
                <w:lang w:eastAsia="en-US"/>
              </w:rPr>
              <w:t>*</w:t>
            </w:r>
          </w:p>
        </w:tc>
      </w:tr>
      <w:tr w:rsidR="00120856" w:rsidRPr="00BB3A1D" w14:paraId="229242FF" w14:textId="77777777" w:rsidTr="00A37809">
        <w:trPr>
          <w:trHeight w:val="320"/>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3ACD9833" w14:textId="3E883E83" w:rsidR="00781225" w:rsidRPr="00BB3A1D" w:rsidRDefault="00781225" w:rsidP="00781225">
            <w:pPr>
              <w:spacing w:after="0" w:line="240" w:lineRule="auto"/>
              <w:rPr>
                <w:rFonts w:ascii="Times New Roman" w:eastAsia="Times New Roman" w:hAnsi="Times New Roman" w:cs="Times New Roman"/>
                <w:color w:val="000000"/>
                <w:sz w:val="24"/>
                <w:szCs w:val="24"/>
                <w:lang w:eastAsia="en-US"/>
              </w:rPr>
            </w:pPr>
            <w:r w:rsidRPr="00BB3A1D">
              <w:rPr>
                <w:rFonts w:ascii="Times New Roman" w:eastAsia="Times New Roman" w:hAnsi="Times New Roman" w:cs="Times New Roman"/>
                <w:color w:val="000000"/>
                <w:sz w:val="24"/>
                <w:szCs w:val="24"/>
                <w:lang w:eastAsia="en-US"/>
              </w:rPr>
              <w:t>p1</w:t>
            </w:r>
            <w:r>
              <w:rPr>
                <w:rFonts w:ascii="Times New Roman" w:eastAsia="Times New Roman" w:hAnsi="Times New Roman" w:cs="Times New Roman"/>
                <w:color w:val="000000"/>
                <w:sz w:val="24"/>
                <w:szCs w:val="24"/>
                <w:lang w:eastAsia="en-US"/>
              </w:rPr>
              <w:t>6</w:t>
            </w:r>
          </w:p>
        </w:tc>
        <w:tc>
          <w:tcPr>
            <w:tcW w:w="3643" w:type="dxa"/>
            <w:tcBorders>
              <w:top w:val="nil"/>
              <w:left w:val="nil"/>
              <w:bottom w:val="single" w:sz="8" w:space="0" w:color="auto"/>
              <w:right w:val="single" w:sz="8" w:space="0" w:color="auto"/>
            </w:tcBorders>
            <w:shd w:val="clear" w:color="auto" w:fill="auto"/>
            <w:vAlign w:val="center"/>
          </w:tcPr>
          <w:p w14:paraId="7C54B34A" w14:textId="0BD305EE" w:rsidR="00781225" w:rsidRPr="00BB3A1D" w:rsidRDefault="00F47E60" w:rsidP="00781225">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Ignition system </w:t>
            </w:r>
            <w:r w:rsidR="000A6B34">
              <w:rPr>
                <w:rFonts w:ascii="Times New Roman" w:eastAsia="Times New Roman" w:hAnsi="Times New Roman" w:cs="Times New Roman"/>
                <w:color w:val="000000"/>
                <w:sz w:val="24"/>
                <w:szCs w:val="24"/>
                <w:lang w:eastAsia="en-US"/>
              </w:rPr>
              <w:t>fails</w:t>
            </w:r>
          </w:p>
        </w:tc>
        <w:tc>
          <w:tcPr>
            <w:tcW w:w="2111" w:type="dxa"/>
            <w:tcBorders>
              <w:top w:val="nil"/>
              <w:left w:val="nil"/>
              <w:bottom w:val="single" w:sz="8" w:space="0" w:color="auto"/>
              <w:right w:val="single" w:sz="8" w:space="0" w:color="auto"/>
            </w:tcBorders>
            <w:shd w:val="clear" w:color="auto" w:fill="auto"/>
            <w:vAlign w:val="center"/>
          </w:tcPr>
          <w:p w14:paraId="586F2B1F" w14:textId="399722E0" w:rsidR="00781225" w:rsidRPr="00BB3A1D" w:rsidRDefault="00F47E60" w:rsidP="00781225">
            <w:pPr>
              <w:spacing w:after="0" w:line="240" w:lineRule="auto"/>
              <w:jc w:val="righ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0.000152</w:t>
            </w:r>
          </w:p>
        </w:tc>
        <w:tc>
          <w:tcPr>
            <w:tcW w:w="2256" w:type="dxa"/>
            <w:tcBorders>
              <w:top w:val="nil"/>
              <w:left w:val="nil"/>
              <w:bottom w:val="single" w:sz="8" w:space="0" w:color="auto"/>
              <w:right w:val="single" w:sz="8" w:space="0" w:color="auto"/>
            </w:tcBorders>
            <w:shd w:val="clear" w:color="auto" w:fill="auto"/>
            <w:vAlign w:val="center"/>
            <w:hideMark/>
          </w:tcPr>
          <w:p w14:paraId="3BD62D3D" w14:textId="7621B3AE" w:rsidR="00781225" w:rsidRPr="00202A9E" w:rsidRDefault="00A37809" w:rsidP="00202A9E">
            <w:pPr>
              <w:spacing w:after="0" w:line="240" w:lineRule="auto"/>
              <w:jc w:val="center"/>
              <w:rPr>
                <w:rFonts w:ascii="Times New Roman" w:eastAsia="Times New Roman" w:hAnsi="Times New Roman" w:cs="Times New Roman"/>
                <w:color w:val="000000"/>
                <w:sz w:val="24"/>
                <w:szCs w:val="24"/>
                <w:vertAlign w:val="superscript"/>
                <w:lang w:eastAsia="en-US"/>
              </w:rPr>
            </w:pPr>
            <w:r>
              <w:rPr>
                <w:rFonts w:ascii="Times New Roman" w:eastAsia="Times New Roman" w:hAnsi="Times New Roman" w:cs="Times New Roman"/>
                <w:color w:val="000000"/>
                <w:sz w:val="24"/>
                <w:szCs w:val="24"/>
                <w:vertAlign w:val="superscript"/>
                <w:lang w:eastAsia="en-US"/>
              </w:rPr>
              <w:fldChar w:fldCharType="begin"/>
            </w:r>
            <w:r>
              <w:rPr>
                <w:rFonts w:ascii="Times New Roman" w:eastAsia="Times New Roman" w:hAnsi="Times New Roman" w:cs="Times New Roman"/>
                <w:color w:val="000000"/>
                <w:sz w:val="24"/>
                <w:szCs w:val="24"/>
                <w:vertAlign w:val="superscript"/>
                <w:lang w:eastAsia="en-US"/>
              </w:rPr>
              <w:instrText xml:space="preserve"> ADDIN ZOTERO_ITEM CSL_CITATION {"citationID":"0JNZPJpv","properties":{"formattedCitation":"\\super 7\\nosupersub{}","plainCitation":"7","noteIndex":0},"citationItems":[{"id":545,"uris":["http://zotero.org/users/11490235/items/6RQXSA89"],"itemData":{"id":545,"type":"article-journal","abstract":"Flaring is a combustion process commonly used in the oil and gas industry to dispose flammable waste gases. Flare flameout occurs when these gases escape unburnt from the flare tip causing the discharge of flammable and/or toxic vapor clouds. The toxic gases released during this process have the potential to initiate safety hazards and cause serious harm to the ecosystem and human health. Flare flameout could be caused by environmental conditions, equipment failure, and human error. However, to better understand the causes of flare flameout, a rigorous analysis of the behavior of flare systems under failure conditions is required. In this article, we used fault tree analysis (FTA) and the dynamic Bayesian network (DBN) to assess the reliability of flare systems. In this study, we analyzed 40 different combinations of basic events that can cause flare flameout to determine the event with the highest impact on system failure. In the quantitative analysis, we use both constant and timedependent failure rates of system components. The results show that combining these two approaches allows for robust probabilistic reasoning on flare system reliability, which can help improving the safety and asset integrity of process facilities. The proposed DBN model constitutes a significant step to improve the safety and reliability of flare systems in the oil and gas industry.","container-title":"Energy Sources, Part A: Recovery, Utilization, and Environmental Effects","DOI":"10.1080/15567036.2019.1670287","ISSN":"1556-7036, 1556-7230","issue":"2","journalAbbreviation":"Energy Sources, Part A: Recovery, Utilization, and Environmental Effects","language":"en","page":"4305-4322","source":"DOI.org (Crossref)","title":"Dynamic reliability assessment of flare systems by combining fault tree analysis and Bayesian networks","volume":"45","author":[{"family":"Kabir","given":"Sohag"},{"family":"Taleb-Berrouane","given":"Mohammed"},{"family":"Papadopoulos","given":"Yiannis"}],"issued":{"date-parts":[["2023",6]]}}}],"schema":"https://github.com/citation-style-language/schema/raw/master/csl-citation.json"} </w:instrText>
            </w:r>
            <w:r>
              <w:rPr>
                <w:rFonts w:ascii="Times New Roman" w:eastAsia="Times New Roman" w:hAnsi="Times New Roman" w:cs="Times New Roman"/>
                <w:color w:val="000000"/>
                <w:sz w:val="24"/>
                <w:szCs w:val="24"/>
                <w:vertAlign w:val="superscript"/>
                <w:lang w:eastAsia="en-US"/>
              </w:rPr>
              <w:fldChar w:fldCharType="separate"/>
            </w:r>
            <w:r w:rsidRPr="00A37809">
              <w:rPr>
                <w:rFonts w:ascii="Times New Roman" w:hAnsi="Times New Roman" w:cs="Times New Roman"/>
                <w:sz w:val="24"/>
                <w:vertAlign w:val="superscript"/>
              </w:rPr>
              <w:t>7</w:t>
            </w:r>
            <w:r>
              <w:rPr>
                <w:rFonts w:ascii="Times New Roman" w:eastAsia="Times New Roman" w:hAnsi="Times New Roman" w:cs="Times New Roman"/>
                <w:color w:val="000000"/>
                <w:sz w:val="24"/>
                <w:szCs w:val="24"/>
                <w:vertAlign w:val="superscript"/>
                <w:lang w:eastAsia="en-US"/>
              </w:rPr>
              <w:fldChar w:fldCharType="end"/>
            </w:r>
          </w:p>
        </w:tc>
      </w:tr>
      <w:tr w:rsidR="00120856" w:rsidRPr="00BB3A1D" w14:paraId="7612B7FB" w14:textId="77777777" w:rsidTr="00A37809">
        <w:trPr>
          <w:trHeight w:val="320"/>
        </w:trPr>
        <w:tc>
          <w:tcPr>
            <w:tcW w:w="1440" w:type="dxa"/>
            <w:tcBorders>
              <w:top w:val="nil"/>
              <w:left w:val="single" w:sz="8" w:space="0" w:color="auto"/>
              <w:bottom w:val="single" w:sz="8" w:space="0" w:color="auto"/>
              <w:right w:val="single" w:sz="8" w:space="0" w:color="auto"/>
            </w:tcBorders>
            <w:shd w:val="clear" w:color="auto" w:fill="auto"/>
            <w:vAlign w:val="center"/>
          </w:tcPr>
          <w:p w14:paraId="6020EF33" w14:textId="05F6FEEB" w:rsidR="00781225" w:rsidRPr="00BB3A1D" w:rsidRDefault="00781225" w:rsidP="00781225">
            <w:pPr>
              <w:spacing w:after="0" w:line="240" w:lineRule="auto"/>
              <w:rPr>
                <w:rFonts w:ascii="Times New Roman" w:eastAsia="Times New Roman" w:hAnsi="Times New Roman" w:cs="Times New Roman"/>
                <w:sz w:val="24"/>
                <w:szCs w:val="24"/>
                <w:lang w:eastAsia="en-US"/>
              </w:rPr>
            </w:pPr>
            <w:r w:rsidRPr="00BB3A1D">
              <w:rPr>
                <w:rFonts w:ascii="Times New Roman" w:eastAsia="Times New Roman" w:hAnsi="Times New Roman" w:cs="Times New Roman"/>
                <w:color w:val="000000"/>
                <w:sz w:val="24"/>
                <w:szCs w:val="24"/>
                <w:lang w:eastAsia="en-US"/>
              </w:rPr>
              <w:t>p1</w:t>
            </w:r>
            <w:r>
              <w:rPr>
                <w:rFonts w:ascii="Times New Roman" w:eastAsia="Times New Roman" w:hAnsi="Times New Roman" w:cs="Times New Roman"/>
                <w:color w:val="000000"/>
                <w:sz w:val="24"/>
                <w:szCs w:val="24"/>
                <w:lang w:eastAsia="en-US"/>
              </w:rPr>
              <w:t>7</w:t>
            </w:r>
          </w:p>
        </w:tc>
        <w:tc>
          <w:tcPr>
            <w:tcW w:w="3643" w:type="dxa"/>
            <w:tcBorders>
              <w:top w:val="nil"/>
              <w:left w:val="nil"/>
              <w:bottom w:val="single" w:sz="8" w:space="0" w:color="auto"/>
              <w:right w:val="single" w:sz="8" w:space="0" w:color="auto"/>
            </w:tcBorders>
            <w:shd w:val="clear" w:color="auto" w:fill="auto"/>
            <w:vAlign w:val="center"/>
          </w:tcPr>
          <w:p w14:paraId="6A856B11" w14:textId="6F9E35A4" w:rsidR="00781225" w:rsidRPr="00BB3A1D" w:rsidRDefault="00F47E60" w:rsidP="00781225">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Faulty PCV</w:t>
            </w:r>
          </w:p>
        </w:tc>
        <w:tc>
          <w:tcPr>
            <w:tcW w:w="2111" w:type="dxa"/>
            <w:tcBorders>
              <w:top w:val="nil"/>
              <w:left w:val="nil"/>
              <w:bottom w:val="single" w:sz="8" w:space="0" w:color="auto"/>
              <w:right w:val="single" w:sz="8" w:space="0" w:color="auto"/>
            </w:tcBorders>
            <w:shd w:val="clear" w:color="auto" w:fill="auto"/>
            <w:vAlign w:val="center"/>
          </w:tcPr>
          <w:p w14:paraId="1B694877" w14:textId="237CBE3B" w:rsidR="00781225" w:rsidRPr="00BB3A1D" w:rsidRDefault="00A37809" w:rsidP="00781225">
            <w:pPr>
              <w:spacing w:after="0" w:line="240" w:lineRule="auto"/>
              <w:jc w:val="righ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0.00000029</w:t>
            </w:r>
          </w:p>
        </w:tc>
        <w:tc>
          <w:tcPr>
            <w:tcW w:w="2256" w:type="dxa"/>
            <w:tcBorders>
              <w:top w:val="nil"/>
              <w:left w:val="nil"/>
              <w:bottom w:val="single" w:sz="8" w:space="0" w:color="auto"/>
              <w:right w:val="single" w:sz="8" w:space="0" w:color="auto"/>
            </w:tcBorders>
            <w:shd w:val="clear" w:color="auto" w:fill="auto"/>
            <w:vAlign w:val="center"/>
            <w:hideMark/>
          </w:tcPr>
          <w:p w14:paraId="310DB62D" w14:textId="5C62848E" w:rsidR="00781225" w:rsidRPr="00BB3A1D" w:rsidRDefault="00A37809" w:rsidP="00202A9E">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fldChar w:fldCharType="begin"/>
            </w:r>
            <w:r>
              <w:rPr>
                <w:rFonts w:ascii="Times New Roman" w:eastAsia="Times New Roman" w:hAnsi="Times New Roman" w:cs="Times New Roman"/>
                <w:color w:val="000000"/>
                <w:sz w:val="24"/>
                <w:szCs w:val="24"/>
                <w:lang w:eastAsia="en-US"/>
              </w:rPr>
              <w:instrText xml:space="preserve"> ADDIN ZOTERO_ITEM CSL_CITATION {"citationID":"Sb1lh76V","properties":{"formattedCitation":"\\super 7\\nosupersub{}","plainCitation":"7","noteIndex":0},"citationItems":[{"id":545,"uris":["http://zotero.org/users/11490235/items/6RQXSA89"],"itemData":{"id":545,"type":"article-journal","abstract":"Flaring is a combustion process commonly used in the oil and gas industry to dispose flammable waste gases. Flare flameout occurs when these gases escape unburnt from the flare tip causing the discharge of flammable and/or toxic vapor clouds. The toxic gases released during this process have the potential to initiate safety hazards and cause serious harm to the ecosystem and human health. Flare flameout could be caused by environmental conditions, equipment failure, and human error. However, to better understand the causes of flare flameout, a rigorous analysis of the behavior of flare systems under failure conditions is required. In this article, we used fault tree analysis (FTA) and the dynamic Bayesian network (DBN) to assess the reliability of flare systems. In this study, we analyzed 40 different combinations of basic events that can cause flare flameout to determine the event with the highest impact on system failure. In the quantitative analysis, we use both constant and timedependent failure rates of system components. The results show that combining these two approaches allows for robust probabilistic reasoning on flare system reliability, which can help improving the safety and asset integrity of process facilities. The proposed DBN model constitutes a significant step to improve the safety and reliability of flare systems in the oil and gas industry.","container-title":"Energy Sources, Part A: Recovery, Utilization, and Environmental Effects","DOI":"10.1080/15567036.2019.1670287","ISSN":"1556-7036, 1556-7230","issue":"2","journalAbbreviation":"Energy Sources, Part A: Recovery, Utilization, and Environmental Effects","language":"en","page":"4305-4322","source":"DOI.org (Crossref)","title":"Dynamic reliability assessment of flare systems by combining fault tree analysis and Bayesian networks","volume":"45","author":[{"family":"Kabir","given":"Sohag"},{"family":"Taleb-Berrouane","given":"Mohammed"},{"family":"Papadopoulos","given":"Yiannis"}],"issued":{"date-parts":[["2023",6]]}}}],"schema":"https://github.com/citation-style-language/schema/raw/master/csl-citation.json"} </w:instrText>
            </w:r>
            <w:r>
              <w:rPr>
                <w:rFonts w:ascii="Times New Roman" w:eastAsia="Times New Roman" w:hAnsi="Times New Roman" w:cs="Times New Roman"/>
                <w:color w:val="000000"/>
                <w:sz w:val="24"/>
                <w:szCs w:val="24"/>
                <w:lang w:eastAsia="en-US"/>
              </w:rPr>
              <w:fldChar w:fldCharType="separate"/>
            </w:r>
            <w:r w:rsidRPr="00A37809">
              <w:rPr>
                <w:rFonts w:ascii="Times New Roman" w:hAnsi="Times New Roman" w:cs="Times New Roman"/>
                <w:sz w:val="24"/>
                <w:vertAlign w:val="superscript"/>
              </w:rPr>
              <w:t>7</w:t>
            </w:r>
            <w:r>
              <w:rPr>
                <w:rFonts w:ascii="Times New Roman" w:eastAsia="Times New Roman" w:hAnsi="Times New Roman" w:cs="Times New Roman"/>
                <w:color w:val="000000"/>
                <w:sz w:val="24"/>
                <w:szCs w:val="24"/>
                <w:lang w:eastAsia="en-US"/>
              </w:rPr>
              <w:fldChar w:fldCharType="end"/>
            </w:r>
          </w:p>
        </w:tc>
      </w:tr>
      <w:tr w:rsidR="00120856" w:rsidRPr="00BB3A1D" w14:paraId="1D16DB21" w14:textId="77777777" w:rsidTr="00A37809">
        <w:trPr>
          <w:trHeight w:val="320"/>
        </w:trPr>
        <w:tc>
          <w:tcPr>
            <w:tcW w:w="1440" w:type="dxa"/>
            <w:tcBorders>
              <w:top w:val="nil"/>
              <w:left w:val="single" w:sz="8" w:space="0" w:color="auto"/>
              <w:bottom w:val="single" w:sz="8" w:space="0" w:color="auto"/>
              <w:right w:val="single" w:sz="8" w:space="0" w:color="auto"/>
            </w:tcBorders>
            <w:shd w:val="clear" w:color="auto" w:fill="auto"/>
            <w:vAlign w:val="center"/>
          </w:tcPr>
          <w:p w14:paraId="26B8E807" w14:textId="4A842A41" w:rsidR="00781225" w:rsidRPr="00BB3A1D" w:rsidRDefault="00781225" w:rsidP="00781225">
            <w:pPr>
              <w:spacing w:after="0" w:line="240" w:lineRule="auto"/>
              <w:rPr>
                <w:rFonts w:ascii="Times New Roman" w:eastAsia="Times New Roman" w:hAnsi="Times New Roman" w:cs="Times New Roman"/>
                <w:color w:val="000000"/>
                <w:sz w:val="24"/>
                <w:szCs w:val="24"/>
                <w:lang w:eastAsia="en-US"/>
              </w:rPr>
            </w:pPr>
            <w:r w:rsidRPr="00BB3A1D">
              <w:rPr>
                <w:rFonts w:ascii="Times New Roman" w:eastAsia="Times New Roman" w:hAnsi="Times New Roman" w:cs="Times New Roman"/>
                <w:sz w:val="24"/>
                <w:szCs w:val="24"/>
                <w:lang w:eastAsia="en-US"/>
              </w:rPr>
              <w:t>p1</w:t>
            </w:r>
            <w:r>
              <w:rPr>
                <w:rFonts w:ascii="Times New Roman" w:eastAsia="Times New Roman" w:hAnsi="Times New Roman" w:cs="Times New Roman"/>
                <w:sz w:val="24"/>
                <w:szCs w:val="24"/>
                <w:lang w:eastAsia="en-US"/>
              </w:rPr>
              <w:t>8</w:t>
            </w:r>
          </w:p>
        </w:tc>
        <w:tc>
          <w:tcPr>
            <w:tcW w:w="3643" w:type="dxa"/>
            <w:tcBorders>
              <w:top w:val="nil"/>
              <w:left w:val="nil"/>
              <w:bottom w:val="single" w:sz="8" w:space="0" w:color="auto"/>
              <w:right w:val="single" w:sz="8" w:space="0" w:color="auto"/>
            </w:tcBorders>
            <w:shd w:val="clear" w:color="auto" w:fill="auto"/>
            <w:vAlign w:val="center"/>
          </w:tcPr>
          <w:p w14:paraId="1EAA13A3" w14:textId="3924D610" w:rsidR="00781225" w:rsidRPr="00BB3A1D" w:rsidRDefault="00F47E60" w:rsidP="00781225">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No fuel gas flow</w:t>
            </w:r>
          </w:p>
        </w:tc>
        <w:tc>
          <w:tcPr>
            <w:tcW w:w="2111" w:type="dxa"/>
            <w:tcBorders>
              <w:top w:val="nil"/>
              <w:left w:val="nil"/>
              <w:bottom w:val="single" w:sz="8" w:space="0" w:color="auto"/>
              <w:right w:val="single" w:sz="8" w:space="0" w:color="auto"/>
            </w:tcBorders>
            <w:shd w:val="clear" w:color="auto" w:fill="auto"/>
            <w:vAlign w:val="center"/>
          </w:tcPr>
          <w:p w14:paraId="7DC00570" w14:textId="5534E719" w:rsidR="00781225" w:rsidRPr="00BB3A1D" w:rsidRDefault="00F47E60" w:rsidP="00781225">
            <w:pPr>
              <w:spacing w:after="0" w:line="240" w:lineRule="auto"/>
              <w:jc w:val="righ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0.000152</w:t>
            </w:r>
          </w:p>
        </w:tc>
        <w:tc>
          <w:tcPr>
            <w:tcW w:w="2256" w:type="dxa"/>
            <w:tcBorders>
              <w:top w:val="nil"/>
              <w:left w:val="nil"/>
              <w:bottom w:val="single" w:sz="8" w:space="0" w:color="auto"/>
              <w:right w:val="single" w:sz="8" w:space="0" w:color="auto"/>
            </w:tcBorders>
            <w:shd w:val="clear" w:color="auto" w:fill="auto"/>
            <w:vAlign w:val="center"/>
          </w:tcPr>
          <w:p w14:paraId="4A9DA6DA" w14:textId="35827EE8" w:rsidR="00781225" w:rsidRPr="00BB3A1D" w:rsidRDefault="00A37809" w:rsidP="00202A9E">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fldChar w:fldCharType="begin"/>
            </w:r>
            <w:r>
              <w:rPr>
                <w:rFonts w:ascii="Times New Roman" w:eastAsia="Times New Roman" w:hAnsi="Times New Roman" w:cs="Times New Roman"/>
                <w:color w:val="000000"/>
                <w:sz w:val="24"/>
                <w:szCs w:val="24"/>
                <w:lang w:eastAsia="en-US"/>
              </w:rPr>
              <w:instrText xml:space="preserve"> ADDIN ZOTERO_ITEM CSL_CITATION {"citationID":"wQbyYY5v","properties":{"formattedCitation":"\\super 7\\nosupersub{}","plainCitation":"7","noteIndex":0},"citationItems":[{"id":545,"uris":["http://zotero.org/users/11490235/items/6RQXSA89"],"itemData":{"id":545,"type":"article-journal","abstract":"Flaring is a combustion process commonly used in the oil and gas industry to dispose flammable waste gases. Flare flameout occurs when these gases escape unburnt from the flare tip causing the discharge of flammable and/or toxic vapor clouds. The toxic gases released during this process have the potential to initiate safety hazards and cause serious harm to the ecosystem and human health. Flare flameout could be caused by environmental conditions, equipment failure, and human error. However, to better understand the causes of flare flameout, a rigorous analysis of the behavior of flare systems under failure conditions is required. In this article, we used fault tree analysis (FTA) and the dynamic Bayesian network (DBN) to assess the reliability of flare systems. In this study, we analyzed 40 different combinations of basic events that can cause flare flameout to determine the event with the highest impact on system failure. In the quantitative analysis, we use both constant and timedependent failure rates of system components. The results show that combining these two approaches allows for robust probabilistic reasoning on flare system reliability, which can help improving the safety and asset integrity of process facilities. The proposed DBN model constitutes a significant step to improve the safety and reliability of flare systems in the oil and gas industry.","container-title":"Energy Sources, Part A: Recovery, Utilization, and Environmental Effects","DOI":"10.1080/15567036.2019.1670287","ISSN":"1556-7036, 1556-7230","issue":"2","journalAbbreviation":"Energy Sources, Part A: Recovery, Utilization, and Environmental Effects","language":"en","page":"4305-4322","source":"DOI.org (Crossref)","title":"Dynamic reliability assessment of flare systems by combining fault tree analysis and Bayesian networks","volume":"45","author":[{"family":"Kabir","given":"Sohag"},{"family":"Taleb-Berrouane","given":"Mohammed"},{"family":"Papadopoulos","given":"Yiannis"}],"issued":{"date-parts":[["2023",6]]}}}],"schema":"https://github.com/citation-style-language/schema/raw/master/csl-citation.json"} </w:instrText>
            </w:r>
            <w:r>
              <w:rPr>
                <w:rFonts w:ascii="Times New Roman" w:eastAsia="Times New Roman" w:hAnsi="Times New Roman" w:cs="Times New Roman"/>
                <w:color w:val="000000"/>
                <w:sz w:val="24"/>
                <w:szCs w:val="24"/>
                <w:lang w:eastAsia="en-US"/>
              </w:rPr>
              <w:fldChar w:fldCharType="separate"/>
            </w:r>
            <w:r w:rsidRPr="00A37809">
              <w:rPr>
                <w:rFonts w:ascii="Times New Roman" w:hAnsi="Times New Roman" w:cs="Times New Roman"/>
                <w:sz w:val="24"/>
                <w:vertAlign w:val="superscript"/>
              </w:rPr>
              <w:t>7</w:t>
            </w:r>
            <w:r>
              <w:rPr>
                <w:rFonts w:ascii="Times New Roman" w:eastAsia="Times New Roman" w:hAnsi="Times New Roman" w:cs="Times New Roman"/>
                <w:color w:val="000000"/>
                <w:sz w:val="24"/>
                <w:szCs w:val="24"/>
                <w:lang w:eastAsia="en-US"/>
              </w:rPr>
              <w:fldChar w:fldCharType="end"/>
            </w:r>
          </w:p>
        </w:tc>
      </w:tr>
      <w:tr w:rsidR="00120856" w:rsidRPr="00BB3A1D" w14:paraId="2FAFFB2D" w14:textId="77777777" w:rsidTr="00A37809">
        <w:trPr>
          <w:trHeight w:val="320"/>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65D4653F" w14:textId="67E85AF8" w:rsidR="00781225" w:rsidRPr="00BB3A1D" w:rsidRDefault="00F47E60" w:rsidP="00781225">
            <w:pPr>
              <w:spacing w:after="0" w:line="240" w:lineRule="auto"/>
              <w:rPr>
                <w:rFonts w:ascii="Times New Roman" w:eastAsia="Times New Roman" w:hAnsi="Times New Roman" w:cs="Times New Roman"/>
                <w:sz w:val="24"/>
                <w:szCs w:val="24"/>
                <w:lang w:eastAsia="en-US"/>
              </w:rPr>
            </w:pPr>
            <w:r w:rsidRPr="00BB3A1D">
              <w:rPr>
                <w:rFonts w:ascii="Times New Roman" w:eastAsia="Times New Roman" w:hAnsi="Times New Roman" w:cs="Times New Roman"/>
                <w:sz w:val="24"/>
                <w:szCs w:val="24"/>
                <w:lang w:eastAsia="en-US"/>
              </w:rPr>
              <w:t>p1</w:t>
            </w:r>
            <w:r>
              <w:rPr>
                <w:rFonts w:ascii="Times New Roman" w:eastAsia="Times New Roman" w:hAnsi="Times New Roman" w:cs="Times New Roman"/>
                <w:sz w:val="24"/>
                <w:szCs w:val="24"/>
                <w:lang w:eastAsia="en-US"/>
              </w:rPr>
              <w:t>9</w:t>
            </w:r>
          </w:p>
        </w:tc>
        <w:tc>
          <w:tcPr>
            <w:tcW w:w="3643" w:type="dxa"/>
            <w:tcBorders>
              <w:top w:val="nil"/>
              <w:left w:val="nil"/>
              <w:bottom w:val="single" w:sz="8" w:space="0" w:color="auto"/>
              <w:right w:val="single" w:sz="8" w:space="0" w:color="auto"/>
            </w:tcBorders>
            <w:shd w:val="clear" w:color="auto" w:fill="auto"/>
            <w:vAlign w:val="center"/>
          </w:tcPr>
          <w:p w14:paraId="203D1534" w14:textId="57F6C1C5" w:rsidR="00781225" w:rsidRPr="00BB3A1D" w:rsidRDefault="00F47E60" w:rsidP="00781225">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Operator fault/closed manual valv</w:t>
            </w:r>
            <w:r w:rsidR="00A37809">
              <w:rPr>
                <w:rFonts w:ascii="Times New Roman" w:eastAsia="Times New Roman" w:hAnsi="Times New Roman" w:cs="Times New Roman"/>
                <w:color w:val="000000"/>
                <w:sz w:val="24"/>
                <w:szCs w:val="24"/>
                <w:lang w:eastAsia="en-US"/>
              </w:rPr>
              <w:t>e</w:t>
            </w:r>
          </w:p>
        </w:tc>
        <w:tc>
          <w:tcPr>
            <w:tcW w:w="2111" w:type="dxa"/>
            <w:tcBorders>
              <w:top w:val="nil"/>
              <w:left w:val="nil"/>
              <w:bottom w:val="single" w:sz="8" w:space="0" w:color="auto"/>
              <w:right w:val="single" w:sz="8" w:space="0" w:color="auto"/>
            </w:tcBorders>
            <w:shd w:val="clear" w:color="auto" w:fill="auto"/>
            <w:vAlign w:val="center"/>
          </w:tcPr>
          <w:p w14:paraId="62633445" w14:textId="30748F10" w:rsidR="00781225" w:rsidRPr="00BB3A1D" w:rsidRDefault="00A37809" w:rsidP="00781225">
            <w:pPr>
              <w:spacing w:after="0" w:line="240" w:lineRule="auto"/>
              <w:jc w:val="righ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0.0000285</w:t>
            </w:r>
          </w:p>
        </w:tc>
        <w:tc>
          <w:tcPr>
            <w:tcW w:w="2256" w:type="dxa"/>
            <w:tcBorders>
              <w:top w:val="nil"/>
              <w:left w:val="nil"/>
              <w:bottom w:val="single" w:sz="8" w:space="0" w:color="auto"/>
              <w:right w:val="single" w:sz="8" w:space="0" w:color="auto"/>
            </w:tcBorders>
            <w:shd w:val="clear" w:color="auto" w:fill="auto"/>
            <w:vAlign w:val="center"/>
          </w:tcPr>
          <w:p w14:paraId="12D926BE" w14:textId="7D38014D" w:rsidR="00781225" w:rsidRPr="00BB3A1D" w:rsidRDefault="00A37809" w:rsidP="00202A9E">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fldChar w:fldCharType="begin"/>
            </w:r>
            <w:r>
              <w:rPr>
                <w:rFonts w:ascii="Times New Roman" w:eastAsia="Times New Roman" w:hAnsi="Times New Roman" w:cs="Times New Roman"/>
                <w:color w:val="000000"/>
                <w:sz w:val="24"/>
                <w:szCs w:val="24"/>
                <w:lang w:eastAsia="en-US"/>
              </w:rPr>
              <w:instrText xml:space="preserve"> ADDIN ZOTERO_ITEM CSL_CITATION {"citationID":"OCMBZPwS","properties":{"formattedCitation":"\\super 7\\nosupersub{}","plainCitation":"7","noteIndex":0},"citationItems":[{"id":545,"uris":["http://zotero.org/users/11490235/items/6RQXSA89"],"itemData":{"id":545,"type":"article-journal","abstract":"Flaring is a combustion process commonly used in the oil and gas industry to dispose flammable waste gases. Flare flameout occurs when these gases escape unburnt from the flare tip causing the discharge of flammable and/or toxic vapor clouds. The toxic gases released during this process have the potential to initiate safety hazards and cause serious harm to the ecosystem and human health. Flare flameout could be caused by environmental conditions, equipment failure, and human error. However, to better understand the causes of flare flameout, a rigorous analysis of the behavior of flare systems under failure conditions is required. In this article, we used fault tree analysis (FTA) and the dynamic Bayesian network (DBN) to assess the reliability of flare systems. In this study, we analyzed 40 different combinations of basic events that can cause flare flameout to determine the event with the highest impact on system failure. In the quantitative analysis, we use both constant and timedependent failure rates of system components. The results show that combining these two approaches allows for robust probabilistic reasoning on flare system reliability, which can help improving the safety and asset integrity of process facilities. The proposed DBN model constitutes a significant step to improve the safety and reliability of flare systems in the oil and gas industry.","container-title":"Energy Sources, Part A: Recovery, Utilization, and Environmental Effects","DOI":"10.1080/15567036.2019.1670287","ISSN":"1556-7036, 1556-7230","issue":"2","journalAbbreviation":"Energy Sources, Part A: Recovery, Utilization, and Environmental Effects","language":"en","page":"4305-4322","source":"DOI.org (Crossref)","title":"Dynamic reliability assessment of flare systems by combining fault tree analysis and Bayesian networks","volume":"45","author":[{"family":"Kabir","given":"Sohag"},{"family":"Taleb-Berrouane","given":"Mohammed"},{"family":"Papadopoulos","given":"Yiannis"}],"issued":{"date-parts":[["2023",6]]}}}],"schema":"https://github.com/citation-style-language/schema/raw/master/csl-citation.json"} </w:instrText>
            </w:r>
            <w:r>
              <w:rPr>
                <w:rFonts w:ascii="Times New Roman" w:eastAsia="Times New Roman" w:hAnsi="Times New Roman" w:cs="Times New Roman"/>
                <w:color w:val="000000"/>
                <w:sz w:val="24"/>
                <w:szCs w:val="24"/>
                <w:lang w:eastAsia="en-US"/>
              </w:rPr>
              <w:fldChar w:fldCharType="separate"/>
            </w:r>
            <w:r w:rsidRPr="00A37809">
              <w:rPr>
                <w:rFonts w:ascii="Times New Roman" w:hAnsi="Times New Roman" w:cs="Times New Roman"/>
                <w:sz w:val="24"/>
                <w:vertAlign w:val="superscript"/>
              </w:rPr>
              <w:t>7</w:t>
            </w:r>
            <w:r>
              <w:rPr>
                <w:rFonts w:ascii="Times New Roman" w:eastAsia="Times New Roman" w:hAnsi="Times New Roman" w:cs="Times New Roman"/>
                <w:color w:val="000000"/>
                <w:sz w:val="24"/>
                <w:szCs w:val="24"/>
                <w:lang w:eastAsia="en-US"/>
              </w:rPr>
              <w:fldChar w:fldCharType="end"/>
            </w:r>
          </w:p>
        </w:tc>
      </w:tr>
      <w:tr w:rsidR="00120856" w:rsidRPr="00BB3A1D" w14:paraId="0DD81789" w14:textId="77777777" w:rsidTr="00A37809">
        <w:trPr>
          <w:trHeight w:val="320"/>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0D43B103" w14:textId="00ED497E" w:rsidR="00781225" w:rsidRPr="00BB3A1D" w:rsidRDefault="00F47E60" w:rsidP="00781225">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sz w:val="24"/>
                <w:szCs w:val="24"/>
                <w:lang w:eastAsia="en-US"/>
              </w:rPr>
              <w:t>p20</w:t>
            </w:r>
          </w:p>
        </w:tc>
        <w:tc>
          <w:tcPr>
            <w:tcW w:w="3643" w:type="dxa"/>
            <w:tcBorders>
              <w:top w:val="nil"/>
              <w:left w:val="nil"/>
              <w:bottom w:val="single" w:sz="8" w:space="0" w:color="auto"/>
              <w:right w:val="single" w:sz="8" w:space="0" w:color="auto"/>
            </w:tcBorders>
            <w:shd w:val="clear" w:color="auto" w:fill="auto"/>
            <w:vAlign w:val="center"/>
          </w:tcPr>
          <w:p w14:paraId="78EA7463" w14:textId="2A290D4A" w:rsidR="00781225" w:rsidRPr="00BB3A1D" w:rsidRDefault="00F47E60" w:rsidP="00781225">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Wind speed/environmental</w:t>
            </w:r>
          </w:p>
        </w:tc>
        <w:tc>
          <w:tcPr>
            <w:tcW w:w="2111" w:type="dxa"/>
            <w:tcBorders>
              <w:top w:val="nil"/>
              <w:left w:val="nil"/>
              <w:bottom w:val="single" w:sz="8" w:space="0" w:color="auto"/>
              <w:right w:val="single" w:sz="8" w:space="0" w:color="auto"/>
            </w:tcBorders>
            <w:shd w:val="clear" w:color="auto" w:fill="auto"/>
            <w:vAlign w:val="center"/>
          </w:tcPr>
          <w:p w14:paraId="557FF1ED" w14:textId="03EF914D" w:rsidR="00781225" w:rsidRPr="00BB3A1D" w:rsidRDefault="00A37809" w:rsidP="00781225">
            <w:pPr>
              <w:spacing w:after="0" w:line="240" w:lineRule="auto"/>
              <w:jc w:val="righ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0.000057</w:t>
            </w:r>
          </w:p>
        </w:tc>
        <w:tc>
          <w:tcPr>
            <w:tcW w:w="2256" w:type="dxa"/>
            <w:tcBorders>
              <w:top w:val="nil"/>
              <w:left w:val="nil"/>
              <w:bottom w:val="single" w:sz="8" w:space="0" w:color="auto"/>
              <w:right w:val="single" w:sz="8" w:space="0" w:color="auto"/>
            </w:tcBorders>
            <w:shd w:val="clear" w:color="auto" w:fill="auto"/>
            <w:vAlign w:val="center"/>
          </w:tcPr>
          <w:p w14:paraId="2870E398" w14:textId="18A5E58B" w:rsidR="00781225" w:rsidRPr="00BB3A1D" w:rsidRDefault="00A37809" w:rsidP="00202A9E">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fldChar w:fldCharType="begin"/>
            </w:r>
            <w:r>
              <w:rPr>
                <w:rFonts w:ascii="Times New Roman" w:eastAsia="Times New Roman" w:hAnsi="Times New Roman" w:cs="Times New Roman"/>
                <w:color w:val="000000"/>
                <w:sz w:val="24"/>
                <w:szCs w:val="24"/>
                <w:lang w:eastAsia="en-US"/>
              </w:rPr>
              <w:instrText xml:space="preserve"> ADDIN ZOTERO_ITEM CSL_CITATION {"citationID":"tVN8nneL","properties":{"formattedCitation":"\\super 7\\nosupersub{}","plainCitation":"7","noteIndex":0},"citationItems":[{"id":545,"uris":["http://zotero.org/users/11490235/items/6RQXSA89"],"itemData":{"id":545,"type":"article-journal","abstract":"Flaring is a combustion process commonly used in the oil and gas industry to dispose flammable waste gases. Flare flameout occurs when these gases escape unburnt from the flare tip causing the discharge of flammable and/or toxic vapor clouds. The toxic gases released during this process have the potential to initiate safety hazards and cause serious harm to the ecosystem and human health. Flare flameout could be caused by environmental conditions, equipment failure, and human error. However, to better understand the causes of flare flameout, a rigorous analysis of the behavior of flare systems under failure conditions is required. In this article, we used fault tree analysis (FTA) and the dynamic Bayesian network (DBN) to assess the reliability of flare systems. In this study, we analyzed 40 different combinations of basic events that can cause flare flameout to determine the event with the highest impact on system failure. In the quantitative analysis, we use both constant and timedependent failure rates of system components. The results show that combining these two approaches allows for robust probabilistic reasoning on flare system reliability, which can help improving the safety and asset integrity of process facilities. The proposed DBN model constitutes a significant step to improve the safety and reliability of flare systems in the oil and gas industry.","container-title":"Energy Sources, Part A: Recovery, Utilization, and Environmental Effects","DOI":"10.1080/15567036.2019.1670287","ISSN":"1556-7036, 1556-7230","issue":"2","journalAbbreviation":"Energy Sources, Part A: Recovery, Utilization, and Environmental Effects","language":"en","page":"4305-4322","source":"DOI.org (Crossref)","title":"Dynamic reliability assessment of flare systems by combining fault tree analysis and Bayesian networks","volume":"45","author":[{"family":"Kabir","given":"Sohag"},{"family":"Taleb-Berrouane","given":"Mohammed"},{"family":"Papadopoulos","given":"Yiannis"}],"issued":{"date-parts":[["2023",6]]}}}],"schema":"https://github.com/citation-style-language/schema/raw/master/csl-citation.json"} </w:instrText>
            </w:r>
            <w:r>
              <w:rPr>
                <w:rFonts w:ascii="Times New Roman" w:eastAsia="Times New Roman" w:hAnsi="Times New Roman" w:cs="Times New Roman"/>
                <w:color w:val="000000"/>
                <w:sz w:val="24"/>
                <w:szCs w:val="24"/>
                <w:lang w:eastAsia="en-US"/>
              </w:rPr>
              <w:fldChar w:fldCharType="separate"/>
            </w:r>
            <w:r w:rsidRPr="00A37809">
              <w:rPr>
                <w:rFonts w:ascii="Times New Roman" w:hAnsi="Times New Roman" w:cs="Times New Roman"/>
                <w:sz w:val="24"/>
                <w:vertAlign w:val="superscript"/>
              </w:rPr>
              <w:t>7</w:t>
            </w:r>
            <w:r>
              <w:rPr>
                <w:rFonts w:ascii="Times New Roman" w:eastAsia="Times New Roman" w:hAnsi="Times New Roman" w:cs="Times New Roman"/>
                <w:color w:val="000000"/>
                <w:sz w:val="24"/>
                <w:szCs w:val="24"/>
                <w:lang w:eastAsia="en-US"/>
              </w:rPr>
              <w:fldChar w:fldCharType="end"/>
            </w:r>
          </w:p>
        </w:tc>
      </w:tr>
      <w:tr w:rsidR="00120856" w:rsidRPr="00BB3A1D" w14:paraId="547C03A7" w14:textId="77777777" w:rsidTr="00A37809">
        <w:trPr>
          <w:trHeight w:val="320"/>
        </w:trPr>
        <w:tc>
          <w:tcPr>
            <w:tcW w:w="1440" w:type="dxa"/>
            <w:tcBorders>
              <w:top w:val="nil"/>
              <w:left w:val="single" w:sz="8" w:space="0" w:color="auto"/>
              <w:bottom w:val="single" w:sz="8" w:space="0" w:color="auto"/>
              <w:right w:val="single" w:sz="8" w:space="0" w:color="auto"/>
            </w:tcBorders>
            <w:shd w:val="clear" w:color="auto" w:fill="auto"/>
            <w:vAlign w:val="center"/>
          </w:tcPr>
          <w:p w14:paraId="7A2206DE" w14:textId="50318E88" w:rsidR="00F47E60" w:rsidRPr="00BB3A1D" w:rsidRDefault="00F47E60" w:rsidP="00781225">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sz w:val="24"/>
                <w:szCs w:val="24"/>
                <w:lang w:eastAsia="en-US"/>
              </w:rPr>
              <w:t>p2</w:t>
            </w:r>
            <w:r w:rsidRPr="00BB3A1D">
              <w:rPr>
                <w:rFonts w:ascii="Times New Roman" w:eastAsia="Times New Roman" w:hAnsi="Times New Roman" w:cs="Times New Roman"/>
                <w:sz w:val="24"/>
                <w:szCs w:val="24"/>
                <w:lang w:eastAsia="en-US"/>
              </w:rPr>
              <w:t>1</w:t>
            </w:r>
          </w:p>
        </w:tc>
        <w:tc>
          <w:tcPr>
            <w:tcW w:w="3643" w:type="dxa"/>
            <w:tcBorders>
              <w:top w:val="nil"/>
              <w:left w:val="nil"/>
              <w:bottom w:val="single" w:sz="8" w:space="0" w:color="auto"/>
              <w:right w:val="single" w:sz="8" w:space="0" w:color="auto"/>
            </w:tcBorders>
            <w:shd w:val="clear" w:color="auto" w:fill="auto"/>
            <w:vAlign w:val="center"/>
          </w:tcPr>
          <w:p w14:paraId="066E76C0" w14:textId="00933284" w:rsidR="00F47E60" w:rsidRPr="00BB3A1D" w:rsidDel="00781225" w:rsidRDefault="00F47E60" w:rsidP="00781225">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Pumping/carryover</w:t>
            </w:r>
          </w:p>
        </w:tc>
        <w:tc>
          <w:tcPr>
            <w:tcW w:w="2111" w:type="dxa"/>
            <w:tcBorders>
              <w:top w:val="nil"/>
              <w:left w:val="nil"/>
              <w:bottom w:val="single" w:sz="8" w:space="0" w:color="auto"/>
              <w:right w:val="single" w:sz="8" w:space="0" w:color="auto"/>
            </w:tcBorders>
            <w:shd w:val="clear" w:color="auto" w:fill="auto"/>
            <w:vAlign w:val="center"/>
          </w:tcPr>
          <w:p w14:paraId="56CE6037" w14:textId="2EAC6545" w:rsidR="00F47E60" w:rsidRPr="00BB3A1D" w:rsidDel="00781225" w:rsidRDefault="00A37809" w:rsidP="00781225">
            <w:pPr>
              <w:spacing w:after="0" w:line="240" w:lineRule="auto"/>
              <w:jc w:val="righ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0.000228</w:t>
            </w:r>
          </w:p>
        </w:tc>
        <w:tc>
          <w:tcPr>
            <w:tcW w:w="2256" w:type="dxa"/>
            <w:tcBorders>
              <w:top w:val="nil"/>
              <w:left w:val="nil"/>
              <w:bottom w:val="single" w:sz="8" w:space="0" w:color="auto"/>
              <w:right w:val="single" w:sz="8" w:space="0" w:color="auto"/>
            </w:tcBorders>
            <w:shd w:val="clear" w:color="auto" w:fill="auto"/>
            <w:vAlign w:val="center"/>
          </w:tcPr>
          <w:p w14:paraId="464E0E39" w14:textId="703D101E" w:rsidR="00F47E60" w:rsidRPr="00BB3A1D" w:rsidRDefault="00A37809" w:rsidP="00202A9E">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fldChar w:fldCharType="begin"/>
            </w:r>
            <w:r>
              <w:rPr>
                <w:rFonts w:ascii="Times New Roman" w:eastAsia="Times New Roman" w:hAnsi="Times New Roman" w:cs="Times New Roman"/>
                <w:color w:val="000000"/>
                <w:sz w:val="24"/>
                <w:szCs w:val="24"/>
                <w:lang w:eastAsia="en-US"/>
              </w:rPr>
              <w:instrText xml:space="preserve"> ADDIN ZOTERO_ITEM CSL_CITATION {"citationID":"AG8vGob6","properties":{"formattedCitation":"\\super 7\\nosupersub{}","plainCitation":"7","noteIndex":0},"citationItems":[{"id":545,"uris":["http://zotero.org/users/11490235/items/6RQXSA89"],"itemData":{"id":545,"type":"article-journal","abstract":"Flaring is a combustion process commonly used in the oil and gas industry to dispose flammable waste gases. Flare flameout occurs when these gases escape unburnt from the flare tip causing the discharge of flammable and/or toxic vapor clouds. The toxic gases released during this process have the potential to initiate safety hazards and cause serious harm to the ecosystem and human health. Flare flameout could be caused by environmental conditions, equipment failure, and human error. However, to better understand the causes of flare flameout, a rigorous analysis of the behavior of flare systems under failure conditions is required. In this article, we used fault tree analysis (FTA) and the dynamic Bayesian network (DBN) to assess the reliability of flare systems. In this study, we analyzed 40 different combinations of basic events that can cause flare flameout to determine the event with the highest impact on system failure. In the quantitative analysis, we use both constant and timedependent failure rates of system components. The results show that combining these two approaches allows for robust probabilistic reasoning on flare system reliability, which can help improving the safety and asset integrity of process facilities. The proposed DBN model constitutes a significant step to improve the safety and reliability of flare systems in the oil and gas industry.","container-title":"Energy Sources, Part A: Recovery, Utilization, and Environmental Effects","DOI":"10.1080/15567036.2019.1670287","ISSN":"1556-7036, 1556-7230","issue":"2","journalAbbreviation":"Energy Sources, Part A: Recovery, Utilization, and Environmental Effects","language":"en","page":"4305-4322","source":"DOI.org (Crossref)","title":"Dynamic reliability assessment of flare systems by combining fault tree analysis and Bayesian networks","volume":"45","author":[{"family":"Kabir","given":"Sohag"},{"family":"Taleb-Berrouane","given":"Mohammed"},{"family":"Papadopoulos","given":"Yiannis"}],"issued":{"date-parts":[["2023",6]]}}}],"schema":"https://github.com/citation-style-language/schema/raw/master/csl-citation.json"} </w:instrText>
            </w:r>
            <w:r>
              <w:rPr>
                <w:rFonts w:ascii="Times New Roman" w:eastAsia="Times New Roman" w:hAnsi="Times New Roman" w:cs="Times New Roman"/>
                <w:color w:val="000000"/>
                <w:sz w:val="24"/>
                <w:szCs w:val="24"/>
                <w:lang w:eastAsia="en-US"/>
              </w:rPr>
              <w:fldChar w:fldCharType="separate"/>
            </w:r>
            <w:r w:rsidRPr="00A37809">
              <w:rPr>
                <w:rFonts w:ascii="Times New Roman" w:hAnsi="Times New Roman" w:cs="Times New Roman"/>
                <w:sz w:val="24"/>
                <w:vertAlign w:val="superscript"/>
              </w:rPr>
              <w:t>7</w:t>
            </w:r>
            <w:r>
              <w:rPr>
                <w:rFonts w:ascii="Times New Roman" w:eastAsia="Times New Roman" w:hAnsi="Times New Roman" w:cs="Times New Roman"/>
                <w:color w:val="000000"/>
                <w:sz w:val="24"/>
                <w:szCs w:val="24"/>
                <w:lang w:eastAsia="en-US"/>
              </w:rPr>
              <w:fldChar w:fldCharType="end"/>
            </w:r>
          </w:p>
        </w:tc>
      </w:tr>
      <w:tr w:rsidR="00120856" w:rsidRPr="00BB3A1D" w14:paraId="2B85BB5B" w14:textId="77777777" w:rsidTr="00A37809">
        <w:trPr>
          <w:trHeight w:val="320"/>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360BAA07" w14:textId="21F97055" w:rsidR="00781225" w:rsidRPr="00BB3A1D" w:rsidRDefault="001A1976" w:rsidP="00781225">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sz w:val="24"/>
                <w:szCs w:val="24"/>
                <w:lang w:eastAsia="en-US"/>
              </w:rPr>
              <w:t>p</w:t>
            </w:r>
            <w:r w:rsidR="00F47E60">
              <w:rPr>
                <w:rFonts w:ascii="Times New Roman" w:eastAsia="Times New Roman" w:hAnsi="Times New Roman" w:cs="Times New Roman"/>
                <w:sz w:val="24"/>
                <w:szCs w:val="24"/>
                <w:lang w:eastAsia="en-US"/>
              </w:rPr>
              <w:t>22</w:t>
            </w:r>
          </w:p>
        </w:tc>
        <w:tc>
          <w:tcPr>
            <w:tcW w:w="3643" w:type="dxa"/>
            <w:tcBorders>
              <w:top w:val="nil"/>
              <w:left w:val="nil"/>
              <w:bottom w:val="single" w:sz="8" w:space="0" w:color="auto"/>
              <w:right w:val="single" w:sz="8" w:space="0" w:color="auto"/>
            </w:tcBorders>
            <w:shd w:val="clear" w:color="auto" w:fill="auto"/>
            <w:vAlign w:val="center"/>
          </w:tcPr>
          <w:p w14:paraId="78869E6A" w14:textId="79572290" w:rsidR="00781225" w:rsidRPr="00BB3A1D" w:rsidRDefault="00F47E60" w:rsidP="00781225">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Relief PCV closed</w:t>
            </w:r>
          </w:p>
        </w:tc>
        <w:tc>
          <w:tcPr>
            <w:tcW w:w="2111" w:type="dxa"/>
            <w:tcBorders>
              <w:top w:val="nil"/>
              <w:left w:val="nil"/>
              <w:bottom w:val="single" w:sz="8" w:space="0" w:color="auto"/>
              <w:right w:val="single" w:sz="8" w:space="0" w:color="auto"/>
            </w:tcBorders>
            <w:shd w:val="clear" w:color="auto" w:fill="auto"/>
            <w:vAlign w:val="center"/>
          </w:tcPr>
          <w:p w14:paraId="5F783A79" w14:textId="1ED5E0EB" w:rsidR="00781225" w:rsidRPr="00BB3A1D" w:rsidRDefault="00A37809" w:rsidP="00781225">
            <w:pPr>
              <w:spacing w:after="0" w:line="240" w:lineRule="auto"/>
              <w:jc w:val="righ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0.001</w:t>
            </w:r>
          </w:p>
        </w:tc>
        <w:tc>
          <w:tcPr>
            <w:tcW w:w="2256" w:type="dxa"/>
            <w:tcBorders>
              <w:top w:val="nil"/>
              <w:left w:val="nil"/>
              <w:bottom w:val="single" w:sz="8" w:space="0" w:color="auto"/>
              <w:right w:val="single" w:sz="8" w:space="0" w:color="auto"/>
            </w:tcBorders>
            <w:shd w:val="clear" w:color="auto" w:fill="auto"/>
            <w:vAlign w:val="center"/>
          </w:tcPr>
          <w:p w14:paraId="22681870" w14:textId="5675A34B" w:rsidR="00781225" w:rsidRPr="00BB3A1D" w:rsidRDefault="00A37809" w:rsidP="00202A9E">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fldChar w:fldCharType="begin"/>
            </w:r>
            <w:r>
              <w:rPr>
                <w:rFonts w:ascii="Times New Roman" w:eastAsia="Times New Roman" w:hAnsi="Times New Roman" w:cs="Times New Roman"/>
                <w:color w:val="000000"/>
                <w:sz w:val="24"/>
                <w:szCs w:val="24"/>
                <w:lang w:eastAsia="en-US"/>
              </w:rPr>
              <w:instrText xml:space="preserve"> ADDIN ZOTERO_ITEM CSL_CITATION {"citationID":"2dKfxRv3","properties":{"formattedCitation":"\\super 7\\nosupersub{}","plainCitation":"7","noteIndex":0},"citationItems":[{"id":545,"uris":["http://zotero.org/users/11490235/items/6RQXSA89"],"itemData":{"id":545,"type":"article-journal","abstract":"Flaring is a combustion process commonly used in the oil and gas industry to dispose flammable waste gases. Flare flameout occurs when these gases escape unburnt from the flare tip causing the discharge of flammable and/or toxic vapor clouds. The toxic gases released during this process have the potential to initiate safety hazards and cause serious harm to the ecosystem and human health. Flare flameout could be caused by environmental conditions, equipment failure, and human error. However, to better understand the causes of flare flameout, a rigorous analysis of the behavior of flare systems under failure conditions is required. In this article, we used fault tree analysis (FTA) and the dynamic Bayesian network (DBN) to assess the reliability of flare systems. In this study, we analyzed 40 different combinations of basic events that can cause flare flameout to determine the event with the highest impact on system failure. In the quantitative analysis, we use both constant and timedependent failure rates of system components. The results show that combining these two approaches allows for robust probabilistic reasoning on flare system reliability, which can help improving the safety and asset integrity of process facilities. The proposed DBN model constitutes a significant step to improve the safety and reliability of flare systems in the oil and gas industry.","container-title":"Energy Sources, Part A: Recovery, Utilization, and Environmental Effects","DOI":"10.1080/15567036.2019.1670287","ISSN":"1556-7036, 1556-7230","issue":"2","journalAbbreviation":"Energy Sources, Part A: Recovery, Utilization, and Environmental Effects","language":"en","page":"4305-4322","source":"DOI.org (Crossref)","title":"Dynamic reliability assessment of flare systems by combining fault tree analysis and Bayesian networks","volume":"45","author":[{"family":"Kabir","given":"Sohag"},{"family":"Taleb-Berrouane","given":"Mohammed"},{"family":"Papadopoulos","given":"Yiannis"}],"issued":{"date-parts":[["2023",6]]}}}],"schema":"https://github.com/citation-style-language/schema/raw/master/csl-citation.json"} </w:instrText>
            </w:r>
            <w:r>
              <w:rPr>
                <w:rFonts w:ascii="Times New Roman" w:eastAsia="Times New Roman" w:hAnsi="Times New Roman" w:cs="Times New Roman"/>
                <w:color w:val="000000"/>
                <w:sz w:val="24"/>
                <w:szCs w:val="24"/>
                <w:lang w:eastAsia="en-US"/>
              </w:rPr>
              <w:fldChar w:fldCharType="separate"/>
            </w:r>
            <w:r w:rsidRPr="00A37809">
              <w:rPr>
                <w:rFonts w:ascii="Times New Roman" w:hAnsi="Times New Roman" w:cs="Times New Roman"/>
                <w:sz w:val="24"/>
                <w:vertAlign w:val="superscript"/>
              </w:rPr>
              <w:t>7</w:t>
            </w:r>
            <w:r>
              <w:rPr>
                <w:rFonts w:ascii="Times New Roman" w:eastAsia="Times New Roman" w:hAnsi="Times New Roman" w:cs="Times New Roman"/>
                <w:color w:val="000000"/>
                <w:sz w:val="24"/>
                <w:szCs w:val="24"/>
                <w:lang w:eastAsia="en-US"/>
              </w:rPr>
              <w:fldChar w:fldCharType="end"/>
            </w:r>
          </w:p>
        </w:tc>
      </w:tr>
    </w:tbl>
    <w:p w14:paraId="557C3094" w14:textId="6D9CB4E4" w:rsidR="00DE6689" w:rsidRDefault="00DE6689" w:rsidP="007114CC">
      <w:pPr>
        <w:spacing w:line="480" w:lineRule="auto"/>
        <w:jc w:val="both"/>
      </w:pPr>
    </w:p>
    <w:p w14:paraId="62C351ED" w14:textId="58A3F4FE" w:rsidR="00645131" w:rsidRDefault="006D111A" w:rsidP="007E3221">
      <w:pPr>
        <w:spacing w:line="480" w:lineRule="auto"/>
        <w:jc w:val="both"/>
        <w:rPr>
          <w:rFonts w:ascii="Times New Roman" w:eastAsia="DengXian" w:hAnsi="Times New Roman" w:cs="Times New Roman"/>
          <w:sz w:val="24"/>
          <w:szCs w:val="24"/>
        </w:rPr>
      </w:pPr>
      <w:r w:rsidRPr="00781225">
        <w:rPr>
          <w:rFonts w:ascii="Times New Roman" w:eastAsia="DengXian" w:hAnsi="Times New Roman" w:cs="Times New Roman"/>
          <w:sz w:val="24"/>
          <w:szCs w:val="24"/>
        </w:rPr>
        <w:t>To assess the validity of the model, the FTA-derived annual probabilities were compared with empirically derived event frequencies.</w:t>
      </w:r>
      <w:r w:rsidR="00781225" w:rsidRPr="00781225">
        <w:rPr>
          <w:rFonts w:ascii="Times New Roman" w:eastAsia="DengXian" w:hAnsi="Times New Roman" w:cs="Times New Roman"/>
          <w:sz w:val="24"/>
          <w:szCs w:val="24"/>
        </w:rPr>
        <w:t xml:space="preserve"> </w:t>
      </w:r>
      <w:r>
        <w:rPr>
          <w:rFonts w:ascii="Times New Roman" w:eastAsia="DengXian" w:hAnsi="Times New Roman" w:cs="Times New Roman"/>
          <w:sz w:val="24"/>
          <w:szCs w:val="24"/>
        </w:rPr>
        <w:t xml:space="preserve">The empirical </w:t>
      </w:r>
      <w:r w:rsidRPr="00645131">
        <w:rPr>
          <w:rFonts w:ascii="Times New Roman" w:eastAsia="DengXian" w:hAnsi="Times New Roman" w:cs="Times New Roman"/>
          <w:sz w:val="24"/>
          <w:szCs w:val="24"/>
        </w:rPr>
        <w:t>frequency is calculated as</w:t>
      </w:r>
    </w:p>
    <w:p w14:paraId="2FD1CFF1" w14:textId="648C3257" w:rsidR="00645131" w:rsidRPr="00202A9E" w:rsidRDefault="00645131" w:rsidP="007E3221">
      <w:pPr>
        <w:spacing w:line="480" w:lineRule="auto"/>
        <w:jc w:val="both"/>
        <w:rPr>
          <w:rFonts w:ascii="Times New Roman" w:eastAsia="DengXian" w:hAnsi="Times New Roman" w:cs="Times New Roman"/>
        </w:rPr>
      </w:pPr>
      <m:oMathPara>
        <m:oMath>
          <m:r>
            <w:rPr>
              <w:rFonts w:ascii="Cambria Math" w:eastAsia="DengXian" w:hAnsi="Cambria Math" w:cs="Times New Roman"/>
            </w:rPr>
            <m:t xml:space="preserve">Empirical Annual Event Frequency= </m:t>
          </m:r>
          <m:f>
            <m:fPr>
              <m:ctrlPr>
                <w:rPr>
                  <w:rFonts w:ascii="Cambria Math" w:eastAsia="DengXian" w:hAnsi="Cambria Math" w:cs="Times New Roman"/>
                  <w:i/>
                </w:rPr>
              </m:ctrlPr>
            </m:fPr>
            <m:num>
              <m:r>
                <w:rPr>
                  <w:rFonts w:ascii="Cambria Math" w:eastAsia="DengXian" w:hAnsi="Cambria Math" w:cs="Times New Roman"/>
                </w:rPr>
                <m:t>Total Observed Events for a Category</m:t>
              </m:r>
            </m:num>
            <m:den>
              <m:r>
                <w:rPr>
                  <w:rFonts w:ascii="Cambria Math" w:eastAsia="DengXian" w:hAnsi="Cambria Math" w:cs="Times New Roman"/>
                </w:rPr>
                <m:t>Total Population of Associated Components Surveyed</m:t>
              </m:r>
            </m:den>
          </m:f>
        </m:oMath>
      </m:oMathPara>
    </w:p>
    <w:p w14:paraId="3C40BECE" w14:textId="0EEE3B85" w:rsidR="00E94592" w:rsidRDefault="00645131" w:rsidP="007E3221">
      <w:pPr>
        <w:spacing w:line="480" w:lineRule="auto"/>
        <w:jc w:val="both"/>
        <w:rPr>
          <w:rFonts w:ascii="Times New Roman" w:eastAsia="DengXian" w:hAnsi="Times New Roman" w:cs="Times New Roman"/>
          <w:sz w:val="24"/>
          <w:szCs w:val="24"/>
        </w:rPr>
      </w:pPr>
      <w:r w:rsidRPr="00645131">
        <w:rPr>
          <w:rFonts w:ascii="Times New Roman" w:eastAsia="DengXian" w:hAnsi="Times New Roman" w:cs="Times New Roman"/>
          <w:sz w:val="24"/>
          <w:szCs w:val="24"/>
        </w:rPr>
        <w:t xml:space="preserve"> </w:t>
      </w:r>
      <w:r w:rsidR="00781225" w:rsidRPr="00781225">
        <w:rPr>
          <w:rFonts w:ascii="Times New Roman" w:eastAsia="DengXian" w:hAnsi="Times New Roman" w:cs="Times New Roman"/>
          <w:sz w:val="24"/>
          <w:szCs w:val="24"/>
        </w:rPr>
        <w:t>This validation was performed for two distinct cases to test the model's robustness and highlight the importance of data sources</w:t>
      </w:r>
      <w:r w:rsidR="00475FC0" w:rsidRPr="00475FC0">
        <w:rPr>
          <w:rFonts w:ascii="Times New Roman" w:eastAsia="DengXian" w:hAnsi="Times New Roman" w:cs="Times New Roman"/>
          <w:sz w:val="24"/>
          <w:szCs w:val="24"/>
        </w:rPr>
        <w:t xml:space="preserve">. </w:t>
      </w:r>
      <w:r w:rsidRPr="00645131">
        <w:rPr>
          <w:rFonts w:ascii="Times New Roman" w:eastAsia="DengXian" w:hAnsi="Times New Roman" w:cs="Times New Roman"/>
          <w:sz w:val="24"/>
          <w:szCs w:val="24"/>
        </w:rPr>
        <w:t xml:space="preserve">This discrepancy for flares </w:t>
      </w:r>
      <w:r>
        <w:rPr>
          <w:rFonts w:ascii="Times New Roman" w:eastAsia="DengXian" w:hAnsi="Times New Roman" w:cs="Times New Roman"/>
          <w:sz w:val="24"/>
          <w:szCs w:val="24"/>
        </w:rPr>
        <w:t>highlight</w:t>
      </w:r>
      <w:r w:rsidRPr="00645131">
        <w:rPr>
          <w:rFonts w:ascii="Times New Roman" w:eastAsia="DengXian" w:hAnsi="Times New Roman" w:cs="Times New Roman"/>
          <w:sz w:val="24"/>
          <w:szCs w:val="24"/>
        </w:rPr>
        <w:t xml:space="preserve">s the critical need for </w:t>
      </w:r>
      <w:r w:rsidRPr="00645131">
        <w:rPr>
          <w:rFonts w:ascii="Times New Roman" w:eastAsia="DengXian" w:hAnsi="Times New Roman" w:cs="Times New Roman"/>
          <w:sz w:val="24"/>
          <w:szCs w:val="24"/>
        </w:rPr>
        <w:lastRenderedPageBreak/>
        <w:t>measurement-informed, basin-specific data over generic failure rates</w:t>
      </w:r>
      <w:r>
        <w:rPr>
          <w:rFonts w:ascii="Times New Roman" w:eastAsia="DengXian" w:hAnsi="Times New Roman" w:cs="Times New Roman"/>
          <w:sz w:val="24"/>
          <w:szCs w:val="24"/>
        </w:rPr>
        <w:t>.</w:t>
      </w:r>
      <w:r w:rsidRPr="00645131">
        <w:rPr>
          <w:rFonts w:ascii="Times New Roman" w:eastAsia="DengXian" w:hAnsi="Times New Roman" w:cs="Times New Roman"/>
          <w:sz w:val="24"/>
          <w:szCs w:val="24"/>
        </w:rPr>
        <w:t xml:space="preserve"> </w:t>
      </w:r>
      <w:r w:rsidR="006D111A" w:rsidRPr="00214D2B">
        <w:rPr>
          <w:rFonts w:ascii="Times New Roman" w:eastAsia="DengXian" w:hAnsi="Times New Roman" w:cs="Times New Roman"/>
          <w:sz w:val="24"/>
          <w:szCs w:val="24"/>
        </w:rPr>
        <w:t xml:space="preserve">A similar quantitative validation </w:t>
      </w:r>
      <w:r w:rsidR="006D111A">
        <w:rPr>
          <w:rFonts w:ascii="Times New Roman" w:eastAsia="DengXian" w:hAnsi="Times New Roman" w:cs="Times New Roman"/>
          <w:sz w:val="24"/>
          <w:szCs w:val="24"/>
        </w:rPr>
        <w:t xml:space="preserve">with empirical data </w:t>
      </w:r>
      <w:r w:rsidR="006D111A" w:rsidRPr="00214D2B">
        <w:rPr>
          <w:rFonts w:ascii="Times New Roman" w:eastAsia="DengXian" w:hAnsi="Times New Roman" w:cs="Times New Roman"/>
          <w:sz w:val="24"/>
          <w:szCs w:val="24"/>
        </w:rPr>
        <w:t xml:space="preserve">was not performed for other </w:t>
      </w:r>
      <w:r w:rsidR="006D111A">
        <w:rPr>
          <w:rFonts w:ascii="Times New Roman" w:eastAsia="DengXian" w:hAnsi="Times New Roman" w:cs="Times New Roman"/>
          <w:sz w:val="24"/>
          <w:szCs w:val="24"/>
        </w:rPr>
        <w:t>causal categories</w:t>
      </w:r>
      <w:r w:rsidR="006D111A" w:rsidRPr="00214D2B">
        <w:rPr>
          <w:rFonts w:ascii="Times New Roman" w:eastAsia="DengXian" w:hAnsi="Times New Roman" w:cs="Times New Roman"/>
          <w:sz w:val="24"/>
          <w:szCs w:val="24"/>
        </w:rPr>
        <w:t xml:space="preserve">, such as mechanical failures, owing to the lack of a </w:t>
      </w:r>
      <w:r w:rsidR="006D111A" w:rsidRPr="00645131">
        <w:rPr>
          <w:rFonts w:ascii="Times New Roman" w:eastAsia="DengXian" w:hAnsi="Times New Roman" w:cs="Times New Roman"/>
          <w:sz w:val="24"/>
          <w:szCs w:val="24"/>
        </w:rPr>
        <w:t>comprehensive component-level inventory</w:t>
      </w:r>
      <w:r w:rsidR="006D111A" w:rsidRPr="00214D2B">
        <w:rPr>
          <w:rFonts w:ascii="Times New Roman" w:eastAsia="DengXian" w:hAnsi="Times New Roman" w:cs="Times New Roman"/>
          <w:sz w:val="24"/>
          <w:szCs w:val="24"/>
        </w:rPr>
        <w:t xml:space="preserve"> across the surveyed facilities, which prevented the calculation of a comparable empirical event frequency.</w:t>
      </w:r>
      <w:r w:rsidR="00214D2B" w:rsidRPr="00214D2B">
        <w:rPr>
          <w:rFonts w:ascii="Times New Roman" w:eastAsia="DengXian" w:hAnsi="Times New Roman" w:cs="Times New Roman"/>
          <w:sz w:val="24"/>
          <w:szCs w:val="24"/>
        </w:rPr>
        <w:t xml:space="preserve"> </w:t>
      </w:r>
      <w:r w:rsidR="006D111A" w:rsidRPr="00214D2B">
        <w:rPr>
          <w:rFonts w:ascii="Times New Roman" w:eastAsia="DengXian" w:hAnsi="Times New Roman" w:cs="Times New Roman"/>
          <w:sz w:val="24"/>
          <w:szCs w:val="24"/>
        </w:rPr>
        <w:t xml:space="preserve">However, the strong alignment for the </w:t>
      </w:r>
      <w:r w:rsidR="006D111A" w:rsidRPr="00645131">
        <w:rPr>
          <w:rFonts w:ascii="Times New Roman" w:eastAsia="DengXian" w:hAnsi="Times New Roman" w:cs="Times New Roman"/>
          <w:sz w:val="24"/>
          <w:szCs w:val="24"/>
        </w:rPr>
        <w:t>well-inventoried tank category</w:t>
      </w:r>
      <w:r w:rsidR="006D111A" w:rsidRPr="00214D2B">
        <w:rPr>
          <w:rFonts w:ascii="Times New Roman" w:eastAsia="DengXian" w:hAnsi="Times New Roman" w:cs="Times New Roman"/>
          <w:sz w:val="24"/>
          <w:szCs w:val="24"/>
        </w:rPr>
        <w:t xml:space="preserve"> provides confidence in the overall FTA approach</w:t>
      </w:r>
      <w:r w:rsidR="006D111A">
        <w:rPr>
          <w:rFonts w:ascii="Times New Roman" w:eastAsia="DengXian" w:hAnsi="Times New Roman" w:cs="Times New Roman"/>
          <w:sz w:val="24"/>
          <w:szCs w:val="24"/>
        </w:rPr>
        <w:t>.</w:t>
      </w:r>
    </w:p>
    <w:p w14:paraId="51D18BEA" w14:textId="77777777" w:rsidR="00E94592" w:rsidRDefault="00E94592" w:rsidP="007E3221">
      <w:pPr>
        <w:spacing w:line="480" w:lineRule="auto"/>
        <w:jc w:val="both"/>
        <w:rPr>
          <w:rFonts w:ascii="Times New Roman" w:eastAsia="DengXian" w:hAnsi="Times New Roman" w:cs="Times New Roman"/>
          <w:b/>
          <w:bCs/>
          <w:sz w:val="24"/>
          <w:szCs w:val="24"/>
        </w:rPr>
      </w:pPr>
    </w:p>
    <w:p w14:paraId="757F622A" w14:textId="459F847D" w:rsidR="007E3221" w:rsidRPr="007E3221" w:rsidRDefault="00CE1503" w:rsidP="007E3221">
      <w:pPr>
        <w:spacing w:line="480" w:lineRule="auto"/>
        <w:jc w:val="both"/>
        <w:rPr>
          <w:rFonts w:ascii="Times New Roman" w:eastAsia="DengXian" w:hAnsi="Times New Roman" w:cs="Times New Roman"/>
          <w:b/>
          <w:bCs/>
          <w:sz w:val="24"/>
          <w:szCs w:val="24"/>
        </w:rPr>
      </w:pPr>
      <w:r>
        <w:rPr>
          <w:rFonts w:ascii="Times New Roman" w:eastAsia="DengXian" w:hAnsi="Times New Roman" w:cs="Times New Roman"/>
          <w:b/>
          <w:bCs/>
          <w:sz w:val="24"/>
          <w:szCs w:val="24"/>
        </w:rPr>
        <w:t xml:space="preserve">Supplementary Note </w:t>
      </w:r>
      <w:r w:rsidR="004A661D">
        <w:rPr>
          <w:rFonts w:ascii="Times New Roman" w:eastAsia="DengXian" w:hAnsi="Times New Roman" w:cs="Times New Roman"/>
          <w:b/>
          <w:bCs/>
          <w:sz w:val="24"/>
          <w:szCs w:val="24"/>
        </w:rPr>
        <w:t>S4</w:t>
      </w:r>
      <w:r>
        <w:rPr>
          <w:rFonts w:ascii="Times New Roman" w:eastAsia="DengXian" w:hAnsi="Times New Roman" w:cs="Times New Roman"/>
          <w:b/>
          <w:bCs/>
          <w:sz w:val="24"/>
          <w:szCs w:val="24"/>
        </w:rPr>
        <w:t>.</w:t>
      </w:r>
      <w:r w:rsidR="004A661D">
        <w:rPr>
          <w:rFonts w:ascii="Times New Roman" w:eastAsia="DengXian" w:hAnsi="Times New Roman" w:cs="Times New Roman"/>
          <w:b/>
          <w:bCs/>
          <w:sz w:val="24"/>
          <w:szCs w:val="24"/>
        </w:rPr>
        <w:t xml:space="preserve"> </w:t>
      </w:r>
      <w:r w:rsidR="007F0107" w:rsidRPr="007F0107">
        <w:rPr>
          <w:rFonts w:ascii="Times New Roman" w:eastAsia="DengXian" w:hAnsi="Times New Roman" w:cs="Times New Roman"/>
          <w:b/>
          <w:bCs/>
          <w:sz w:val="24"/>
          <w:szCs w:val="24"/>
        </w:rPr>
        <w:t xml:space="preserve">Emission Rate Contribution by </w:t>
      </w:r>
      <w:r w:rsidR="00D956B7">
        <w:rPr>
          <w:rFonts w:ascii="Times New Roman" w:eastAsia="DengXian" w:hAnsi="Times New Roman" w:cs="Times New Roman"/>
          <w:b/>
          <w:bCs/>
          <w:sz w:val="24"/>
          <w:szCs w:val="24"/>
        </w:rPr>
        <w:t>Causal Category</w:t>
      </w:r>
      <w:r w:rsidR="007F0107" w:rsidRPr="007F0107">
        <w:rPr>
          <w:rFonts w:ascii="Times New Roman" w:eastAsia="DengXian" w:hAnsi="Times New Roman" w:cs="Times New Roman"/>
          <w:b/>
          <w:bCs/>
          <w:sz w:val="24"/>
          <w:szCs w:val="24"/>
        </w:rPr>
        <w:t xml:space="preserve"> for Small vs. Large Emitte</w:t>
      </w:r>
      <w:r w:rsidR="007F0107">
        <w:rPr>
          <w:rFonts w:ascii="Times New Roman" w:eastAsia="DengXian" w:hAnsi="Times New Roman" w:cs="Times New Roman"/>
          <w:b/>
          <w:bCs/>
          <w:sz w:val="24"/>
          <w:szCs w:val="24"/>
        </w:rPr>
        <w:t>rs</w:t>
      </w:r>
    </w:p>
    <w:p w14:paraId="5EA7C520" w14:textId="3B90F92C" w:rsidR="007E3221" w:rsidRPr="00E828A4" w:rsidRDefault="004A661D" w:rsidP="00202A9E">
      <w:pPr>
        <w:spacing w:line="480" w:lineRule="auto"/>
        <w:ind w:firstLine="720"/>
        <w:jc w:val="both"/>
        <w:rPr>
          <w:rFonts w:ascii="Times New Roman" w:eastAsia="DengXian" w:hAnsi="Times New Roman" w:cs="Times New Roman"/>
          <w:sz w:val="24"/>
          <w:szCs w:val="24"/>
        </w:rPr>
      </w:pPr>
      <w:r w:rsidRPr="00E828A4">
        <w:rPr>
          <w:rFonts w:ascii="Times New Roman" w:eastAsia="DengXian" w:hAnsi="Times New Roman" w:cs="Times New Roman"/>
          <w:sz w:val="24"/>
          <w:szCs w:val="24"/>
        </w:rPr>
        <w:t xml:space="preserve">This section provides supplementary data to </w:t>
      </w:r>
      <w:r w:rsidR="006D111A">
        <w:rPr>
          <w:rFonts w:ascii="Times New Roman" w:eastAsia="DengXian" w:hAnsi="Times New Roman" w:cs="Times New Roman"/>
          <w:sz w:val="24"/>
          <w:szCs w:val="24"/>
        </w:rPr>
        <w:t>(m</w:t>
      </w:r>
      <w:r w:rsidR="0064759F" w:rsidRPr="00E828A4">
        <w:rPr>
          <w:rFonts w:ascii="Times New Roman" w:eastAsia="DengXian" w:hAnsi="Times New Roman" w:cs="Times New Roman"/>
          <w:sz w:val="24"/>
          <w:szCs w:val="24"/>
        </w:rPr>
        <w:t xml:space="preserve">ain </w:t>
      </w:r>
      <w:r w:rsidR="006D111A">
        <w:rPr>
          <w:rFonts w:ascii="Times New Roman" w:eastAsia="DengXian" w:hAnsi="Times New Roman" w:cs="Times New Roman"/>
          <w:sz w:val="24"/>
          <w:szCs w:val="24"/>
        </w:rPr>
        <w:t>t</w:t>
      </w:r>
      <w:r w:rsidR="0064759F" w:rsidRPr="00E828A4">
        <w:rPr>
          <w:rFonts w:ascii="Times New Roman" w:eastAsia="DengXian" w:hAnsi="Times New Roman" w:cs="Times New Roman"/>
          <w:sz w:val="24"/>
          <w:szCs w:val="24"/>
        </w:rPr>
        <w:t>ext</w:t>
      </w:r>
      <w:r w:rsidR="006D111A">
        <w:rPr>
          <w:rFonts w:ascii="Times New Roman" w:eastAsia="DengXian" w:hAnsi="Times New Roman" w:cs="Times New Roman"/>
          <w:sz w:val="24"/>
          <w:szCs w:val="24"/>
        </w:rPr>
        <w:t>)</w:t>
      </w:r>
      <w:r w:rsidR="0064759F" w:rsidRPr="00E828A4">
        <w:rPr>
          <w:rFonts w:ascii="Times New Roman" w:eastAsia="DengXian" w:hAnsi="Times New Roman" w:cs="Times New Roman"/>
          <w:sz w:val="24"/>
          <w:szCs w:val="24"/>
        </w:rPr>
        <w:t xml:space="preserve"> </w:t>
      </w:r>
      <w:r w:rsidRPr="00202A9E">
        <w:rPr>
          <w:rFonts w:ascii="Times New Roman" w:eastAsia="DengXian" w:hAnsi="Times New Roman" w:cs="Times New Roman"/>
          <w:sz w:val="24"/>
          <w:szCs w:val="24"/>
        </w:rPr>
        <w:t>Section 3.2b</w:t>
      </w:r>
      <w:r w:rsidRPr="00E828A4">
        <w:rPr>
          <w:rFonts w:ascii="Times New Roman" w:eastAsia="DengXian" w:hAnsi="Times New Roman" w:cs="Times New Roman"/>
          <w:sz w:val="24"/>
          <w:szCs w:val="24"/>
        </w:rPr>
        <w:t xml:space="preserve">, which compares the </w:t>
      </w:r>
      <w:r w:rsidR="00D956B7" w:rsidRPr="00E828A4">
        <w:rPr>
          <w:rFonts w:ascii="Times New Roman" w:eastAsia="DengXian" w:hAnsi="Times New Roman" w:cs="Times New Roman"/>
          <w:sz w:val="24"/>
          <w:szCs w:val="24"/>
        </w:rPr>
        <w:t xml:space="preserve">emission </w:t>
      </w:r>
      <w:r w:rsidRPr="00E828A4">
        <w:rPr>
          <w:rFonts w:ascii="Times New Roman" w:eastAsia="DengXian" w:hAnsi="Times New Roman" w:cs="Times New Roman"/>
          <w:sz w:val="24"/>
          <w:szCs w:val="24"/>
        </w:rPr>
        <w:t xml:space="preserve">drivers of small (&lt;100 kg/h) versus large (≥100 kg/h) methane emitters. </w:t>
      </w:r>
      <w:r w:rsidR="006D111A" w:rsidRPr="00E828A4">
        <w:rPr>
          <w:rFonts w:ascii="Times New Roman" w:eastAsia="DengXian" w:hAnsi="Times New Roman" w:cs="Times New Roman"/>
          <w:sz w:val="24"/>
          <w:szCs w:val="24"/>
        </w:rPr>
        <w:t>While the</w:t>
      </w:r>
      <w:r w:rsidR="006D111A" w:rsidRPr="00202A9E">
        <w:rPr>
          <w:rFonts w:ascii="Times New Roman" w:eastAsia="DengXian" w:hAnsi="Times New Roman" w:cs="Times New Roman"/>
          <w:sz w:val="24"/>
          <w:szCs w:val="24"/>
        </w:rPr>
        <w:t xml:space="preserve"> Fig. 4</w:t>
      </w:r>
      <w:r w:rsidR="006D111A">
        <w:rPr>
          <w:rFonts w:ascii="Times New Roman" w:eastAsia="DengXian" w:hAnsi="Times New Roman" w:cs="Times New Roman"/>
          <w:sz w:val="24"/>
          <w:szCs w:val="24"/>
        </w:rPr>
        <w:t xml:space="preserve"> (main text)</w:t>
      </w:r>
      <w:r w:rsidR="006D111A" w:rsidRPr="00E828A4">
        <w:rPr>
          <w:rFonts w:ascii="Times New Roman" w:eastAsia="DengXian" w:hAnsi="Times New Roman" w:cs="Times New Roman"/>
          <w:sz w:val="24"/>
          <w:szCs w:val="24"/>
        </w:rPr>
        <w:t xml:space="preserve"> focuses on the frequency of emission causes and their Escalation Ratios (ER) between these two emitter classes, </w:t>
      </w:r>
      <w:r w:rsidR="006D111A" w:rsidRPr="00202A9E">
        <w:rPr>
          <w:rFonts w:ascii="Times New Roman" w:eastAsia="Times New Roman" w:hAnsi="Times New Roman" w:cs="Times New Roman"/>
          <w:color w:val="000000"/>
          <w:sz w:val="24"/>
          <w:szCs w:val="24"/>
          <w:lang w:eastAsia="en-US"/>
        </w:rPr>
        <w:t>Supplementary</w:t>
      </w:r>
      <w:r w:rsidR="006D111A" w:rsidRPr="00202A9E">
        <w:rPr>
          <w:rFonts w:ascii="Times New Roman" w:eastAsia="DengXian" w:hAnsi="Times New Roman" w:cs="Times New Roman"/>
          <w:sz w:val="24"/>
          <w:szCs w:val="24"/>
        </w:rPr>
        <w:t xml:space="preserve"> Fig. 7</w:t>
      </w:r>
      <w:r w:rsidR="006D111A" w:rsidRPr="00E828A4">
        <w:rPr>
          <w:rFonts w:ascii="Times New Roman" w:eastAsia="DengXian" w:hAnsi="Times New Roman" w:cs="Times New Roman"/>
          <w:sz w:val="24"/>
          <w:szCs w:val="24"/>
        </w:rPr>
        <w:t xml:space="preserve"> illustrates the percentage contribution of each category to the total mass of emissions within each emitter class (small vs. large).</w:t>
      </w:r>
      <w:r w:rsidRPr="00E828A4">
        <w:rPr>
          <w:rFonts w:ascii="Times New Roman" w:eastAsia="DengXian" w:hAnsi="Times New Roman" w:cs="Times New Roman"/>
          <w:sz w:val="24"/>
          <w:szCs w:val="24"/>
        </w:rPr>
        <w:t xml:space="preserve"> </w:t>
      </w:r>
      <w:r w:rsidR="006D111A" w:rsidRPr="00E828A4">
        <w:rPr>
          <w:rFonts w:ascii="Times New Roman" w:eastAsia="DengXian" w:hAnsi="Times New Roman" w:cs="Times New Roman"/>
          <w:sz w:val="24"/>
          <w:szCs w:val="24"/>
        </w:rPr>
        <w:t>This provides an understanding of not only the frequency of each causal category but also its relative impact on the total emissions volume for that category.</w:t>
      </w:r>
    </w:p>
    <w:p w14:paraId="03F9A4CC" w14:textId="023F1377" w:rsidR="00ED1EBD" w:rsidRPr="003E3203" w:rsidRDefault="007506DA" w:rsidP="007506DA">
      <w:pPr>
        <w:spacing w:line="240" w:lineRule="auto"/>
        <w:rPr>
          <w:rFonts w:ascii="Times New Roman" w:eastAsia="DengXian" w:hAnsi="Times New Roman" w:cs="Times New Roman"/>
          <w:sz w:val="24"/>
          <w:szCs w:val="24"/>
        </w:rPr>
      </w:pPr>
      <w:r w:rsidRPr="007506DA">
        <w:rPr>
          <w:rFonts w:ascii="Times New Roman" w:eastAsia="DengXian" w:hAnsi="Times New Roman" w:cs="Times New Roman"/>
          <w:noProof/>
          <w:sz w:val="24"/>
          <w:szCs w:val="24"/>
        </w:rPr>
        <w:lastRenderedPageBreak/>
        <w:drawing>
          <wp:inline distT="0" distB="0" distL="0" distR="0" wp14:anchorId="48DA65BE" wp14:editId="490C1E8C">
            <wp:extent cx="5943600" cy="3542030"/>
            <wp:effectExtent l="0" t="0" r="0" b="1270"/>
            <wp:docPr id="4" name="Picture 3" descr="A graph of a graph with orange and purple bars&#10;&#10;AI-generated content may be incorrect.">
              <a:extLst xmlns:a="http://schemas.openxmlformats.org/drawingml/2006/main">
                <a:ext uri="{FF2B5EF4-FFF2-40B4-BE49-F238E27FC236}">
                  <a16:creationId xmlns:a16="http://schemas.microsoft.com/office/drawing/2014/main" id="{CED967CA-C3DC-A8C1-D5B5-E2FB2D3F13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graph of a graph with orange and purple bars&#10;&#10;AI-generated content may be incorrect.">
                      <a:extLst>
                        <a:ext uri="{FF2B5EF4-FFF2-40B4-BE49-F238E27FC236}">
                          <a16:creationId xmlns:a16="http://schemas.microsoft.com/office/drawing/2014/main" id="{CED967CA-C3DC-A8C1-D5B5-E2FB2D3F13CE}"/>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943600" cy="3542030"/>
                    </a:xfrm>
                    <a:prstGeom prst="rect">
                      <a:avLst/>
                    </a:prstGeom>
                  </pic:spPr>
                </pic:pic>
              </a:graphicData>
            </a:graphic>
          </wp:inline>
        </w:drawing>
      </w:r>
    </w:p>
    <w:p w14:paraId="5F4D8584" w14:textId="6E0470B9" w:rsidR="00437A31" w:rsidRPr="003E3203" w:rsidRDefault="002D2A46" w:rsidP="00590AF6">
      <w:pPr>
        <w:spacing w:line="240" w:lineRule="auto"/>
        <w:jc w:val="both"/>
        <w:rPr>
          <w:rFonts w:ascii="Times New Roman" w:eastAsia="DengXian" w:hAnsi="Times New Roman" w:cs="Times New Roman"/>
          <w:sz w:val="24"/>
          <w:szCs w:val="24"/>
        </w:rPr>
      </w:pPr>
      <w:r>
        <w:rPr>
          <w:rFonts w:ascii="Times New Roman" w:eastAsia="Times New Roman" w:hAnsi="Times New Roman" w:cs="Times New Roman"/>
          <w:b/>
          <w:bCs/>
          <w:color w:val="000000"/>
          <w:sz w:val="24"/>
          <w:szCs w:val="24"/>
          <w:lang w:eastAsia="en-US"/>
        </w:rPr>
        <w:t>Supplementary</w:t>
      </w:r>
      <w:r w:rsidRPr="003E3203">
        <w:rPr>
          <w:rFonts w:ascii="Times New Roman" w:eastAsia="DengXian" w:hAnsi="Times New Roman" w:cs="Times New Roman"/>
          <w:b/>
          <w:bCs/>
          <w:sz w:val="24"/>
          <w:szCs w:val="24"/>
        </w:rPr>
        <w:t xml:space="preserve"> </w:t>
      </w:r>
      <w:r w:rsidR="00ED1EBD" w:rsidRPr="003E3203">
        <w:rPr>
          <w:rFonts w:ascii="Times New Roman" w:eastAsia="DengXian" w:hAnsi="Times New Roman" w:cs="Times New Roman"/>
          <w:b/>
          <w:bCs/>
          <w:sz w:val="24"/>
          <w:szCs w:val="24"/>
        </w:rPr>
        <w:t>Fi</w:t>
      </w:r>
      <w:r>
        <w:rPr>
          <w:rFonts w:ascii="Times New Roman" w:eastAsia="DengXian" w:hAnsi="Times New Roman" w:cs="Times New Roman"/>
          <w:b/>
          <w:bCs/>
          <w:sz w:val="24"/>
          <w:szCs w:val="24"/>
        </w:rPr>
        <w:t>g.</w:t>
      </w:r>
      <w:r w:rsidR="00ED1EBD" w:rsidRPr="003E3203">
        <w:rPr>
          <w:rFonts w:ascii="Times New Roman" w:eastAsia="DengXian" w:hAnsi="Times New Roman" w:cs="Times New Roman"/>
          <w:b/>
          <w:bCs/>
          <w:sz w:val="24"/>
          <w:szCs w:val="24"/>
        </w:rPr>
        <w:t xml:space="preserve"> </w:t>
      </w:r>
      <w:r w:rsidR="001F4519">
        <w:rPr>
          <w:rFonts w:ascii="Times New Roman" w:eastAsia="DengXian" w:hAnsi="Times New Roman" w:cs="Times New Roman"/>
          <w:b/>
          <w:bCs/>
          <w:sz w:val="24"/>
          <w:szCs w:val="24"/>
        </w:rPr>
        <w:t>7</w:t>
      </w:r>
      <w:r w:rsidR="00B414EA" w:rsidRPr="003E3203">
        <w:rPr>
          <w:rFonts w:ascii="Times New Roman" w:eastAsia="DengXian" w:hAnsi="Times New Roman" w:cs="Times New Roman"/>
          <w:sz w:val="24"/>
          <w:szCs w:val="24"/>
        </w:rPr>
        <w:t>.</w:t>
      </w:r>
      <w:r w:rsidR="00ED1EBD" w:rsidRPr="003E3203">
        <w:rPr>
          <w:rFonts w:ascii="Times New Roman" w:eastAsia="DengXian" w:hAnsi="Times New Roman" w:cs="Times New Roman"/>
          <w:sz w:val="24"/>
          <w:szCs w:val="24"/>
        </w:rPr>
        <w:t xml:space="preserve"> </w:t>
      </w:r>
      <w:bookmarkStart w:id="1" w:name="_Hlk204853066"/>
      <w:r w:rsidR="006D111A" w:rsidRPr="00FF52D6">
        <w:rPr>
          <w:rFonts w:ascii="Times New Roman" w:eastAsia="DengXian" w:hAnsi="Times New Roman" w:cs="Times New Roman"/>
          <w:sz w:val="24"/>
          <w:szCs w:val="24"/>
        </w:rPr>
        <w:t xml:space="preserve">Comparison of the percentage contribution to the total emission mass by </w:t>
      </w:r>
      <w:r w:rsidR="006D111A">
        <w:rPr>
          <w:rFonts w:ascii="Times New Roman" w:eastAsia="DengXian" w:hAnsi="Times New Roman" w:cs="Times New Roman"/>
          <w:sz w:val="24"/>
          <w:szCs w:val="24"/>
        </w:rPr>
        <w:t>causal category</w:t>
      </w:r>
      <w:r w:rsidR="006D111A" w:rsidRPr="00FF52D6">
        <w:rPr>
          <w:rFonts w:ascii="Times New Roman" w:eastAsia="DengXian" w:hAnsi="Times New Roman" w:cs="Times New Roman"/>
          <w:sz w:val="24"/>
          <w:szCs w:val="24"/>
        </w:rPr>
        <w:t xml:space="preserve"> for small (&lt;100 kg/h, purple bars) and large (≥100 kg/h, orange bars) emitter events.</w:t>
      </w:r>
      <w:r w:rsidR="00FF52D6" w:rsidRPr="00FF52D6">
        <w:rPr>
          <w:rFonts w:ascii="Times New Roman" w:eastAsia="DengXian" w:hAnsi="Times New Roman" w:cs="Times New Roman"/>
          <w:sz w:val="24"/>
          <w:szCs w:val="24"/>
        </w:rPr>
        <w:t xml:space="preserve"> </w:t>
      </w:r>
      <w:r w:rsidR="006D111A" w:rsidRPr="00E828A4">
        <w:rPr>
          <w:rFonts w:ascii="Times New Roman" w:eastAsia="DengXian" w:hAnsi="Times New Roman" w:cs="Times New Roman"/>
          <w:sz w:val="24"/>
          <w:szCs w:val="24"/>
        </w:rPr>
        <w:t>Each bar represents the proportion of the total emission mass attributable to a specific causal category within each emitter class.</w:t>
      </w:r>
      <w:r w:rsidR="00E828A4" w:rsidRPr="00E828A4">
        <w:rPr>
          <w:rFonts w:ascii="Times New Roman" w:eastAsia="DengXian" w:hAnsi="Times New Roman" w:cs="Times New Roman"/>
          <w:sz w:val="24"/>
          <w:szCs w:val="24"/>
        </w:rPr>
        <w:t xml:space="preserve"> This figure complements Main Text Fig.</w:t>
      </w:r>
      <w:r w:rsidR="009A3239">
        <w:rPr>
          <w:rFonts w:ascii="Times New Roman" w:eastAsia="DengXian" w:hAnsi="Times New Roman" w:cs="Times New Roman"/>
          <w:sz w:val="24"/>
          <w:szCs w:val="24"/>
        </w:rPr>
        <w:t xml:space="preserve"> </w:t>
      </w:r>
      <w:r w:rsidR="00E828A4" w:rsidRPr="00E828A4">
        <w:rPr>
          <w:rFonts w:ascii="Times New Roman" w:eastAsia="DengXian" w:hAnsi="Times New Roman" w:cs="Times New Roman"/>
          <w:sz w:val="24"/>
          <w:szCs w:val="24"/>
        </w:rPr>
        <w:t>3, which presents the frequency distribution and Escalation Ratios.</w:t>
      </w:r>
      <w:bookmarkEnd w:id="1"/>
    </w:p>
    <w:p w14:paraId="131EACCB" w14:textId="77777777" w:rsidR="00590AF6" w:rsidRPr="003E3203" w:rsidRDefault="00590AF6" w:rsidP="00590AF6">
      <w:pPr>
        <w:spacing w:line="240" w:lineRule="auto"/>
        <w:jc w:val="both"/>
        <w:rPr>
          <w:rFonts w:ascii="Times New Roman" w:eastAsia="DengXian" w:hAnsi="Times New Roman" w:cs="Times New Roman"/>
          <w:sz w:val="24"/>
          <w:szCs w:val="24"/>
        </w:rPr>
      </w:pPr>
    </w:p>
    <w:p w14:paraId="64A92263" w14:textId="7E86944D" w:rsidR="00F72218" w:rsidRDefault="001E5423" w:rsidP="0094076F">
      <w:pPr>
        <w:spacing w:line="480" w:lineRule="auto"/>
        <w:ind w:firstLine="720"/>
        <w:jc w:val="both"/>
        <w:rPr>
          <w:rFonts w:ascii="Times New Roman" w:eastAsia="DengXian" w:hAnsi="Times New Roman" w:cs="Times New Roman"/>
          <w:sz w:val="24"/>
          <w:szCs w:val="24"/>
        </w:rPr>
      </w:pPr>
      <w:r w:rsidRPr="00E828A4">
        <w:rPr>
          <w:rFonts w:ascii="Times New Roman" w:eastAsia="DengXian" w:hAnsi="Times New Roman" w:cs="Times New Roman"/>
          <w:sz w:val="24"/>
          <w:szCs w:val="24"/>
        </w:rPr>
        <w:t xml:space="preserve">To complement the frequency-based analysis in the main </w:t>
      </w:r>
      <w:r w:rsidR="00C55AEE" w:rsidRPr="00E828A4">
        <w:rPr>
          <w:rFonts w:ascii="Times New Roman" w:eastAsia="DengXian" w:hAnsi="Times New Roman" w:cs="Times New Roman"/>
          <w:sz w:val="24"/>
          <w:szCs w:val="24"/>
        </w:rPr>
        <w:t>text</w:t>
      </w:r>
      <w:r w:rsidRPr="00E828A4">
        <w:rPr>
          <w:rFonts w:ascii="Times New Roman" w:eastAsia="DengXian" w:hAnsi="Times New Roman" w:cs="Times New Roman"/>
          <w:sz w:val="24"/>
          <w:szCs w:val="24"/>
        </w:rPr>
        <w:t xml:space="preserve">, </w:t>
      </w:r>
      <w:r w:rsidR="002D2A46" w:rsidRPr="00202A9E">
        <w:rPr>
          <w:rFonts w:ascii="Times New Roman" w:eastAsia="Times New Roman" w:hAnsi="Times New Roman" w:cs="Times New Roman"/>
          <w:color w:val="000000"/>
          <w:sz w:val="24"/>
          <w:szCs w:val="24"/>
          <w:lang w:eastAsia="en-US"/>
        </w:rPr>
        <w:t>Supplementary</w:t>
      </w:r>
      <w:r w:rsidR="002D2A46" w:rsidRPr="00202A9E">
        <w:rPr>
          <w:rFonts w:ascii="Times New Roman" w:eastAsia="DengXian" w:hAnsi="Times New Roman" w:cs="Times New Roman"/>
          <w:sz w:val="24"/>
          <w:szCs w:val="24"/>
        </w:rPr>
        <w:t xml:space="preserve"> </w:t>
      </w:r>
      <w:r w:rsidRPr="00202A9E">
        <w:rPr>
          <w:rFonts w:ascii="Times New Roman" w:eastAsia="DengXian" w:hAnsi="Times New Roman" w:cs="Times New Roman"/>
          <w:sz w:val="24"/>
          <w:szCs w:val="24"/>
        </w:rPr>
        <w:t>Fig</w:t>
      </w:r>
      <w:r w:rsidR="002D2A46" w:rsidRPr="00202A9E">
        <w:rPr>
          <w:rFonts w:ascii="Times New Roman" w:eastAsia="DengXian" w:hAnsi="Times New Roman" w:cs="Times New Roman"/>
          <w:sz w:val="24"/>
          <w:szCs w:val="24"/>
        </w:rPr>
        <w:t>.</w:t>
      </w:r>
      <w:r w:rsidRPr="00202A9E">
        <w:rPr>
          <w:rFonts w:ascii="Times New Roman" w:eastAsia="DengXian" w:hAnsi="Times New Roman" w:cs="Times New Roman"/>
          <w:sz w:val="24"/>
          <w:szCs w:val="24"/>
        </w:rPr>
        <w:t xml:space="preserve"> </w:t>
      </w:r>
      <w:r w:rsidR="0094777D" w:rsidRPr="00202A9E">
        <w:rPr>
          <w:rFonts w:ascii="Times New Roman" w:eastAsia="DengXian" w:hAnsi="Times New Roman" w:cs="Times New Roman"/>
          <w:sz w:val="24"/>
          <w:szCs w:val="24"/>
        </w:rPr>
        <w:t>7</w:t>
      </w:r>
      <w:r w:rsidRPr="00E828A4">
        <w:rPr>
          <w:rFonts w:ascii="Times New Roman" w:eastAsia="DengXian" w:hAnsi="Times New Roman" w:cs="Times New Roman"/>
          <w:sz w:val="24"/>
          <w:szCs w:val="24"/>
        </w:rPr>
        <w:t xml:space="preserve"> compares the proportional contributions of different </w:t>
      </w:r>
      <w:r w:rsidR="00301CF0" w:rsidRPr="00E828A4">
        <w:rPr>
          <w:rFonts w:ascii="Times New Roman" w:eastAsia="DengXian" w:hAnsi="Times New Roman" w:cs="Times New Roman"/>
          <w:sz w:val="24"/>
          <w:szCs w:val="24"/>
        </w:rPr>
        <w:t>causal categories</w:t>
      </w:r>
      <w:r w:rsidRPr="00E828A4">
        <w:rPr>
          <w:rFonts w:ascii="Times New Roman" w:eastAsia="DengXian" w:hAnsi="Times New Roman" w:cs="Times New Roman"/>
          <w:sz w:val="24"/>
          <w:szCs w:val="24"/>
        </w:rPr>
        <w:t xml:space="preserve"> to total methane emissions, separated by emitter size class. This highlights how certain </w:t>
      </w:r>
      <w:r w:rsidR="00B01781" w:rsidRPr="00E828A4">
        <w:rPr>
          <w:rFonts w:ascii="Times New Roman" w:eastAsia="DengXian" w:hAnsi="Times New Roman" w:cs="Times New Roman"/>
          <w:sz w:val="24"/>
          <w:szCs w:val="24"/>
        </w:rPr>
        <w:t>emission cause</w:t>
      </w:r>
      <w:r w:rsidRPr="00E828A4">
        <w:rPr>
          <w:rFonts w:ascii="Times New Roman" w:eastAsia="DengXian" w:hAnsi="Times New Roman" w:cs="Times New Roman"/>
          <w:sz w:val="24"/>
          <w:szCs w:val="24"/>
        </w:rPr>
        <w:t xml:space="preserve"> dominate by their contribution to overall emissions volume. </w:t>
      </w:r>
      <w:r w:rsidR="00135772" w:rsidRPr="00E828A4">
        <w:rPr>
          <w:rFonts w:ascii="Times New Roman" w:eastAsia="DengXian" w:hAnsi="Times New Roman" w:cs="Times New Roman"/>
          <w:sz w:val="24"/>
          <w:szCs w:val="24"/>
        </w:rPr>
        <w:t>For example</w:t>
      </w:r>
      <w:r w:rsidRPr="00E828A4">
        <w:rPr>
          <w:rFonts w:ascii="Times New Roman" w:eastAsia="DengXian" w:hAnsi="Times New Roman" w:cs="Times New Roman"/>
          <w:sz w:val="24"/>
          <w:szCs w:val="24"/>
        </w:rPr>
        <w:t xml:space="preserve">, </w:t>
      </w:r>
      <w:r w:rsidR="00337F85" w:rsidRPr="00E828A4">
        <w:rPr>
          <w:rFonts w:ascii="Times New Roman" w:eastAsia="DengXian" w:hAnsi="Times New Roman" w:cs="Times New Roman"/>
          <w:sz w:val="24"/>
          <w:szCs w:val="24"/>
        </w:rPr>
        <w:t>tank emissions</w:t>
      </w:r>
      <w:r w:rsidRPr="00E828A4">
        <w:rPr>
          <w:rFonts w:ascii="Times New Roman" w:eastAsia="DengXian" w:hAnsi="Times New Roman" w:cs="Times New Roman"/>
          <w:sz w:val="24"/>
          <w:szCs w:val="24"/>
        </w:rPr>
        <w:t xml:space="preserve"> </w:t>
      </w:r>
      <w:r w:rsidR="002F3540" w:rsidRPr="00E828A4">
        <w:rPr>
          <w:rFonts w:ascii="Times New Roman" w:eastAsia="DengXian" w:hAnsi="Times New Roman" w:cs="Times New Roman"/>
          <w:sz w:val="24"/>
          <w:szCs w:val="24"/>
        </w:rPr>
        <w:t>contribute sig</w:t>
      </w:r>
      <w:r w:rsidR="00470AD1">
        <w:rPr>
          <w:rFonts w:ascii="Times New Roman" w:eastAsia="DengXian" w:hAnsi="Times New Roman" w:cs="Times New Roman"/>
          <w:sz w:val="24"/>
          <w:szCs w:val="24"/>
        </w:rPr>
        <w:t>s</w:t>
      </w:r>
      <w:r w:rsidR="002F3540" w:rsidRPr="00E828A4">
        <w:rPr>
          <w:rFonts w:ascii="Times New Roman" w:eastAsia="DengXian" w:hAnsi="Times New Roman" w:cs="Times New Roman"/>
          <w:sz w:val="24"/>
          <w:szCs w:val="24"/>
        </w:rPr>
        <w:t>nificantly to the emissions mass in both small emitter events, 36%</w:t>
      </w:r>
      <w:r w:rsidR="00377B11" w:rsidRPr="00E828A4">
        <w:rPr>
          <w:rFonts w:ascii="Times New Roman" w:eastAsia="DengXian" w:hAnsi="Times New Roman" w:cs="Times New Roman"/>
          <w:sz w:val="24"/>
          <w:szCs w:val="24"/>
        </w:rPr>
        <w:t>, and</w:t>
      </w:r>
      <w:r w:rsidR="002F3540" w:rsidRPr="00E828A4">
        <w:rPr>
          <w:rFonts w:ascii="Times New Roman" w:eastAsia="DengXian" w:hAnsi="Times New Roman" w:cs="Times New Roman"/>
          <w:sz w:val="24"/>
          <w:szCs w:val="24"/>
        </w:rPr>
        <w:t xml:space="preserve"> large emitter events by 50%, highlighting their overall high impact regardless of the individual event magnitude class.</w:t>
      </w:r>
      <w:r w:rsidRPr="00E828A4">
        <w:rPr>
          <w:rFonts w:ascii="Times New Roman" w:eastAsia="DengXian" w:hAnsi="Times New Roman" w:cs="Times New Roman"/>
          <w:sz w:val="24"/>
          <w:szCs w:val="24"/>
        </w:rPr>
        <w:t xml:space="preserve"> Well </w:t>
      </w:r>
      <w:r w:rsidR="00C80B06" w:rsidRPr="00E828A4">
        <w:rPr>
          <w:rFonts w:ascii="Times New Roman" w:eastAsia="DengXian" w:hAnsi="Times New Roman" w:cs="Times New Roman"/>
          <w:sz w:val="24"/>
          <w:szCs w:val="24"/>
        </w:rPr>
        <w:t>u</w:t>
      </w:r>
      <w:r w:rsidRPr="00E828A4">
        <w:rPr>
          <w:rFonts w:ascii="Times New Roman" w:eastAsia="DengXian" w:hAnsi="Times New Roman" w:cs="Times New Roman"/>
          <w:sz w:val="24"/>
          <w:szCs w:val="24"/>
        </w:rPr>
        <w:t xml:space="preserve">nloading </w:t>
      </w:r>
      <w:r w:rsidR="00C80B06" w:rsidRPr="00E828A4">
        <w:rPr>
          <w:rFonts w:ascii="Times New Roman" w:eastAsia="DengXian" w:hAnsi="Times New Roman" w:cs="Times New Roman"/>
          <w:sz w:val="24"/>
          <w:szCs w:val="24"/>
        </w:rPr>
        <w:t xml:space="preserve">events may be less frequent among small emitters as shown in </w:t>
      </w:r>
      <w:r w:rsidR="00C80B06" w:rsidRPr="00202A9E">
        <w:rPr>
          <w:rFonts w:ascii="Times New Roman" w:eastAsia="DengXian" w:hAnsi="Times New Roman" w:cs="Times New Roman"/>
          <w:sz w:val="24"/>
          <w:szCs w:val="24"/>
        </w:rPr>
        <w:t>Fig</w:t>
      </w:r>
      <w:r w:rsidR="002D2A46" w:rsidRPr="00202A9E">
        <w:rPr>
          <w:rFonts w:ascii="Times New Roman" w:eastAsia="DengXian" w:hAnsi="Times New Roman" w:cs="Times New Roman"/>
          <w:sz w:val="24"/>
          <w:szCs w:val="24"/>
        </w:rPr>
        <w:t>.</w:t>
      </w:r>
      <w:r w:rsidR="00C80B06" w:rsidRPr="00202A9E">
        <w:rPr>
          <w:rFonts w:ascii="Times New Roman" w:eastAsia="DengXian" w:hAnsi="Times New Roman" w:cs="Times New Roman"/>
          <w:sz w:val="24"/>
          <w:szCs w:val="24"/>
        </w:rPr>
        <w:t xml:space="preserve"> 3</w:t>
      </w:r>
      <w:r w:rsidR="006D111A">
        <w:rPr>
          <w:rFonts w:ascii="Times New Roman" w:eastAsia="DengXian" w:hAnsi="Times New Roman" w:cs="Times New Roman"/>
          <w:sz w:val="24"/>
          <w:szCs w:val="24"/>
        </w:rPr>
        <w:t xml:space="preserve"> (main text)</w:t>
      </w:r>
      <w:r w:rsidR="00C80B06" w:rsidRPr="00E828A4">
        <w:rPr>
          <w:rFonts w:ascii="Times New Roman" w:eastAsia="DengXian" w:hAnsi="Times New Roman" w:cs="Times New Roman"/>
          <w:sz w:val="24"/>
          <w:szCs w:val="24"/>
        </w:rPr>
        <w:t xml:space="preserve">, </w:t>
      </w:r>
      <w:r w:rsidR="002D2A46" w:rsidRPr="00202A9E">
        <w:rPr>
          <w:rFonts w:ascii="Times New Roman" w:eastAsia="Times New Roman" w:hAnsi="Times New Roman" w:cs="Times New Roman"/>
          <w:color w:val="000000"/>
          <w:sz w:val="24"/>
          <w:szCs w:val="24"/>
          <w:lang w:eastAsia="en-US"/>
        </w:rPr>
        <w:t>Supplementary</w:t>
      </w:r>
      <w:r w:rsidR="002D2A46" w:rsidRPr="00202A9E">
        <w:rPr>
          <w:rFonts w:ascii="Times New Roman" w:eastAsia="DengXian" w:hAnsi="Times New Roman" w:cs="Times New Roman"/>
          <w:sz w:val="24"/>
          <w:szCs w:val="24"/>
        </w:rPr>
        <w:t xml:space="preserve"> </w:t>
      </w:r>
      <w:r w:rsidR="00C80B06" w:rsidRPr="00202A9E">
        <w:rPr>
          <w:rFonts w:ascii="Times New Roman" w:eastAsia="DengXian" w:hAnsi="Times New Roman" w:cs="Times New Roman"/>
          <w:sz w:val="24"/>
          <w:szCs w:val="24"/>
        </w:rPr>
        <w:t>Fig</w:t>
      </w:r>
      <w:r w:rsidR="002D2A46" w:rsidRPr="00202A9E">
        <w:rPr>
          <w:rFonts w:ascii="Times New Roman" w:eastAsia="DengXian" w:hAnsi="Times New Roman" w:cs="Times New Roman"/>
          <w:sz w:val="24"/>
          <w:szCs w:val="24"/>
        </w:rPr>
        <w:t>.</w:t>
      </w:r>
      <w:r w:rsidR="00C80B06" w:rsidRPr="00202A9E">
        <w:rPr>
          <w:rFonts w:ascii="Times New Roman" w:eastAsia="DengXian" w:hAnsi="Times New Roman" w:cs="Times New Roman"/>
          <w:sz w:val="24"/>
          <w:szCs w:val="24"/>
        </w:rPr>
        <w:t xml:space="preserve"> </w:t>
      </w:r>
      <w:r w:rsidR="0094777D" w:rsidRPr="00202A9E">
        <w:rPr>
          <w:rFonts w:ascii="Times New Roman" w:eastAsia="DengXian" w:hAnsi="Times New Roman" w:cs="Times New Roman"/>
          <w:sz w:val="24"/>
          <w:szCs w:val="24"/>
        </w:rPr>
        <w:t>7</w:t>
      </w:r>
      <w:r w:rsidR="00C80B06" w:rsidRPr="00E828A4">
        <w:rPr>
          <w:rFonts w:ascii="Times New Roman" w:eastAsia="DengXian" w:hAnsi="Times New Roman" w:cs="Times New Roman"/>
          <w:sz w:val="24"/>
          <w:szCs w:val="24"/>
        </w:rPr>
        <w:t xml:space="preserve"> indicates their substantial contribution to the emissions mass when they do occur in the large emitter class</w:t>
      </w:r>
      <w:r w:rsidRPr="00E828A4">
        <w:rPr>
          <w:rFonts w:ascii="Times New Roman" w:eastAsia="DengXian" w:hAnsi="Times New Roman" w:cs="Times New Roman"/>
          <w:sz w:val="24"/>
          <w:szCs w:val="24"/>
        </w:rPr>
        <w:t xml:space="preserve">. </w:t>
      </w:r>
      <w:r w:rsidR="006D111A" w:rsidRPr="00E828A4">
        <w:rPr>
          <w:rFonts w:ascii="Times New Roman" w:eastAsia="DengXian" w:hAnsi="Times New Roman" w:cs="Times New Roman"/>
          <w:sz w:val="24"/>
          <w:szCs w:val="24"/>
        </w:rPr>
        <w:t>Conversely, mechanical failures and incorrect valve positioning</w:t>
      </w:r>
      <w:r w:rsidR="006D111A" w:rsidRPr="003E3203">
        <w:rPr>
          <w:rFonts w:ascii="Times New Roman" w:eastAsia="DengXian" w:hAnsi="Times New Roman" w:cs="Times New Roman"/>
          <w:sz w:val="24"/>
          <w:szCs w:val="24"/>
        </w:rPr>
        <w:t xml:space="preserve"> </w:t>
      </w:r>
      <w:r w:rsidR="006D111A" w:rsidRPr="003E3203">
        <w:rPr>
          <w:rFonts w:ascii="Times New Roman" w:eastAsia="DengXian" w:hAnsi="Times New Roman" w:cs="Times New Roman"/>
          <w:sz w:val="24"/>
          <w:szCs w:val="24"/>
        </w:rPr>
        <w:lastRenderedPageBreak/>
        <w:t xml:space="preserve">were more prominent </w:t>
      </w:r>
      <w:r w:rsidR="006D111A" w:rsidRPr="0094076F">
        <w:rPr>
          <w:rFonts w:ascii="Times New Roman" w:eastAsia="DengXian" w:hAnsi="Times New Roman" w:cs="Times New Roman"/>
          <w:sz w:val="24"/>
          <w:szCs w:val="24"/>
        </w:rPr>
        <w:t>contribu</w:t>
      </w:r>
      <w:r w:rsidR="006D111A">
        <w:rPr>
          <w:rFonts w:ascii="Times New Roman" w:eastAsia="DengXian" w:hAnsi="Times New Roman" w:cs="Times New Roman"/>
          <w:sz w:val="24"/>
          <w:szCs w:val="24"/>
        </w:rPr>
        <w:t>tors</w:t>
      </w:r>
      <w:r w:rsidR="006D111A" w:rsidRPr="0094076F">
        <w:rPr>
          <w:rFonts w:ascii="Times New Roman" w:eastAsia="DengXian" w:hAnsi="Times New Roman" w:cs="Times New Roman"/>
          <w:sz w:val="24"/>
          <w:szCs w:val="24"/>
        </w:rPr>
        <w:t xml:space="preserve"> to the emission</w:t>
      </w:r>
      <w:r w:rsidR="006D111A">
        <w:rPr>
          <w:rFonts w:ascii="Times New Roman" w:eastAsia="DengXian" w:hAnsi="Times New Roman" w:cs="Times New Roman"/>
          <w:sz w:val="24"/>
          <w:szCs w:val="24"/>
        </w:rPr>
        <w:t xml:space="preserve"> </w:t>
      </w:r>
      <w:r w:rsidR="006D111A" w:rsidRPr="0094076F">
        <w:rPr>
          <w:rFonts w:ascii="Times New Roman" w:eastAsia="DengXian" w:hAnsi="Times New Roman" w:cs="Times New Roman"/>
          <w:sz w:val="24"/>
          <w:szCs w:val="24"/>
        </w:rPr>
        <w:t xml:space="preserve">mass of small emitters than to that of large emitters, which is consistent with their lower </w:t>
      </w:r>
      <w:r w:rsidR="006D111A">
        <w:rPr>
          <w:rFonts w:ascii="Times New Roman" w:eastAsia="DengXian" w:hAnsi="Times New Roman" w:cs="Times New Roman"/>
          <w:sz w:val="24"/>
          <w:szCs w:val="24"/>
        </w:rPr>
        <w:t>ER frequency</w:t>
      </w:r>
      <w:r w:rsidR="006D111A" w:rsidRPr="0094076F">
        <w:rPr>
          <w:rFonts w:ascii="Times New Roman" w:eastAsia="DengXian" w:hAnsi="Times New Roman" w:cs="Times New Roman"/>
          <w:sz w:val="24"/>
          <w:szCs w:val="24"/>
        </w:rPr>
        <w:t>.</w:t>
      </w:r>
    </w:p>
    <w:p w14:paraId="00EF39C7" w14:textId="77777777" w:rsidR="0083113B" w:rsidRDefault="0083113B" w:rsidP="0094076F">
      <w:pPr>
        <w:spacing w:line="480" w:lineRule="auto"/>
        <w:ind w:firstLine="720"/>
        <w:jc w:val="both"/>
        <w:rPr>
          <w:rFonts w:ascii="Times New Roman" w:eastAsia="DengXian" w:hAnsi="Times New Roman" w:cs="Times New Roman"/>
          <w:sz w:val="24"/>
          <w:szCs w:val="24"/>
        </w:rPr>
      </w:pPr>
    </w:p>
    <w:p w14:paraId="2B6590AB" w14:textId="77777777" w:rsidR="0083113B" w:rsidRDefault="0083113B" w:rsidP="0094076F">
      <w:pPr>
        <w:spacing w:line="480" w:lineRule="auto"/>
        <w:ind w:firstLine="720"/>
        <w:jc w:val="both"/>
        <w:rPr>
          <w:rFonts w:ascii="Times New Roman" w:eastAsia="DengXian" w:hAnsi="Times New Roman" w:cs="Times New Roman"/>
          <w:sz w:val="24"/>
          <w:szCs w:val="24"/>
        </w:rPr>
      </w:pPr>
    </w:p>
    <w:p w14:paraId="2B7D7C0F" w14:textId="77777777" w:rsidR="0083113B" w:rsidRDefault="0083113B" w:rsidP="0094076F">
      <w:pPr>
        <w:spacing w:line="480" w:lineRule="auto"/>
        <w:ind w:firstLine="720"/>
        <w:jc w:val="both"/>
        <w:rPr>
          <w:rFonts w:ascii="Times New Roman" w:eastAsia="DengXian" w:hAnsi="Times New Roman" w:cs="Times New Roman"/>
          <w:sz w:val="24"/>
          <w:szCs w:val="24"/>
        </w:rPr>
      </w:pPr>
    </w:p>
    <w:p w14:paraId="658AA5D1" w14:textId="77777777" w:rsidR="0083113B" w:rsidRDefault="0083113B" w:rsidP="0094076F">
      <w:pPr>
        <w:spacing w:line="480" w:lineRule="auto"/>
        <w:ind w:firstLine="720"/>
        <w:jc w:val="both"/>
        <w:rPr>
          <w:rFonts w:ascii="Times New Roman" w:eastAsia="DengXian" w:hAnsi="Times New Roman" w:cs="Times New Roman"/>
          <w:sz w:val="24"/>
          <w:szCs w:val="24"/>
        </w:rPr>
      </w:pPr>
    </w:p>
    <w:p w14:paraId="4AC0AA3A" w14:textId="77777777" w:rsidR="00633E09" w:rsidRDefault="00633E09" w:rsidP="0094076F">
      <w:pPr>
        <w:spacing w:line="480" w:lineRule="auto"/>
        <w:ind w:firstLine="720"/>
        <w:jc w:val="both"/>
        <w:rPr>
          <w:rFonts w:ascii="Times New Roman" w:eastAsia="DengXian" w:hAnsi="Times New Roman" w:cs="Times New Roman"/>
          <w:sz w:val="24"/>
          <w:szCs w:val="24"/>
        </w:rPr>
      </w:pPr>
    </w:p>
    <w:p w14:paraId="1D6784BD" w14:textId="77777777" w:rsidR="00633E09" w:rsidRDefault="00633E09" w:rsidP="0094076F">
      <w:pPr>
        <w:spacing w:line="480" w:lineRule="auto"/>
        <w:ind w:firstLine="720"/>
        <w:jc w:val="both"/>
        <w:rPr>
          <w:rFonts w:ascii="Times New Roman" w:eastAsia="DengXian" w:hAnsi="Times New Roman" w:cs="Times New Roman"/>
          <w:sz w:val="24"/>
          <w:szCs w:val="24"/>
        </w:rPr>
      </w:pPr>
    </w:p>
    <w:p w14:paraId="6046AF3D" w14:textId="77777777" w:rsidR="00633E09" w:rsidRDefault="00633E09" w:rsidP="0094076F">
      <w:pPr>
        <w:spacing w:line="480" w:lineRule="auto"/>
        <w:ind w:firstLine="720"/>
        <w:jc w:val="both"/>
        <w:rPr>
          <w:rFonts w:ascii="Times New Roman" w:eastAsia="DengXian" w:hAnsi="Times New Roman" w:cs="Times New Roman"/>
          <w:sz w:val="24"/>
          <w:szCs w:val="24"/>
        </w:rPr>
      </w:pPr>
    </w:p>
    <w:p w14:paraId="4E8ADECB" w14:textId="77777777" w:rsidR="00633E09" w:rsidRDefault="00633E09" w:rsidP="0094076F">
      <w:pPr>
        <w:spacing w:line="480" w:lineRule="auto"/>
        <w:ind w:firstLine="720"/>
        <w:jc w:val="both"/>
        <w:rPr>
          <w:rFonts w:ascii="Times New Roman" w:eastAsia="DengXian" w:hAnsi="Times New Roman" w:cs="Times New Roman"/>
          <w:sz w:val="24"/>
          <w:szCs w:val="24"/>
        </w:rPr>
      </w:pPr>
    </w:p>
    <w:p w14:paraId="0F5C0457" w14:textId="77777777" w:rsidR="00EA2102" w:rsidRDefault="00EA2102" w:rsidP="0094076F">
      <w:pPr>
        <w:spacing w:line="480" w:lineRule="auto"/>
        <w:ind w:firstLine="720"/>
        <w:jc w:val="both"/>
        <w:rPr>
          <w:rFonts w:ascii="Times New Roman" w:eastAsia="DengXian" w:hAnsi="Times New Roman" w:cs="Times New Roman"/>
          <w:sz w:val="24"/>
          <w:szCs w:val="24"/>
        </w:rPr>
      </w:pPr>
    </w:p>
    <w:p w14:paraId="40F8354D" w14:textId="77777777" w:rsidR="00EA2102" w:rsidRDefault="00EA2102" w:rsidP="0094076F">
      <w:pPr>
        <w:spacing w:line="480" w:lineRule="auto"/>
        <w:ind w:firstLine="720"/>
        <w:jc w:val="both"/>
        <w:rPr>
          <w:rFonts w:ascii="Times New Roman" w:eastAsia="DengXian" w:hAnsi="Times New Roman" w:cs="Times New Roman"/>
          <w:sz w:val="24"/>
          <w:szCs w:val="24"/>
        </w:rPr>
      </w:pPr>
    </w:p>
    <w:p w14:paraId="5C04F088" w14:textId="77777777" w:rsidR="00EA2102" w:rsidRDefault="00EA2102" w:rsidP="0094076F">
      <w:pPr>
        <w:spacing w:line="480" w:lineRule="auto"/>
        <w:ind w:firstLine="720"/>
        <w:jc w:val="both"/>
        <w:rPr>
          <w:rFonts w:ascii="Times New Roman" w:eastAsia="DengXian" w:hAnsi="Times New Roman" w:cs="Times New Roman"/>
          <w:sz w:val="24"/>
          <w:szCs w:val="24"/>
        </w:rPr>
      </w:pPr>
    </w:p>
    <w:p w14:paraId="51592B10" w14:textId="77777777" w:rsidR="00C55AEE" w:rsidRDefault="00C55AEE" w:rsidP="0094076F">
      <w:pPr>
        <w:spacing w:line="480" w:lineRule="auto"/>
        <w:ind w:firstLine="720"/>
        <w:jc w:val="both"/>
        <w:rPr>
          <w:rFonts w:ascii="Times New Roman" w:eastAsia="DengXian" w:hAnsi="Times New Roman" w:cs="Times New Roman"/>
          <w:sz w:val="24"/>
          <w:szCs w:val="24"/>
        </w:rPr>
      </w:pPr>
    </w:p>
    <w:p w14:paraId="20EE4E5F" w14:textId="77777777" w:rsidR="00C55AEE" w:rsidRDefault="00C55AEE" w:rsidP="0094076F">
      <w:pPr>
        <w:spacing w:line="480" w:lineRule="auto"/>
        <w:ind w:firstLine="720"/>
        <w:jc w:val="both"/>
        <w:rPr>
          <w:rFonts w:ascii="Times New Roman" w:eastAsia="DengXian" w:hAnsi="Times New Roman" w:cs="Times New Roman"/>
          <w:sz w:val="24"/>
          <w:szCs w:val="24"/>
        </w:rPr>
      </w:pPr>
    </w:p>
    <w:p w14:paraId="5045A343" w14:textId="77777777" w:rsidR="00C55AEE" w:rsidRDefault="00C55AEE" w:rsidP="0094076F">
      <w:pPr>
        <w:spacing w:line="480" w:lineRule="auto"/>
        <w:ind w:firstLine="720"/>
        <w:jc w:val="both"/>
        <w:rPr>
          <w:rFonts w:ascii="Times New Roman" w:eastAsia="DengXian" w:hAnsi="Times New Roman" w:cs="Times New Roman"/>
          <w:sz w:val="24"/>
          <w:szCs w:val="24"/>
        </w:rPr>
      </w:pPr>
    </w:p>
    <w:p w14:paraId="235252FF" w14:textId="77777777" w:rsidR="00C55AEE" w:rsidRDefault="00C55AEE" w:rsidP="0094076F">
      <w:pPr>
        <w:spacing w:line="480" w:lineRule="auto"/>
        <w:ind w:firstLine="720"/>
        <w:jc w:val="both"/>
        <w:rPr>
          <w:rFonts w:ascii="Times New Roman" w:eastAsia="DengXian" w:hAnsi="Times New Roman" w:cs="Times New Roman"/>
          <w:sz w:val="24"/>
          <w:szCs w:val="24"/>
        </w:rPr>
      </w:pPr>
    </w:p>
    <w:p w14:paraId="0A241DF1" w14:textId="1CD81E4A" w:rsidR="0083113B" w:rsidRDefault="00CE1503" w:rsidP="0083113B">
      <w:pPr>
        <w:pStyle w:val="Heading1"/>
        <w:spacing w:line="480" w:lineRule="auto"/>
        <w:jc w:val="both"/>
        <w:rPr>
          <w:rFonts w:ascii="Times New Roman" w:hAnsi="Times New Roman" w:cs="Times New Roman"/>
          <w:b/>
          <w:color w:val="auto"/>
          <w:sz w:val="28"/>
          <w:szCs w:val="28"/>
        </w:rPr>
      </w:pPr>
      <w:r w:rsidRPr="00DA5AF7">
        <w:rPr>
          <w:rFonts w:ascii="Times New Roman" w:hAnsi="Times New Roman" w:cs="Times New Roman"/>
          <w:b/>
          <w:color w:val="auto"/>
          <w:sz w:val="28"/>
          <w:szCs w:val="28"/>
        </w:rPr>
        <w:lastRenderedPageBreak/>
        <w:t>R</w:t>
      </w:r>
      <w:r>
        <w:rPr>
          <w:rFonts w:ascii="Times New Roman" w:hAnsi="Times New Roman" w:cs="Times New Roman"/>
          <w:b/>
          <w:color w:val="auto"/>
          <w:sz w:val="28"/>
          <w:szCs w:val="28"/>
        </w:rPr>
        <w:t>eferences</w:t>
      </w:r>
    </w:p>
    <w:p w14:paraId="6BBD4C41" w14:textId="77777777" w:rsidR="0083113B" w:rsidRDefault="0083113B" w:rsidP="0083113B"/>
    <w:p w14:paraId="2F8A95DC" w14:textId="77777777" w:rsidR="00C30A69" w:rsidRPr="00C30A69" w:rsidRDefault="00964415" w:rsidP="00C30A69">
      <w:pPr>
        <w:pStyle w:val="Bibliography"/>
        <w:rPr>
          <w:rFonts w:ascii="Calibri" w:hAnsi="Calibri" w:cs="Calibri"/>
        </w:rPr>
      </w:pPr>
      <w:r>
        <w:fldChar w:fldCharType="begin"/>
      </w:r>
      <w:r w:rsidR="00C30A69">
        <w:instrText xml:space="preserve"> ADDIN ZOTERO_BIBL {"uncited":[],"omitted":[],"custom":[]} CSL_BIBLIOGRAPHY </w:instrText>
      </w:r>
      <w:r>
        <w:fldChar w:fldCharType="separate"/>
      </w:r>
      <w:r w:rsidR="00C30A69" w:rsidRPr="00C30A69">
        <w:rPr>
          <w:rFonts w:ascii="Calibri" w:hAnsi="Calibri" w:cs="Calibri"/>
        </w:rPr>
        <w:t>1.</w:t>
      </w:r>
      <w:r w:rsidR="00C30A69" w:rsidRPr="00C30A69">
        <w:rPr>
          <w:rFonts w:ascii="Calibri" w:hAnsi="Calibri" w:cs="Calibri"/>
        </w:rPr>
        <w:tab/>
        <w:t xml:space="preserve">Cadwallader, L. C. Selected Component Failure Rate Values From Fusion Safety Assessments Taks. </w:t>
      </w:r>
      <w:r w:rsidR="00C30A69" w:rsidRPr="00C30A69">
        <w:rPr>
          <w:rFonts w:ascii="Calibri" w:hAnsi="Calibri" w:cs="Calibri"/>
          <w:i/>
          <w:iCs/>
        </w:rPr>
        <w:t>Ida. Natl. Eng. Environ. Lab.</w:t>
      </w:r>
      <w:r w:rsidR="00C30A69" w:rsidRPr="00C30A69">
        <w:rPr>
          <w:rFonts w:ascii="Calibri" w:hAnsi="Calibri" w:cs="Calibri"/>
        </w:rPr>
        <w:t xml:space="preserve"> </w:t>
      </w:r>
      <w:r w:rsidR="00C30A69" w:rsidRPr="00C30A69">
        <w:rPr>
          <w:rFonts w:ascii="Calibri" w:hAnsi="Calibri" w:cs="Calibri"/>
          <w:b/>
          <w:bCs/>
        </w:rPr>
        <w:t>INEEL/EXT-98-00892</w:t>
      </w:r>
      <w:r w:rsidR="00C30A69" w:rsidRPr="00C30A69">
        <w:rPr>
          <w:rFonts w:ascii="Calibri" w:hAnsi="Calibri" w:cs="Calibri"/>
        </w:rPr>
        <w:t>, (1998).</w:t>
      </w:r>
    </w:p>
    <w:p w14:paraId="72A3E067" w14:textId="77777777" w:rsidR="00C30A69" w:rsidRPr="00C30A69" w:rsidRDefault="00C30A69" w:rsidP="00C30A69">
      <w:pPr>
        <w:pStyle w:val="Bibliography"/>
        <w:rPr>
          <w:rFonts w:ascii="Calibri" w:hAnsi="Calibri" w:cs="Calibri"/>
        </w:rPr>
      </w:pPr>
      <w:r w:rsidRPr="00C30A69">
        <w:rPr>
          <w:rFonts w:ascii="Calibri" w:hAnsi="Calibri" w:cs="Calibri"/>
        </w:rPr>
        <w:t>2.</w:t>
      </w:r>
      <w:r w:rsidRPr="00C30A69">
        <w:rPr>
          <w:rFonts w:ascii="Calibri" w:hAnsi="Calibri" w:cs="Calibri"/>
        </w:rPr>
        <w:tab/>
        <w:t xml:space="preserve">U.S. Environmental Protection Agency. Test and Repair Pressure Safety Valves. </w:t>
      </w:r>
      <w:r w:rsidRPr="00C30A69">
        <w:rPr>
          <w:rFonts w:ascii="Calibri" w:hAnsi="Calibri" w:cs="Calibri"/>
          <w:i/>
          <w:iCs/>
        </w:rPr>
        <w:t>Partn. Rep. Oppor. Fact Sheet No 602 Reducing Methane Emiss.</w:t>
      </w:r>
      <w:r w:rsidRPr="00C30A69">
        <w:rPr>
          <w:rFonts w:ascii="Calibri" w:hAnsi="Calibri" w:cs="Calibri"/>
        </w:rPr>
        <w:t xml:space="preserve"> (2011).</w:t>
      </w:r>
    </w:p>
    <w:p w14:paraId="13E4B433" w14:textId="77777777" w:rsidR="00C30A69" w:rsidRPr="00C30A69" w:rsidRDefault="00C30A69" w:rsidP="00C30A69">
      <w:pPr>
        <w:pStyle w:val="Bibliography"/>
        <w:rPr>
          <w:rFonts w:ascii="Calibri" w:hAnsi="Calibri" w:cs="Calibri"/>
        </w:rPr>
      </w:pPr>
      <w:r w:rsidRPr="00C30A69">
        <w:rPr>
          <w:rFonts w:ascii="Calibri" w:hAnsi="Calibri" w:cs="Calibri"/>
        </w:rPr>
        <w:t>3.</w:t>
      </w:r>
      <w:r w:rsidRPr="00C30A69">
        <w:rPr>
          <w:rFonts w:ascii="Calibri" w:hAnsi="Calibri" w:cs="Calibri"/>
        </w:rPr>
        <w:tab/>
        <w:t xml:space="preserve">Li, X., Liu, W., Zhou, N. &amp; Yuan, X. Probability Analysis of Hazardous Chemicals Storage Tank Leakage Accident Based on Neural Network and Fuzzy Dynamic Fault Tree. </w:t>
      </w:r>
      <w:r w:rsidRPr="00C30A69">
        <w:rPr>
          <w:rFonts w:ascii="Calibri" w:hAnsi="Calibri" w:cs="Calibri"/>
          <w:i/>
          <w:iCs/>
        </w:rPr>
        <w:t>Appl. Sci.</w:t>
      </w:r>
      <w:r w:rsidRPr="00C30A69">
        <w:rPr>
          <w:rFonts w:ascii="Calibri" w:hAnsi="Calibri" w:cs="Calibri"/>
        </w:rPr>
        <w:t xml:space="preserve"> </w:t>
      </w:r>
      <w:r w:rsidRPr="00C30A69">
        <w:rPr>
          <w:rFonts w:ascii="Calibri" w:hAnsi="Calibri" w:cs="Calibri"/>
          <w:b/>
          <w:bCs/>
        </w:rPr>
        <w:t>15</w:t>
      </w:r>
      <w:r w:rsidRPr="00C30A69">
        <w:rPr>
          <w:rFonts w:ascii="Calibri" w:hAnsi="Calibri" w:cs="Calibri"/>
        </w:rPr>
        <w:t>, 3504 (2025).</w:t>
      </w:r>
    </w:p>
    <w:p w14:paraId="47E1C7D7" w14:textId="77777777" w:rsidR="00C30A69" w:rsidRPr="00C30A69" w:rsidRDefault="00C30A69" w:rsidP="00C30A69">
      <w:pPr>
        <w:pStyle w:val="Bibliography"/>
        <w:rPr>
          <w:rFonts w:ascii="Calibri" w:hAnsi="Calibri" w:cs="Calibri"/>
        </w:rPr>
      </w:pPr>
      <w:r w:rsidRPr="00C30A69">
        <w:rPr>
          <w:rFonts w:ascii="Calibri" w:hAnsi="Calibri" w:cs="Calibri"/>
        </w:rPr>
        <w:t>4.</w:t>
      </w:r>
      <w:r w:rsidRPr="00C30A69">
        <w:rPr>
          <w:rFonts w:ascii="Calibri" w:hAnsi="Calibri" w:cs="Calibri"/>
        </w:rPr>
        <w:tab/>
        <w:t xml:space="preserve">Center for Chemical Process Safety. </w:t>
      </w:r>
      <w:r w:rsidRPr="00C30A69">
        <w:rPr>
          <w:rFonts w:ascii="Calibri" w:hAnsi="Calibri" w:cs="Calibri"/>
          <w:i/>
          <w:iCs/>
        </w:rPr>
        <w:t>Qualitative and Quantitative Prediction of Human Error in Risk Assessment</w:t>
      </w:r>
      <w:r w:rsidRPr="00C30A69">
        <w:rPr>
          <w:rFonts w:ascii="Calibri" w:hAnsi="Calibri" w:cs="Calibri"/>
        </w:rPr>
        <w:t>. (Wiley, 2004). doi:10.1002/9780470925096.</w:t>
      </w:r>
    </w:p>
    <w:p w14:paraId="3BBC6F9A" w14:textId="77777777" w:rsidR="00C30A69" w:rsidRPr="00C30A69" w:rsidRDefault="00C30A69" w:rsidP="00C30A69">
      <w:pPr>
        <w:pStyle w:val="Bibliography"/>
        <w:rPr>
          <w:rFonts w:ascii="Calibri" w:hAnsi="Calibri" w:cs="Calibri"/>
        </w:rPr>
      </w:pPr>
      <w:r w:rsidRPr="00C30A69">
        <w:rPr>
          <w:rFonts w:ascii="Calibri" w:hAnsi="Calibri" w:cs="Calibri"/>
        </w:rPr>
        <w:t>5.</w:t>
      </w:r>
      <w:r w:rsidRPr="00C30A69">
        <w:rPr>
          <w:rFonts w:ascii="Calibri" w:hAnsi="Calibri" w:cs="Calibri"/>
        </w:rPr>
        <w:tab/>
        <w:t xml:space="preserve">Health and Safety Executive. (n.d.). Failure Rate and Event Data for use within Land Use Planning Risk Assessments. </w:t>
      </w:r>
      <w:r w:rsidRPr="00C30A69">
        <w:rPr>
          <w:rFonts w:ascii="Calibri" w:hAnsi="Calibri" w:cs="Calibri"/>
          <w:i/>
          <w:iCs/>
        </w:rPr>
        <w:t>UK Health Saf. Exec.</w:t>
      </w:r>
      <w:r w:rsidRPr="00C30A69">
        <w:rPr>
          <w:rFonts w:ascii="Calibri" w:hAnsi="Calibri" w:cs="Calibri"/>
        </w:rPr>
        <w:t xml:space="preserve"> (2001).</w:t>
      </w:r>
    </w:p>
    <w:p w14:paraId="47124162" w14:textId="77777777" w:rsidR="00C30A69" w:rsidRPr="00C30A69" w:rsidRDefault="00C30A69" w:rsidP="00C30A69">
      <w:pPr>
        <w:pStyle w:val="Bibliography"/>
        <w:rPr>
          <w:rFonts w:ascii="Calibri" w:hAnsi="Calibri" w:cs="Calibri"/>
        </w:rPr>
      </w:pPr>
      <w:r w:rsidRPr="00C30A69">
        <w:rPr>
          <w:rFonts w:ascii="Calibri" w:hAnsi="Calibri" w:cs="Calibri"/>
        </w:rPr>
        <w:t>6.</w:t>
      </w:r>
      <w:r w:rsidRPr="00C30A69">
        <w:rPr>
          <w:rFonts w:ascii="Calibri" w:hAnsi="Calibri" w:cs="Calibri"/>
        </w:rPr>
        <w:tab/>
        <w:t xml:space="preserve">Bridges, W. G., &amp; Thomas, H. W. Accounting for Human Error Probability in SIL Verification Calculations. </w:t>
      </w:r>
      <w:r w:rsidRPr="00C30A69">
        <w:rPr>
          <w:rFonts w:ascii="Calibri" w:hAnsi="Calibri" w:cs="Calibri"/>
          <w:i/>
          <w:iCs/>
        </w:rPr>
        <w:t>8th Glob. Congr. Process Saf. Houst. TX</w:t>
      </w:r>
      <w:r w:rsidRPr="00C30A69">
        <w:rPr>
          <w:rFonts w:ascii="Calibri" w:hAnsi="Calibri" w:cs="Calibri"/>
        </w:rPr>
        <w:t xml:space="preserve"> (2012).</w:t>
      </w:r>
    </w:p>
    <w:p w14:paraId="22632FA9" w14:textId="77777777" w:rsidR="00C30A69" w:rsidRPr="00C30A69" w:rsidRDefault="00C30A69" w:rsidP="00C30A69">
      <w:pPr>
        <w:pStyle w:val="Bibliography"/>
        <w:rPr>
          <w:rFonts w:ascii="Calibri" w:hAnsi="Calibri" w:cs="Calibri"/>
        </w:rPr>
      </w:pPr>
      <w:r w:rsidRPr="00C30A69">
        <w:rPr>
          <w:rFonts w:ascii="Calibri" w:hAnsi="Calibri" w:cs="Calibri"/>
        </w:rPr>
        <w:t>7.</w:t>
      </w:r>
      <w:r w:rsidRPr="00C30A69">
        <w:rPr>
          <w:rFonts w:ascii="Calibri" w:hAnsi="Calibri" w:cs="Calibri"/>
        </w:rPr>
        <w:tab/>
        <w:t xml:space="preserve">Kabir, S., Taleb-Berrouane, M. &amp; Papadopoulos, Y. Dynamic reliability assessment of flare systems by combining fault tree analysis and Bayesian networks. </w:t>
      </w:r>
      <w:r w:rsidRPr="00C30A69">
        <w:rPr>
          <w:rFonts w:ascii="Calibri" w:hAnsi="Calibri" w:cs="Calibri"/>
          <w:i/>
          <w:iCs/>
        </w:rPr>
        <w:t>Energy Sources Part Recovery Util. Environ. Eff.</w:t>
      </w:r>
      <w:r w:rsidRPr="00C30A69">
        <w:rPr>
          <w:rFonts w:ascii="Calibri" w:hAnsi="Calibri" w:cs="Calibri"/>
        </w:rPr>
        <w:t xml:space="preserve"> </w:t>
      </w:r>
      <w:r w:rsidRPr="00C30A69">
        <w:rPr>
          <w:rFonts w:ascii="Calibri" w:hAnsi="Calibri" w:cs="Calibri"/>
          <w:b/>
          <w:bCs/>
        </w:rPr>
        <w:t>45</w:t>
      </w:r>
      <w:r w:rsidRPr="00C30A69">
        <w:rPr>
          <w:rFonts w:ascii="Calibri" w:hAnsi="Calibri" w:cs="Calibri"/>
        </w:rPr>
        <w:t>, 4305–4322 (2023).</w:t>
      </w:r>
    </w:p>
    <w:p w14:paraId="5D39CFB1" w14:textId="68330925" w:rsidR="0083113B" w:rsidRPr="0083113B" w:rsidRDefault="00964415" w:rsidP="0083113B">
      <w:r>
        <w:fldChar w:fldCharType="end"/>
      </w:r>
    </w:p>
    <w:sectPr w:rsidR="0083113B" w:rsidRPr="0083113B" w:rsidSect="00202A9E">
      <w:type w:val="continuous"/>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5655A" w14:textId="77777777" w:rsidR="00E066BC" w:rsidRDefault="00E066BC" w:rsidP="00276D3B">
      <w:pPr>
        <w:spacing w:after="0" w:line="240" w:lineRule="auto"/>
      </w:pPr>
      <w:r>
        <w:separator/>
      </w:r>
    </w:p>
  </w:endnote>
  <w:endnote w:type="continuationSeparator" w:id="0">
    <w:p w14:paraId="03EF63EE" w14:textId="77777777" w:rsidR="00E066BC" w:rsidRDefault="00E066BC" w:rsidP="00276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5EC68" w14:textId="77777777" w:rsidR="00276D3B" w:rsidRDefault="00276D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658451"/>
      <w:docPartObj>
        <w:docPartGallery w:val="Page Numbers (Bottom of Page)"/>
        <w:docPartUnique/>
      </w:docPartObj>
    </w:sdtPr>
    <w:sdtEndPr>
      <w:rPr>
        <w:rFonts w:ascii="Times New Roman" w:hAnsi="Times New Roman" w:cs="Times New Roman"/>
        <w:noProof/>
        <w:sz w:val="24"/>
        <w:szCs w:val="24"/>
      </w:rPr>
    </w:sdtEndPr>
    <w:sdtContent>
      <w:p w14:paraId="0ECB6172" w14:textId="04C32495" w:rsidR="00276D3B" w:rsidRPr="00276D3B" w:rsidRDefault="00276D3B">
        <w:pPr>
          <w:pStyle w:val="Footer"/>
          <w:jc w:val="center"/>
          <w:rPr>
            <w:rFonts w:ascii="Times New Roman" w:hAnsi="Times New Roman" w:cs="Times New Roman"/>
            <w:sz w:val="24"/>
            <w:szCs w:val="24"/>
          </w:rPr>
        </w:pPr>
        <w:r w:rsidRPr="00276D3B">
          <w:rPr>
            <w:rFonts w:ascii="Times New Roman" w:hAnsi="Times New Roman" w:cs="Times New Roman"/>
            <w:sz w:val="24"/>
            <w:szCs w:val="24"/>
          </w:rPr>
          <w:fldChar w:fldCharType="begin"/>
        </w:r>
        <w:r w:rsidRPr="00276D3B">
          <w:rPr>
            <w:rFonts w:ascii="Times New Roman" w:hAnsi="Times New Roman" w:cs="Times New Roman"/>
            <w:sz w:val="24"/>
            <w:szCs w:val="24"/>
          </w:rPr>
          <w:instrText xml:space="preserve"> PAGE   \* MERGEFORMAT </w:instrText>
        </w:r>
        <w:r w:rsidRPr="00276D3B">
          <w:rPr>
            <w:rFonts w:ascii="Times New Roman" w:hAnsi="Times New Roman" w:cs="Times New Roman"/>
            <w:sz w:val="24"/>
            <w:szCs w:val="24"/>
          </w:rPr>
          <w:fldChar w:fldCharType="separate"/>
        </w:r>
        <w:r w:rsidRPr="00276D3B">
          <w:rPr>
            <w:rFonts w:ascii="Times New Roman" w:hAnsi="Times New Roman" w:cs="Times New Roman"/>
            <w:noProof/>
            <w:sz w:val="24"/>
            <w:szCs w:val="24"/>
          </w:rPr>
          <w:t>2</w:t>
        </w:r>
        <w:r w:rsidRPr="00276D3B">
          <w:rPr>
            <w:rFonts w:ascii="Times New Roman" w:hAnsi="Times New Roman" w:cs="Times New Roman"/>
            <w:noProof/>
            <w:sz w:val="24"/>
            <w:szCs w:val="24"/>
          </w:rPr>
          <w:fldChar w:fldCharType="end"/>
        </w:r>
      </w:p>
    </w:sdtContent>
  </w:sdt>
  <w:p w14:paraId="145DD9A5" w14:textId="77777777" w:rsidR="00276D3B" w:rsidRDefault="00276D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3E8C" w14:textId="77777777" w:rsidR="00276D3B" w:rsidRDefault="00276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158FA" w14:textId="77777777" w:rsidR="00E066BC" w:rsidRDefault="00E066BC" w:rsidP="00276D3B">
      <w:pPr>
        <w:spacing w:after="0" w:line="240" w:lineRule="auto"/>
      </w:pPr>
      <w:r>
        <w:separator/>
      </w:r>
    </w:p>
  </w:footnote>
  <w:footnote w:type="continuationSeparator" w:id="0">
    <w:p w14:paraId="3B7FA61A" w14:textId="77777777" w:rsidR="00E066BC" w:rsidRDefault="00E066BC" w:rsidP="00276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E1428" w14:textId="77777777" w:rsidR="00276D3B" w:rsidRDefault="00276D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7333" w14:textId="77777777" w:rsidR="00276D3B" w:rsidRDefault="00276D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2EC74" w14:textId="77777777" w:rsidR="00276D3B" w:rsidRDefault="00276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02BC4"/>
    <w:multiLevelType w:val="hybridMultilevel"/>
    <w:tmpl w:val="0A361BFC"/>
    <w:lvl w:ilvl="0" w:tplc="868AEB00">
      <w:numFmt w:val="bullet"/>
      <w:lvlText w:val=""/>
      <w:lvlJc w:val="left"/>
      <w:pPr>
        <w:ind w:left="720" w:hanging="360"/>
      </w:pPr>
      <w:rPr>
        <w:rFonts w:ascii="Symbol" w:eastAsia="DengXi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678AB"/>
    <w:multiLevelType w:val="multilevel"/>
    <w:tmpl w:val="F19C8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7364970">
    <w:abstractNumId w:val="1"/>
  </w:num>
  <w:num w:numId="2" w16cid:durableId="65929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1E6"/>
    <w:rsid w:val="000136B8"/>
    <w:rsid w:val="000205EA"/>
    <w:rsid w:val="000271ED"/>
    <w:rsid w:val="000434BB"/>
    <w:rsid w:val="00044E1C"/>
    <w:rsid w:val="00053650"/>
    <w:rsid w:val="00066960"/>
    <w:rsid w:val="00076C81"/>
    <w:rsid w:val="00077B15"/>
    <w:rsid w:val="0008116A"/>
    <w:rsid w:val="00086D8E"/>
    <w:rsid w:val="00096177"/>
    <w:rsid w:val="000A0EE7"/>
    <w:rsid w:val="000A36E3"/>
    <w:rsid w:val="000A4FE0"/>
    <w:rsid w:val="000A6175"/>
    <w:rsid w:val="000A6B34"/>
    <w:rsid w:val="000A76DE"/>
    <w:rsid w:val="000A77F8"/>
    <w:rsid w:val="000B5076"/>
    <w:rsid w:val="000B6B29"/>
    <w:rsid w:val="000C19D6"/>
    <w:rsid w:val="000C1E00"/>
    <w:rsid w:val="000D05C3"/>
    <w:rsid w:val="000D1C61"/>
    <w:rsid w:val="000D4193"/>
    <w:rsid w:val="000E3094"/>
    <w:rsid w:val="000E4799"/>
    <w:rsid w:val="000E7140"/>
    <w:rsid w:val="000F2A13"/>
    <w:rsid w:val="000F4736"/>
    <w:rsid w:val="000F6358"/>
    <w:rsid w:val="000F6395"/>
    <w:rsid w:val="001008FC"/>
    <w:rsid w:val="00103AFB"/>
    <w:rsid w:val="00105B8D"/>
    <w:rsid w:val="00112F9B"/>
    <w:rsid w:val="001138E9"/>
    <w:rsid w:val="00113E1C"/>
    <w:rsid w:val="0011419B"/>
    <w:rsid w:val="0011432F"/>
    <w:rsid w:val="00116562"/>
    <w:rsid w:val="00120856"/>
    <w:rsid w:val="00123343"/>
    <w:rsid w:val="00130617"/>
    <w:rsid w:val="00135772"/>
    <w:rsid w:val="00136049"/>
    <w:rsid w:val="00136EC8"/>
    <w:rsid w:val="0014674E"/>
    <w:rsid w:val="00152282"/>
    <w:rsid w:val="0015238E"/>
    <w:rsid w:val="001625DE"/>
    <w:rsid w:val="001655A4"/>
    <w:rsid w:val="001659C4"/>
    <w:rsid w:val="001770DF"/>
    <w:rsid w:val="0018287E"/>
    <w:rsid w:val="00182DB3"/>
    <w:rsid w:val="00184CD9"/>
    <w:rsid w:val="00196615"/>
    <w:rsid w:val="001A0960"/>
    <w:rsid w:val="001A1976"/>
    <w:rsid w:val="001A243A"/>
    <w:rsid w:val="001A3506"/>
    <w:rsid w:val="001A39F9"/>
    <w:rsid w:val="001B1D5D"/>
    <w:rsid w:val="001B46D0"/>
    <w:rsid w:val="001B6FEE"/>
    <w:rsid w:val="001C14B8"/>
    <w:rsid w:val="001C6EFC"/>
    <w:rsid w:val="001C76D7"/>
    <w:rsid w:val="001D2144"/>
    <w:rsid w:val="001D23B1"/>
    <w:rsid w:val="001D2922"/>
    <w:rsid w:val="001D47EB"/>
    <w:rsid w:val="001D49F2"/>
    <w:rsid w:val="001E23B3"/>
    <w:rsid w:val="001E3272"/>
    <w:rsid w:val="001E5423"/>
    <w:rsid w:val="001F21C1"/>
    <w:rsid w:val="001F4519"/>
    <w:rsid w:val="00200930"/>
    <w:rsid w:val="00200A4B"/>
    <w:rsid w:val="00202A9E"/>
    <w:rsid w:val="00204C33"/>
    <w:rsid w:val="002050A3"/>
    <w:rsid w:val="00205D1A"/>
    <w:rsid w:val="00214D2B"/>
    <w:rsid w:val="0021700E"/>
    <w:rsid w:val="00223811"/>
    <w:rsid w:val="002416C6"/>
    <w:rsid w:val="00253EEA"/>
    <w:rsid w:val="002570D9"/>
    <w:rsid w:val="00257FCF"/>
    <w:rsid w:val="00257FF2"/>
    <w:rsid w:val="00266D13"/>
    <w:rsid w:val="002744A1"/>
    <w:rsid w:val="00276D3B"/>
    <w:rsid w:val="00280C05"/>
    <w:rsid w:val="00284A06"/>
    <w:rsid w:val="0028508A"/>
    <w:rsid w:val="002916B0"/>
    <w:rsid w:val="00294BEE"/>
    <w:rsid w:val="0029627F"/>
    <w:rsid w:val="002A13B5"/>
    <w:rsid w:val="002A1DE6"/>
    <w:rsid w:val="002A4CF2"/>
    <w:rsid w:val="002B1B0E"/>
    <w:rsid w:val="002C0E68"/>
    <w:rsid w:val="002C32B3"/>
    <w:rsid w:val="002C5D3A"/>
    <w:rsid w:val="002D2627"/>
    <w:rsid w:val="002D2A46"/>
    <w:rsid w:val="002D2EC9"/>
    <w:rsid w:val="002D40D6"/>
    <w:rsid w:val="002D4EC1"/>
    <w:rsid w:val="002D69A2"/>
    <w:rsid w:val="002D7B0D"/>
    <w:rsid w:val="002E1520"/>
    <w:rsid w:val="002E392D"/>
    <w:rsid w:val="002F3540"/>
    <w:rsid w:val="00301CF0"/>
    <w:rsid w:val="00304016"/>
    <w:rsid w:val="00306E0E"/>
    <w:rsid w:val="003133AC"/>
    <w:rsid w:val="00323F3C"/>
    <w:rsid w:val="00324BEB"/>
    <w:rsid w:val="00334649"/>
    <w:rsid w:val="00336F6A"/>
    <w:rsid w:val="00337F85"/>
    <w:rsid w:val="0034280A"/>
    <w:rsid w:val="00355959"/>
    <w:rsid w:val="00360905"/>
    <w:rsid w:val="003642AC"/>
    <w:rsid w:val="00367781"/>
    <w:rsid w:val="0037023D"/>
    <w:rsid w:val="0037260E"/>
    <w:rsid w:val="0037492E"/>
    <w:rsid w:val="00377B11"/>
    <w:rsid w:val="0038002F"/>
    <w:rsid w:val="00387686"/>
    <w:rsid w:val="00390FD2"/>
    <w:rsid w:val="00392258"/>
    <w:rsid w:val="0039289F"/>
    <w:rsid w:val="00393F34"/>
    <w:rsid w:val="00396A76"/>
    <w:rsid w:val="00397B10"/>
    <w:rsid w:val="003A00F2"/>
    <w:rsid w:val="003A5DC3"/>
    <w:rsid w:val="003A6084"/>
    <w:rsid w:val="003B39EF"/>
    <w:rsid w:val="003C20B6"/>
    <w:rsid w:val="003C2881"/>
    <w:rsid w:val="003C37B5"/>
    <w:rsid w:val="003C3A50"/>
    <w:rsid w:val="003C63C5"/>
    <w:rsid w:val="003C7552"/>
    <w:rsid w:val="003D1A84"/>
    <w:rsid w:val="003D2CC5"/>
    <w:rsid w:val="003D6A34"/>
    <w:rsid w:val="003D76B3"/>
    <w:rsid w:val="003E07A3"/>
    <w:rsid w:val="003E265F"/>
    <w:rsid w:val="003E3203"/>
    <w:rsid w:val="003E577A"/>
    <w:rsid w:val="003F551F"/>
    <w:rsid w:val="003F6C5E"/>
    <w:rsid w:val="00401F75"/>
    <w:rsid w:val="00403356"/>
    <w:rsid w:val="004057E2"/>
    <w:rsid w:val="004100EF"/>
    <w:rsid w:val="00411296"/>
    <w:rsid w:val="004121E7"/>
    <w:rsid w:val="00412F8B"/>
    <w:rsid w:val="00414D05"/>
    <w:rsid w:val="00414D5E"/>
    <w:rsid w:val="00424DDF"/>
    <w:rsid w:val="0043265E"/>
    <w:rsid w:val="00435994"/>
    <w:rsid w:val="00437920"/>
    <w:rsid w:val="00437A31"/>
    <w:rsid w:val="004423A8"/>
    <w:rsid w:val="004474AC"/>
    <w:rsid w:val="00450889"/>
    <w:rsid w:val="004522CC"/>
    <w:rsid w:val="004546AC"/>
    <w:rsid w:val="0045785E"/>
    <w:rsid w:val="00461066"/>
    <w:rsid w:val="00461C19"/>
    <w:rsid w:val="00466D6C"/>
    <w:rsid w:val="0046788B"/>
    <w:rsid w:val="00470AD1"/>
    <w:rsid w:val="00470F34"/>
    <w:rsid w:val="00474BD1"/>
    <w:rsid w:val="00475FC0"/>
    <w:rsid w:val="004774B9"/>
    <w:rsid w:val="00477FBF"/>
    <w:rsid w:val="00484690"/>
    <w:rsid w:val="004850D0"/>
    <w:rsid w:val="00485EA8"/>
    <w:rsid w:val="00490219"/>
    <w:rsid w:val="00491E04"/>
    <w:rsid w:val="00497BC0"/>
    <w:rsid w:val="004A1979"/>
    <w:rsid w:val="004A661D"/>
    <w:rsid w:val="004A68D1"/>
    <w:rsid w:val="004B6A4C"/>
    <w:rsid w:val="004B6E7E"/>
    <w:rsid w:val="004B742A"/>
    <w:rsid w:val="004C2DC2"/>
    <w:rsid w:val="004C5AD7"/>
    <w:rsid w:val="004D3358"/>
    <w:rsid w:val="004D3474"/>
    <w:rsid w:val="004E344D"/>
    <w:rsid w:val="004F0140"/>
    <w:rsid w:val="004F18A0"/>
    <w:rsid w:val="004F38B9"/>
    <w:rsid w:val="004F555C"/>
    <w:rsid w:val="004F6CCF"/>
    <w:rsid w:val="00503F6A"/>
    <w:rsid w:val="00504506"/>
    <w:rsid w:val="005055F2"/>
    <w:rsid w:val="00507C9C"/>
    <w:rsid w:val="00511C52"/>
    <w:rsid w:val="0051355E"/>
    <w:rsid w:val="005149F4"/>
    <w:rsid w:val="0051774D"/>
    <w:rsid w:val="00517752"/>
    <w:rsid w:val="00522EA8"/>
    <w:rsid w:val="00531296"/>
    <w:rsid w:val="00536787"/>
    <w:rsid w:val="00537750"/>
    <w:rsid w:val="00542053"/>
    <w:rsid w:val="00542DDA"/>
    <w:rsid w:val="00545FE2"/>
    <w:rsid w:val="005469C1"/>
    <w:rsid w:val="005516AE"/>
    <w:rsid w:val="00560103"/>
    <w:rsid w:val="00571436"/>
    <w:rsid w:val="00571B13"/>
    <w:rsid w:val="00575DD5"/>
    <w:rsid w:val="005878D3"/>
    <w:rsid w:val="00590195"/>
    <w:rsid w:val="00590AF6"/>
    <w:rsid w:val="005A01CB"/>
    <w:rsid w:val="005B0B3A"/>
    <w:rsid w:val="005B6CC7"/>
    <w:rsid w:val="005C3189"/>
    <w:rsid w:val="005C3491"/>
    <w:rsid w:val="005C5A04"/>
    <w:rsid w:val="005C762C"/>
    <w:rsid w:val="005C7991"/>
    <w:rsid w:val="005D04E2"/>
    <w:rsid w:val="005E2098"/>
    <w:rsid w:val="005F39D3"/>
    <w:rsid w:val="005F519F"/>
    <w:rsid w:val="00601767"/>
    <w:rsid w:val="0060254E"/>
    <w:rsid w:val="00602B46"/>
    <w:rsid w:val="00604104"/>
    <w:rsid w:val="006050A3"/>
    <w:rsid w:val="00606B70"/>
    <w:rsid w:val="006175B9"/>
    <w:rsid w:val="00622B53"/>
    <w:rsid w:val="00624B1B"/>
    <w:rsid w:val="006259DC"/>
    <w:rsid w:val="00625B17"/>
    <w:rsid w:val="006266B7"/>
    <w:rsid w:val="006271A1"/>
    <w:rsid w:val="00633E09"/>
    <w:rsid w:val="00633EAE"/>
    <w:rsid w:val="006347F4"/>
    <w:rsid w:val="00634BFB"/>
    <w:rsid w:val="00645131"/>
    <w:rsid w:val="0064759F"/>
    <w:rsid w:val="0066259B"/>
    <w:rsid w:val="00663043"/>
    <w:rsid w:val="0067288F"/>
    <w:rsid w:val="0067698B"/>
    <w:rsid w:val="00677250"/>
    <w:rsid w:val="006868A9"/>
    <w:rsid w:val="006941E5"/>
    <w:rsid w:val="006A3562"/>
    <w:rsid w:val="006A7AB0"/>
    <w:rsid w:val="006B1314"/>
    <w:rsid w:val="006B5B7F"/>
    <w:rsid w:val="006D111A"/>
    <w:rsid w:val="006D3C8C"/>
    <w:rsid w:val="006E04DC"/>
    <w:rsid w:val="006F03D9"/>
    <w:rsid w:val="006F0496"/>
    <w:rsid w:val="006F07D6"/>
    <w:rsid w:val="006F1F82"/>
    <w:rsid w:val="006F41D0"/>
    <w:rsid w:val="006F7982"/>
    <w:rsid w:val="0070502C"/>
    <w:rsid w:val="00705525"/>
    <w:rsid w:val="007114CC"/>
    <w:rsid w:val="00712B3E"/>
    <w:rsid w:val="00712EAD"/>
    <w:rsid w:val="00715321"/>
    <w:rsid w:val="007230EE"/>
    <w:rsid w:val="0072358C"/>
    <w:rsid w:val="0073144D"/>
    <w:rsid w:val="0073157A"/>
    <w:rsid w:val="00732E14"/>
    <w:rsid w:val="007416B6"/>
    <w:rsid w:val="007425C8"/>
    <w:rsid w:val="0074348C"/>
    <w:rsid w:val="0074386D"/>
    <w:rsid w:val="00744CA7"/>
    <w:rsid w:val="007506DA"/>
    <w:rsid w:val="007527A7"/>
    <w:rsid w:val="0076244C"/>
    <w:rsid w:val="00763998"/>
    <w:rsid w:val="007716C3"/>
    <w:rsid w:val="0077181B"/>
    <w:rsid w:val="00775CAF"/>
    <w:rsid w:val="00780B81"/>
    <w:rsid w:val="00781225"/>
    <w:rsid w:val="007826AD"/>
    <w:rsid w:val="00783B60"/>
    <w:rsid w:val="00795002"/>
    <w:rsid w:val="007A5897"/>
    <w:rsid w:val="007B136F"/>
    <w:rsid w:val="007B45F3"/>
    <w:rsid w:val="007B544A"/>
    <w:rsid w:val="007B61C8"/>
    <w:rsid w:val="007C574D"/>
    <w:rsid w:val="007C5BA0"/>
    <w:rsid w:val="007C5C41"/>
    <w:rsid w:val="007D1BCE"/>
    <w:rsid w:val="007E035D"/>
    <w:rsid w:val="007E3177"/>
    <w:rsid w:val="007E3221"/>
    <w:rsid w:val="007E41E0"/>
    <w:rsid w:val="007F0107"/>
    <w:rsid w:val="007F3AAE"/>
    <w:rsid w:val="007F7341"/>
    <w:rsid w:val="00802C85"/>
    <w:rsid w:val="00807EB7"/>
    <w:rsid w:val="008269D4"/>
    <w:rsid w:val="0083113B"/>
    <w:rsid w:val="008317BA"/>
    <w:rsid w:val="0083184C"/>
    <w:rsid w:val="008324BF"/>
    <w:rsid w:val="00832BC1"/>
    <w:rsid w:val="008406D5"/>
    <w:rsid w:val="00843A4B"/>
    <w:rsid w:val="008459DB"/>
    <w:rsid w:val="00846DA3"/>
    <w:rsid w:val="00860C82"/>
    <w:rsid w:val="00865DFF"/>
    <w:rsid w:val="0087104E"/>
    <w:rsid w:val="00871DEF"/>
    <w:rsid w:val="008733E6"/>
    <w:rsid w:val="00884263"/>
    <w:rsid w:val="00886073"/>
    <w:rsid w:val="00891EF8"/>
    <w:rsid w:val="00894BE3"/>
    <w:rsid w:val="00895F2E"/>
    <w:rsid w:val="00896FC7"/>
    <w:rsid w:val="0089766E"/>
    <w:rsid w:val="008A4047"/>
    <w:rsid w:val="008A42C1"/>
    <w:rsid w:val="008B19BE"/>
    <w:rsid w:val="008C0C25"/>
    <w:rsid w:val="008C2642"/>
    <w:rsid w:val="008E6B56"/>
    <w:rsid w:val="008E7532"/>
    <w:rsid w:val="008F3032"/>
    <w:rsid w:val="008F54B9"/>
    <w:rsid w:val="008F738B"/>
    <w:rsid w:val="00901164"/>
    <w:rsid w:val="009066BB"/>
    <w:rsid w:val="009079A2"/>
    <w:rsid w:val="00915D06"/>
    <w:rsid w:val="009258A0"/>
    <w:rsid w:val="009379F6"/>
    <w:rsid w:val="0094076F"/>
    <w:rsid w:val="00942653"/>
    <w:rsid w:val="0094584A"/>
    <w:rsid w:val="00945BB7"/>
    <w:rsid w:val="0094777D"/>
    <w:rsid w:val="0095425A"/>
    <w:rsid w:val="00955BD5"/>
    <w:rsid w:val="0095765A"/>
    <w:rsid w:val="00960559"/>
    <w:rsid w:val="00961806"/>
    <w:rsid w:val="00964415"/>
    <w:rsid w:val="00972C8B"/>
    <w:rsid w:val="009806FC"/>
    <w:rsid w:val="009814F9"/>
    <w:rsid w:val="00984EE0"/>
    <w:rsid w:val="0098659B"/>
    <w:rsid w:val="009A3239"/>
    <w:rsid w:val="009A45F0"/>
    <w:rsid w:val="009A6C4C"/>
    <w:rsid w:val="009A7135"/>
    <w:rsid w:val="009B0153"/>
    <w:rsid w:val="009B39D6"/>
    <w:rsid w:val="009B5D9B"/>
    <w:rsid w:val="009E095D"/>
    <w:rsid w:val="009E201B"/>
    <w:rsid w:val="009E2355"/>
    <w:rsid w:val="009E4332"/>
    <w:rsid w:val="00A0032B"/>
    <w:rsid w:val="00A004CA"/>
    <w:rsid w:val="00A07BFC"/>
    <w:rsid w:val="00A102B3"/>
    <w:rsid w:val="00A1283C"/>
    <w:rsid w:val="00A13E46"/>
    <w:rsid w:val="00A1773D"/>
    <w:rsid w:val="00A201BE"/>
    <w:rsid w:val="00A22663"/>
    <w:rsid w:val="00A244B6"/>
    <w:rsid w:val="00A25FC2"/>
    <w:rsid w:val="00A27175"/>
    <w:rsid w:val="00A2739D"/>
    <w:rsid w:val="00A30EDF"/>
    <w:rsid w:val="00A31E19"/>
    <w:rsid w:val="00A34708"/>
    <w:rsid w:val="00A37809"/>
    <w:rsid w:val="00A37EB7"/>
    <w:rsid w:val="00A408FB"/>
    <w:rsid w:val="00A470A2"/>
    <w:rsid w:val="00A51E8A"/>
    <w:rsid w:val="00A523F3"/>
    <w:rsid w:val="00A536FE"/>
    <w:rsid w:val="00A557ED"/>
    <w:rsid w:val="00A574FA"/>
    <w:rsid w:val="00A60370"/>
    <w:rsid w:val="00A60738"/>
    <w:rsid w:val="00A75F9B"/>
    <w:rsid w:val="00A77424"/>
    <w:rsid w:val="00A7760E"/>
    <w:rsid w:val="00A80762"/>
    <w:rsid w:val="00A810CA"/>
    <w:rsid w:val="00A820FB"/>
    <w:rsid w:val="00A82E19"/>
    <w:rsid w:val="00A83DE8"/>
    <w:rsid w:val="00A84B84"/>
    <w:rsid w:val="00A8527A"/>
    <w:rsid w:val="00A85838"/>
    <w:rsid w:val="00A86518"/>
    <w:rsid w:val="00A87CAD"/>
    <w:rsid w:val="00A96542"/>
    <w:rsid w:val="00A96B20"/>
    <w:rsid w:val="00AA3DAA"/>
    <w:rsid w:val="00AA5F1E"/>
    <w:rsid w:val="00AA6A2A"/>
    <w:rsid w:val="00AA6F46"/>
    <w:rsid w:val="00AB0586"/>
    <w:rsid w:val="00AB5E0D"/>
    <w:rsid w:val="00AB79D9"/>
    <w:rsid w:val="00AC1387"/>
    <w:rsid w:val="00AC690C"/>
    <w:rsid w:val="00AD0289"/>
    <w:rsid w:val="00AD0EB9"/>
    <w:rsid w:val="00AD18CF"/>
    <w:rsid w:val="00AD5717"/>
    <w:rsid w:val="00AE21A9"/>
    <w:rsid w:val="00AE790C"/>
    <w:rsid w:val="00B00FCD"/>
    <w:rsid w:val="00B01781"/>
    <w:rsid w:val="00B05081"/>
    <w:rsid w:val="00B12F54"/>
    <w:rsid w:val="00B16B1E"/>
    <w:rsid w:val="00B21076"/>
    <w:rsid w:val="00B2473C"/>
    <w:rsid w:val="00B24A7F"/>
    <w:rsid w:val="00B2683D"/>
    <w:rsid w:val="00B3531E"/>
    <w:rsid w:val="00B414EA"/>
    <w:rsid w:val="00B41D59"/>
    <w:rsid w:val="00B45373"/>
    <w:rsid w:val="00B45816"/>
    <w:rsid w:val="00B5641E"/>
    <w:rsid w:val="00B643AE"/>
    <w:rsid w:val="00B64EAD"/>
    <w:rsid w:val="00B73805"/>
    <w:rsid w:val="00B7574A"/>
    <w:rsid w:val="00B845E6"/>
    <w:rsid w:val="00B928D7"/>
    <w:rsid w:val="00B95F84"/>
    <w:rsid w:val="00BA4687"/>
    <w:rsid w:val="00BA49D0"/>
    <w:rsid w:val="00BA752A"/>
    <w:rsid w:val="00BB080E"/>
    <w:rsid w:val="00BB337B"/>
    <w:rsid w:val="00BB3A1D"/>
    <w:rsid w:val="00BC667D"/>
    <w:rsid w:val="00BD1BB1"/>
    <w:rsid w:val="00BD55F5"/>
    <w:rsid w:val="00BD5618"/>
    <w:rsid w:val="00BD58D5"/>
    <w:rsid w:val="00BE7A99"/>
    <w:rsid w:val="00BE7BF8"/>
    <w:rsid w:val="00BF1F46"/>
    <w:rsid w:val="00BF3614"/>
    <w:rsid w:val="00BF773F"/>
    <w:rsid w:val="00C02C10"/>
    <w:rsid w:val="00C13B89"/>
    <w:rsid w:val="00C15928"/>
    <w:rsid w:val="00C17FE8"/>
    <w:rsid w:val="00C20868"/>
    <w:rsid w:val="00C2427F"/>
    <w:rsid w:val="00C242D8"/>
    <w:rsid w:val="00C30A69"/>
    <w:rsid w:val="00C31F8E"/>
    <w:rsid w:val="00C36ECB"/>
    <w:rsid w:val="00C42AD8"/>
    <w:rsid w:val="00C43189"/>
    <w:rsid w:val="00C46BA5"/>
    <w:rsid w:val="00C55AEE"/>
    <w:rsid w:val="00C56F00"/>
    <w:rsid w:val="00C60936"/>
    <w:rsid w:val="00C62239"/>
    <w:rsid w:val="00C63B0C"/>
    <w:rsid w:val="00C65EBF"/>
    <w:rsid w:val="00C6799E"/>
    <w:rsid w:val="00C7253F"/>
    <w:rsid w:val="00C80B06"/>
    <w:rsid w:val="00C97501"/>
    <w:rsid w:val="00CA204A"/>
    <w:rsid w:val="00CA2383"/>
    <w:rsid w:val="00CA5236"/>
    <w:rsid w:val="00CA6328"/>
    <w:rsid w:val="00CC4089"/>
    <w:rsid w:val="00CC4B36"/>
    <w:rsid w:val="00CE0C66"/>
    <w:rsid w:val="00CE1503"/>
    <w:rsid w:val="00CE42F3"/>
    <w:rsid w:val="00CE514A"/>
    <w:rsid w:val="00CF0E21"/>
    <w:rsid w:val="00CF2A69"/>
    <w:rsid w:val="00CF31DB"/>
    <w:rsid w:val="00CF3997"/>
    <w:rsid w:val="00CF4309"/>
    <w:rsid w:val="00CF6D51"/>
    <w:rsid w:val="00D053EF"/>
    <w:rsid w:val="00D0653C"/>
    <w:rsid w:val="00D127ED"/>
    <w:rsid w:val="00D144BF"/>
    <w:rsid w:val="00D15B28"/>
    <w:rsid w:val="00D15E44"/>
    <w:rsid w:val="00D27308"/>
    <w:rsid w:val="00D31E11"/>
    <w:rsid w:val="00D3505D"/>
    <w:rsid w:val="00D3663E"/>
    <w:rsid w:val="00D3671A"/>
    <w:rsid w:val="00D4093B"/>
    <w:rsid w:val="00D40F79"/>
    <w:rsid w:val="00D4345F"/>
    <w:rsid w:val="00D441DB"/>
    <w:rsid w:val="00D45BF6"/>
    <w:rsid w:val="00D46298"/>
    <w:rsid w:val="00D4690F"/>
    <w:rsid w:val="00D5551B"/>
    <w:rsid w:val="00D56BDE"/>
    <w:rsid w:val="00D64C1D"/>
    <w:rsid w:val="00D64D23"/>
    <w:rsid w:val="00D6616E"/>
    <w:rsid w:val="00D67000"/>
    <w:rsid w:val="00D70683"/>
    <w:rsid w:val="00D70B53"/>
    <w:rsid w:val="00D92F12"/>
    <w:rsid w:val="00D956B7"/>
    <w:rsid w:val="00DA3E98"/>
    <w:rsid w:val="00DB3043"/>
    <w:rsid w:val="00DB3CE7"/>
    <w:rsid w:val="00DC2749"/>
    <w:rsid w:val="00DC325F"/>
    <w:rsid w:val="00DC34BD"/>
    <w:rsid w:val="00DC5D0B"/>
    <w:rsid w:val="00DD165C"/>
    <w:rsid w:val="00DD3F0F"/>
    <w:rsid w:val="00DE38ED"/>
    <w:rsid w:val="00DE5930"/>
    <w:rsid w:val="00DE6689"/>
    <w:rsid w:val="00DE6A76"/>
    <w:rsid w:val="00DF036C"/>
    <w:rsid w:val="00DF5AB5"/>
    <w:rsid w:val="00E006A5"/>
    <w:rsid w:val="00E01AE3"/>
    <w:rsid w:val="00E0245C"/>
    <w:rsid w:val="00E066BC"/>
    <w:rsid w:val="00E06FED"/>
    <w:rsid w:val="00E13B45"/>
    <w:rsid w:val="00E14BA3"/>
    <w:rsid w:val="00E23207"/>
    <w:rsid w:val="00E2462D"/>
    <w:rsid w:val="00E25DD4"/>
    <w:rsid w:val="00E26239"/>
    <w:rsid w:val="00E32087"/>
    <w:rsid w:val="00E34234"/>
    <w:rsid w:val="00E366A1"/>
    <w:rsid w:val="00E52321"/>
    <w:rsid w:val="00E561E6"/>
    <w:rsid w:val="00E60169"/>
    <w:rsid w:val="00E607F6"/>
    <w:rsid w:val="00E62C13"/>
    <w:rsid w:val="00E64314"/>
    <w:rsid w:val="00E65919"/>
    <w:rsid w:val="00E8096F"/>
    <w:rsid w:val="00E828A4"/>
    <w:rsid w:val="00E9340F"/>
    <w:rsid w:val="00E94592"/>
    <w:rsid w:val="00E96A59"/>
    <w:rsid w:val="00EA2102"/>
    <w:rsid w:val="00EA2441"/>
    <w:rsid w:val="00EA29B7"/>
    <w:rsid w:val="00EA69C7"/>
    <w:rsid w:val="00EB2558"/>
    <w:rsid w:val="00EB60DF"/>
    <w:rsid w:val="00EC7033"/>
    <w:rsid w:val="00ED1EBD"/>
    <w:rsid w:val="00ED1F35"/>
    <w:rsid w:val="00ED29D2"/>
    <w:rsid w:val="00ED5A8E"/>
    <w:rsid w:val="00ED78E6"/>
    <w:rsid w:val="00EE0261"/>
    <w:rsid w:val="00EE167B"/>
    <w:rsid w:val="00EE2BB7"/>
    <w:rsid w:val="00EF1E44"/>
    <w:rsid w:val="00EF1F9B"/>
    <w:rsid w:val="00F01322"/>
    <w:rsid w:val="00F0158A"/>
    <w:rsid w:val="00F01A8E"/>
    <w:rsid w:val="00F028A7"/>
    <w:rsid w:val="00F037C4"/>
    <w:rsid w:val="00F06816"/>
    <w:rsid w:val="00F114DE"/>
    <w:rsid w:val="00F13C41"/>
    <w:rsid w:val="00F26FFB"/>
    <w:rsid w:val="00F30408"/>
    <w:rsid w:val="00F349BF"/>
    <w:rsid w:val="00F35276"/>
    <w:rsid w:val="00F35377"/>
    <w:rsid w:val="00F37486"/>
    <w:rsid w:val="00F41246"/>
    <w:rsid w:val="00F47E60"/>
    <w:rsid w:val="00F62C6C"/>
    <w:rsid w:val="00F63E95"/>
    <w:rsid w:val="00F6594F"/>
    <w:rsid w:val="00F72218"/>
    <w:rsid w:val="00F75FD5"/>
    <w:rsid w:val="00F7657F"/>
    <w:rsid w:val="00F769D6"/>
    <w:rsid w:val="00F84126"/>
    <w:rsid w:val="00F8669E"/>
    <w:rsid w:val="00F86AEE"/>
    <w:rsid w:val="00F9010C"/>
    <w:rsid w:val="00F92C52"/>
    <w:rsid w:val="00F94A7E"/>
    <w:rsid w:val="00F96D3B"/>
    <w:rsid w:val="00F97F52"/>
    <w:rsid w:val="00FA0B6C"/>
    <w:rsid w:val="00FA6214"/>
    <w:rsid w:val="00FB4DEB"/>
    <w:rsid w:val="00FC1F30"/>
    <w:rsid w:val="00FC422E"/>
    <w:rsid w:val="00FC6D3A"/>
    <w:rsid w:val="00FC75A8"/>
    <w:rsid w:val="00FD4D95"/>
    <w:rsid w:val="00FD4EFE"/>
    <w:rsid w:val="00FD7F1C"/>
    <w:rsid w:val="00FE1948"/>
    <w:rsid w:val="00FE1E04"/>
    <w:rsid w:val="00FE2E00"/>
    <w:rsid w:val="00FF3920"/>
    <w:rsid w:val="00FF52D6"/>
    <w:rsid w:val="00FF61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3FE52"/>
  <w15:docId w15:val="{5199A262-67A9-4C97-B0FF-D00E17724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EBD"/>
    <w:pPr>
      <w:spacing w:line="256" w:lineRule="auto"/>
    </w:pPr>
    <w:rPr>
      <w:rFonts w:eastAsiaTheme="minorEastAsia"/>
      <w:kern w:val="0"/>
      <w:lang w:eastAsia="zh-CN"/>
      <w14:ligatures w14:val="none"/>
    </w:rPr>
  </w:style>
  <w:style w:type="paragraph" w:styleId="Heading1">
    <w:name w:val="heading 1"/>
    <w:basedOn w:val="Normal"/>
    <w:next w:val="Normal"/>
    <w:link w:val="Heading1Char"/>
    <w:uiPriority w:val="9"/>
    <w:qFormat/>
    <w:rsid w:val="0083113B"/>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94A7E"/>
    <w:pPr>
      <w:spacing w:after="0" w:line="240" w:lineRule="auto"/>
    </w:pPr>
    <w:rPr>
      <w:rFonts w:eastAsiaTheme="minorEastAsia"/>
      <w:kern w:val="0"/>
      <w:lang w:eastAsia="zh-CN"/>
      <w14:ligatures w14:val="none"/>
    </w:rPr>
  </w:style>
  <w:style w:type="paragraph" w:styleId="Header">
    <w:name w:val="header"/>
    <w:basedOn w:val="Normal"/>
    <w:link w:val="HeaderChar"/>
    <w:uiPriority w:val="99"/>
    <w:unhideWhenUsed/>
    <w:rsid w:val="00276D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D3B"/>
    <w:rPr>
      <w:rFonts w:eastAsiaTheme="minorEastAsia"/>
      <w:kern w:val="0"/>
      <w:lang w:eastAsia="zh-CN"/>
      <w14:ligatures w14:val="none"/>
    </w:rPr>
  </w:style>
  <w:style w:type="paragraph" w:styleId="Footer">
    <w:name w:val="footer"/>
    <w:basedOn w:val="Normal"/>
    <w:link w:val="FooterChar"/>
    <w:uiPriority w:val="99"/>
    <w:unhideWhenUsed/>
    <w:rsid w:val="00276D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D3B"/>
    <w:rPr>
      <w:rFonts w:eastAsiaTheme="minorEastAsia"/>
      <w:kern w:val="0"/>
      <w:lang w:eastAsia="zh-CN"/>
      <w14:ligatures w14:val="none"/>
    </w:rPr>
  </w:style>
  <w:style w:type="table" w:styleId="TableGrid">
    <w:name w:val="Table Grid"/>
    <w:basedOn w:val="TableNormal"/>
    <w:uiPriority w:val="39"/>
    <w:rsid w:val="004A19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2922"/>
    <w:rPr>
      <w:sz w:val="16"/>
      <w:szCs w:val="16"/>
    </w:rPr>
  </w:style>
  <w:style w:type="paragraph" w:styleId="CommentText">
    <w:name w:val="annotation text"/>
    <w:basedOn w:val="Normal"/>
    <w:link w:val="CommentTextChar"/>
    <w:uiPriority w:val="99"/>
    <w:unhideWhenUsed/>
    <w:rsid w:val="001D2922"/>
    <w:pPr>
      <w:spacing w:line="240" w:lineRule="auto"/>
    </w:pPr>
    <w:rPr>
      <w:sz w:val="20"/>
      <w:szCs w:val="20"/>
    </w:rPr>
  </w:style>
  <w:style w:type="character" w:customStyle="1" w:styleId="CommentTextChar">
    <w:name w:val="Comment Text Char"/>
    <w:basedOn w:val="DefaultParagraphFont"/>
    <w:link w:val="CommentText"/>
    <w:uiPriority w:val="99"/>
    <w:rsid w:val="001D2922"/>
    <w:rPr>
      <w:rFonts w:eastAsiaTheme="minorEastAsia"/>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1D2922"/>
    <w:rPr>
      <w:b/>
      <w:bCs/>
    </w:rPr>
  </w:style>
  <w:style w:type="character" w:customStyle="1" w:styleId="CommentSubjectChar">
    <w:name w:val="Comment Subject Char"/>
    <w:basedOn w:val="CommentTextChar"/>
    <w:link w:val="CommentSubject"/>
    <w:uiPriority w:val="99"/>
    <w:semiHidden/>
    <w:rsid w:val="001D2922"/>
    <w:rPr>
      <w:rFonts w:eastAsiaTheme="minorEastAsia"/>
      <w:b/>
      <w:bCs/>
      <w:kern w:val="0"/>
      <w:sz w:val="20"/>
      <w:szCs w:val="20"/>
      <w:lang w:eastAsia="zh-CN"/>
      <w14:ligatures w14:val="none"/>
    </w:rPr>
  </w:style>
  <w:style w:type="paragraph" w:styleId="BalloonText">
    <w:name w:val="Balloon Text"/>
    <w:basedOn w:val="Normal"/>
    <w:link w:val="BalloonTextChar"/>
    <w:uiPriority w:val="99"/>
    <w:semiHidden/>
    <w:unhideWhenUsed/>
    <w:rsid w:val="00D350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05D"/>
    <w:rPr>
      <w:rFonts w:ascii="Segoe UI" w:eastAsiaTheme="minorEastAsia" w:hAnsi="Segoe UI" w:cs="Segoe UI"/>
      <w:kern w:val="0"/>
      <w:sz w:val="18"/>
      <w:szCs w:val="18"/>
      <w:lang w:eastAsia="zh-CN"/>
      <w14:ligatures w14:val="none"/>
    </w:rPr>
  </w:style>
  <w:style w:type="paragraph" w:styleId="ListParagraph">
    <w:name w:val="List Paragraph"/>
    <w:basedOn w:val="Normal"/>
    <w:uiPriority w:val="34"/>
    <w:qFormat/>
    <w:rsid w:val="00D3505D"/>
    <w:pPr>
      <w:ind w:left="720"/>
      <w:contextualSpacing/>
    </w:pPr>
  </w:style>
  <w:style w:type="paragraph" w:styleId="NormalWeb">
    <w:name w:val="Normal (Web)"/>
    <w:basedOn w:val="Normal"/>
    <w:uiPriority w:val="99"/>
    <w:semiHidden/>
    <w:unhideWhenUsed/>
    <w:rsid w:val="00E96A59"/>
    <w:rPr>
      <w:rFonts w:ascii="Times New Roman" w:hAnsi="Times New Roman" w:cs="Times New Roman"/>
      <w:sz w:val="24"/>
      <w:szCs w:val="24"/>
    </w:rPr>
  </w:style>
  <w:style w:type="character" w:styleId="PlaceholderText">
    <w:name w:val="Placeholder Text"/>
    <w:basedOn w:val="DefaultParagraphFont"/>
    <w:uiPriority w:val="99"/>
    <w:semiHidden/>
    <w:rsid w:val="007B61C8"/>
    <w:rPr>
      <w:color w:val="666666"/>
    </w:rPr>
  </w:style>
  <w:style w:type="paragraph" w:styleId="Bibliography">
    <w:name w:val="Bibliography"/>
    <w:basedOn w:val="Normal"/>
    <w:next w:val="Normal"/>
    <w:uiPriority w:val="37"/>
    <w:unhideWhenUsed/>
    <w:rsid w:val="0083113B"/>
    <w:pPr>
      <w:tabs>
        <w:tab w:val="left" w:pos="264"/>
      </w:tabs>
      <w:spacing w:after="0" w:line="480" w:lineRule="auto"/>
      <w:ind w:left="264" w:hanging="264"/>
    </w:pPr>
  </w:style>
  <w:style w:type="character" w:customStyle="1" w:styleId="Heading1Char">
    <w:name w:val="Heading 1 Char"/>
    <w:basedOn w:val="DefaultParagraphFont"/>
    <w:link w:val="Heading1"/>
    <w:uiPriority w:val="9"/>
    <w:rsid w:val="0083113B"/>
    <w:rPr>
      <w:rFonts w:asciiTheme="majorHAnsi" w:eastAsiaTheme="majorEastAsia" w:hAnsiTheme="majorHAnsi" w:cstheme="majorBidi"/>
      <w:color w:val="2F5496" w:themeColor="accent1" w:themeShade="BF"/>
      <w:kern w:val="0"/>
      <w:sz w:val="40"/>
      <w:szCs w:val="40"/>
      <w:lang w:eastAsia="zh-CN"/>
      <w14:ligatures w14:val="none"/>
    </w:rPr>
  </w:style>
  <w:style w:type="character" w:styleId="LineNumber">
    <w:name w:val="line number"/>
    <w:basedOn w:val="DefaultParagraphFont"/>
    <w:uiPriority w:val="99"/>
    <w:semiHidden/>
    <w:unhideWhenUsed/>
    <w:rsid w:val="00C36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5794">
      <w:bodyDiv w:val="1"/>
      <w:marLeft w:val="0"/>
      <w:marRight w:val="0"/>
      <w:marTop w:val="0"/>
      <w:marBottom w:val="0"/>
      <w:divBdr>
        <w:top w:val="none" w:sz="0" w:space="0" w:color="auto"/>
        <w:left w:val="none" w:sz="0" w:space="0" w:color="auto"/>
        <w:bottom w:val="none" w:sz="0" w:space="0" w:color="auto"/>
        <w:right w:val="none" w:sz="0" w:space="0" w:color="auto"/>
      </w:divBdr>
    </w:div>
    <w:div w:id="30302460">
      <w:bodyDiv w:val="1"/>
      <w:marLeft w:val="0"/>
      <w:marRight w:val="0"/>
      <w:marTop w:val="0"/>
      <w:marBottom w:val="0"/>
      <w:divBdr>
        <w:top w:val="none" w:sz="0" w:space="0" w:color="auto"/>
        <w:left w:val="none" w:sz="0" w:space="0" w:color="auto"/>
        <w:bottom w:val="none" w:sz="0" w:space="0" w:color="auto"/>
        <w:right w:val="none" w:sz="0" w:space="0" w:color="auto"/>
      </w:divBdr>
    </w:div>
    <w:div w:id="44069548">
      <w:bodyDiv w:val="1"/>
      <w:marLeft w:val="0"/>
      <w:marRight w:val="0"/>
      <w:marTop w:val="0"/>
      <w:marBottom w:val="0"/>
      <w:divBdr>
        <w:top w:val="none" w:sz="0" w:space="0" w:color="auto"/>
        <w:left w:val="none" w:sz="0" w:space="0" w:color="auto"/>
        <w:bottom w:val="none" w:sz="0" w:space="0" w:color="auto"/>
        <w:right w:val="none" w:sz="0" w:space="0" w:color="auto"/>
      </w:divBdr>
    </w:div>
    <w:div w:id="85004788">
      <w:bodyDiv w:val="1"/>
      <w:marLeft w:val="0"/>
      <w:marRight w:val="0"/>
      <w:marTop w:val="0"/>
      <w:marBottom w:val="0"/>
      <w:divBdr>
        <w:top w:val="none" w:sz="0" w:space="0" w:color="auto"/>
        <w:left w:val="none" w:sz="0" w:space="0" w:color="auto"/>
        <w:bottom w:val="none" w:sz="0" w:space="0" w:color="auto"/>
        <w:right w:val="none" w:sz="0" w:space="0" w:color="auto"/>
      </w:divBdr>
    </w:div>
    <w:div w:id="132063827">
      <w:bodyDiv w:val="1"/>
      <w:marLeft w:val="0"/>
      <w:marRight w:val="0"/>
      <w:marTop w:val="0"/>
      <w:marBottom w:val="0"/>
      <w:divBdr>
        <w:top w:val="none" w:sz="0" w:space="0" w:color="auto"/>
        <w:left w:val="none" w:sz="0" w:space="0" w:color="auto"/>
        <w:bottom w:val="none" w:sz="0" w:space="0" w:color="auto"/>
        <w:right w:val="none" w:sz="0" w:space="0" w:color="auto"/>
      </w:divBdr>
    </w:div>
    <w:div w:id="143543807">
      <w:bodyDiv w:val="1"/>
      <w:marLeft w:val="0"/>
      <w:marRight w:val="0"/>
      <w:marTop w:val="0"/>
      <w:marBottom w:val="0"/>
      <w:divBdr>
        <w:top w:val="none" w:sz="0" w:space="0" w:color="auto"/>
        <w:left w:val="none" w:sz="0" w:space="0" w:color="auto"/>
        <w:bottom w:val="none" w:sz="0" w:space="0" w:color="auto"/>
        <w:right w:val="none" w:sz="0" w:space="0" w:color="auto"/>
      </w:divBdr>
    </w:div>
    <w:div w:id="191190490">
      <w:bodyDiv w:val="1"/>
      <w:marLeft w:val="0"/>
      <w:marRight w:val="0"/>
      <w:marTop w:val="0"/>
      <w:marBottom w:val="0"/>
      <w:divBdr>
        <w:top w:val="none" w:sz="0" w:space="0" w:color="auto"/>
        <w:left w:val="none" w:sz="0" w:space="0" w:color="auto"/>
        <w:bottom w:val="none" w:sz="0" w:space="0" w:color="auto"/>
        <w:right w:val="none" w:sz="0" w:space="0" w:color="auto"/>
      </w:divBdr>
    </w:div>
    <w:div w:id="276916667">
      <w:bodyDiv w:val="1"/>
      <w:marLeft w:val="0"/>
      <w:marRight w:val="0"/>
      <w:marTop w:val="0"/>
      <w:marBottom w:val="0"/>
      <w:divBdr>
        <w:top w:val="none" w:sz="0" w:space="0" w:color="auto"/>
        <w:left w:val="none" w:sz="0" w:space="0" w:color="auto"/>
        <w:bottom w:val="none" w:sz="0" w:space="0" w:color="auto"/>
        <w:right w:val="none" w:sz="0" w:space="0" w:color="auto"/>
      </w:divBdr>
    </w:div>
    <w:div w:id="515844579">
      <w:bodyDiv w:val="1"/>
      <w:marLeft w:val="0"/>
      <w:marRight w:val="0"/>
      <w:marTop w:val="0"/>
      <w:marBottom w:val="0"/>
      <w:divBdr>
        <w:top w:val="none" w:sz="0" w:space="0" w:color="auto"/>
        <w:left w:val="none" w:sz="0" w:space="0" w:color="auto"/>
        <w:bottom w:val="none" w:sz="0" w:space="0" w:color="auto"/>
        <w:right w:val="none" w:sz="0" w:space="0" w:color="auto"/>
      </w:divBdr>
    </w:div>
    <w:div w:id="548297850">
      <w:bodyDiv w:val="1"/>
      <w:marLeft w:val="0"/>
      <w:marRight w:val="0"/>
      <w:marTop w:val="0"/>
      <w:marBottom w:val="0"/>
      <w:divBdr>
        <w:top w:val="none" w:sz="0" w:space="0" w:color="auto"/>
        <w:left w:val="none" w:sz="0" w:space="0" w:color="auto"/>
        <w:bottom w:val="none" w:sz="0" w:space="0" w:color="auto"/>
        <w:right w:val="none" w:sz="0" w:space="0" w:color="auto"/>
      </w:divBdr>
    </w:div>
    <w:div w:id="611404906">
      <w:bodyDiv w:val="1"/>
      <w:marLeft w:val="0"/>
      <w:marRight w:val="0"/>
      <w:marTop w:val="0"/>
      <w:marBottom w:val="0"/>
      <w:divBdr>
        <w:top w:val="none" w:sz="0" w:space="0" w:color="auto"/>
        <w:left w:val="none" w:sz="0" w:space="0" w:color="auto"/>
        <w:bottom w:val="none" w:sz="0" w:space="0" w:color="auto"/>
        <w:right w:val="none" w:sz="0" w:space="0" w:color="auto"/>
      </w:divBdr>
    </w:div>
    <w:div w:id="620963139">
      <w:bodyDiv w:val="1"/>
      <w:marLeft w:val="0"/>
      <w:marRight w:val="0"/>
      <w:marTop w:val="0"/>
      <w:marBottom w:val="0"/>
      <w:divBdr>
        <w:top w:val="none" w:sz="0" w:space="0" w:color="auto"/>
        <w:left w:val="none" w:sz="0" w:space="0" w:color="auto"/>
        <w:bottom w:val="none" w:sz="0" w:space="0" w:color="auto"/>
        <w:right w:val="none" w:sz="0" w:space="0" w:color="auto"/>
      </w:divBdr>
    </w:div>
    <w:div w:id="636490169">
      <w:bodyDiv w:val="1"/>
      <w:marLeft w:val="0"/>
      <w:marRight w:val="0"/>
      <w:marTop w:val="0"/>
      <w:marBottom w:val="0"/>
      <w:divBdr>
        <w:top w:val="none" w:sz="0" w:space="0" w:color="auto"/>
        <w:left w:val="none" w:sz="0" w:space="0" w:color="auto"/>
        <w:bottom w:val="none" w:sz="0" w:space="0" w:color="auto"/>
        <w:right w:val="none" w:sz="0" w:space="0" w:color="auto"/>
      </w:divBdr>
    </w:div>
    <w:div w:id="645666749">
      <w:bodyDiv w:val="1"/>
      <w:marLeft w:val="0"/>
      <w:marRight w:val="0"/>
      <w:marTop w:val="0"/>
      <w:marBottom w:val="0"/>
      <w:divBdr>
        <w:top w:val="none" w:sz="0" w:space="0" w:color="auto"/>
        <w:left w:val="none" w:sz="0" w:space="0" w:color="auto"/>
        <w:bottom w:val="none" w:sz="0" w:space="0" w:color="auto"/>
        <w:right w:val="none" w:sz="0" w:space="0" w:color="auto"/>
      </w:divBdr>
    </w:div>
    <w:div w:id="691761651">
      <w:bodyDiv w:val="1"/>
      <w:marLeft w:val="0"/>
      <w:marRight w:val="0"/>
      <w:marTop w:val="0"/>
      <w:marBottom w:val="0"/>
      <w:divBdr>
        <w:top w:val="none" w:sz="0" w:space="0" w:color="auto"/>
        <w:left w:val="none" w:sz="0" w:space="0" w:color="auto"/>
        <w:bottom w:val="none" w:sz="0" w:space="0" w:color="auto"/>
        <w:right w:val="none" w:sz="0" w:space="0" w:color="auto"/>
      </w:divBdr>
    </w:div>
    <w:div w:id="827289300">
      <w:bodyDiv w:val="1"/>
      <w:marLeft w:val="0"/>
      <w:marRight w:val="0"/>
      <w:marTop w:val="0"/>
      <w:marBottom w:val="0"/>
      <w:divBdr>
        <w:top w:val="none" w:sz="0" w:space="0" w:color="auto"/>
        <w:left w:val="none" w:sz="0" w:space="0" w:color="auto"/>
        <w:bottom w:val="none" w:sz="0" w:space="0" w:color="auto"/>
        <w:right w:val="none" w:sz="0" w:space="0" w:color="auto"/>
      </w:divBdr>
    </w:div>
    <w:div w:id="833297981">
      <w:bodyDiv w:val="1"/>
      <w:marLeft w:val="0"/>
      <w:marRight w:val="0"/>
      <w:marTop w:val="0"/>
      <w:marBottom w:val="0"/>
      <w:divBdr>
        <w:top w:val="none" w:sz="0" w:space="0" w:color="auto"/>
        <w:left w:val="none" w:sz="0" w:space="0" w:color="auto"/>
        <w:bottom w:val="none" w:sz="0" w:space="0" w:color="auto"/>
        <w:right w:val="none" w:sz="0" w:space="0" w:color="auto"/>
      </w:divBdr>
    </w:div>
    <w:div w:id="846139835">
      <w:bodyDiv w:val="1"/>
      <w:marLeft w:val="0"/>
      <w:marRight w:val="0"/>
      <w:marTop w:val="0"/>
      <w:marBottom w:val="0"/>
      <w:divBdr>
        <w:top w:val="none" w:sz="0" w:space="0" w:color="auto"/>
        <w:left w:val="none" w:sz="0" w:space="0" w:color="auto"/>
        <w:bottom w:val="none" w:sz="0" w:space="0" w:color="auto"/>
        <w:right w:val="none" w:sz="0" w:space="0" w:color="auto"/>
      </w:divBdr>
    </w:div>
    <w:div w:id="951286708">
      <w:bodyDiv w:val="1"/>
      <w:marLeft w:val="0"/>
      <w:marRight w:val="0"/>
      <w:marTop w:val="0"/>
      <w:marBottom w:val="0"/>
      <w:divBdr>
        <w:top w:val="none" w:sz="0" w:space="0" w:color="auto"/>
        <w:left w:val="none" w:sz="0" w:space="0" w:color="auto"/>
        <w:bottom w:val="none" w:sz="0" w:space="0" w:color="auto"/>
        <w:right w:val="none" w:sz="0" w:space="0" w:color="auto"/>
      </w:divBdr>
      <w:divsChild>
        <w:div w:id="1142230092">
          <w:marLeft w:val="0"/>
          <w:marRight w:val="0"/>
          <w:marTop w:val="0"/>
          <w:marBottom w:val="0"/>
          <w:divBdr>
            <w:top w:val="none" w:sz="0" w:space="0" w:color="auto"/>
            <w:left w:val="none" w:sz="0" w:space="0" w:color="auto"/>
            <w:bottom w:val="none" w:sz="0" w:space="0" w:color="auto"/>
            <w:right w:val="none" w:sz="0" w:space="0" w:color="auto"/>
          </w:divBdr>
          <w:divsChild>
            <w:div w:id="2128616538">
              <w:marLeft w:val="0"/>
              <w:marRight w:val="0"/>
              <w:marTop w:val="0"/>
              <w:marBottom w:val="0"/>
              <w:divBdr>
                <w:top w:val="none" w:sz="0" w:space="0" w:color="auto"/>
                <w:left w:val="none" w:sz="0" w:space="0" w:color="auto"/>
                <w:bottom w:val="none" w:sz="0" w:space="0" w:color="auto"/>
                <w:right w:val="none" w:sz="0" w:space="0" w:color="auto"/>
              </w:divBdr>
              <w:divsChild>
                <w:div w:id="1880821437">
                  <w:marLeft w:val="0"/>
                  <w:marRight w:val="0"/>
                  <w:marTop w:val="0"/>
                  <w:marBottom w:val="0"/>
                  <w:divBdr>
                    <w:top w:val="none" w:sz="0" w:space="0" w:color="auto"/>
                    <w:left w:val="none" w:sz="0" w:space="0" w:color="auto"/>
                    <w:bottom w:val="none" w:sz="0" w:space="0" w:color="auto"/>
                    <w:right w:val="none" w:sz="0" w:space="0" w:color="auto"/>
                  </w:divBdr>
                  <w:divsChild>
                    <w:div w:id="1949118634">
                      <w:marLeft w:val="0"/>
                      <w:marRight w:val="0"/>
                      <w:marTop w:val="0"/>
                      <w:marBottom w:val="0"/>
                      <w:divBdr>
                        <w:top w:val="none" w:sz="0" w:space="0" w:color="auto"/>
                        <w:left w:val="none" w:sz="0" w:space="0" w:color="auto"/>
                        <w:bottom w:val="none" w:sz="0" w:space="0" w:color="auto"/>
                        <w:right w:val="none" w:sz="0" w:space="0" w:color="auto"/>
                      </w:divBdr>
                      <w:divsChild>
                        <w:div w:id="1097361668">
                          <w:marLeft w:val="0"/>
                          <w:marRight w:val="0"/>
                          <w:marTop w:val="0"/>
                          <w:marBottom w:val="0"/>
                          <w:divBdr>
                            <w:top w:val="none" w:sz="0" w:space="0" w:color="auto"/>
                            <w:left w:val="none" w:sz="0" w:space="0" w:color="auto"/>
                            <w:bottom w:val="none" w:sz="0" w:space="0" w:color="auto"/>
                            <w:right w:val="none" w:sz="0" w:space="0" w:color="auto"/>
                          </w:divBdr>
                          <w:divsChild>
                            <w:div w:id="1827090610">
                              <w:marLeft w:val="0"/>
                              <w:marRight w:val="0"/>
                              <w:marTop w:val="0"/>
                              <w:marBottom w:val="0"/>
                              <w:divBdr>
                                <w:top w:val="none" w:sz="0" w:space="0" w:color="auto"/>
                                <w:left w:val="none" w:sz="0" w:space="0" w:color="auto"/>
                                <w:bottom w:val="none" w:sz="0" w:space="0" w:color="auto"/>
                                <w:right w:val="none" w:sz="0" w:space="0" w:color="auto"/>
                              </w:divBdr>
                              <w:divsChild>
                                <w:div w:id="14697740">
                                  <w:marLeft w:val="0"/>
                                  <w:marRight w:val="0"/>
                                  <w:marTop w:val="0"/>
                                  <w:marBottom w:val="0"/>
                                  <w:divBdr>
                                    <w:top w:val="none" w:sz="0" w:space="0" w:color="auto"/>
                                    <w:left w:val="none" w:sz="0" w:space="0" w:color="auto"/>
                                    <w:bottom w:val="none" w:sz="0" w:space="0" w:color="auto"/>
                                    <w:right w:val="none" w:sz="0" w:space="0" w:color="auto"/>
                                  </w:divBdr>
                                  <w:divsChild>
                                    <w:div w:id="852838178">
                                      <w:marLeft w:val="0"/>
                                      <w:marRight w:val="0"/>
                                      <w:marTop w:val="0"/>
                                      <w:marBottom w:val="0"/>
                                      <w:divBdr>
                                        <w:top w:val="none" w:sz="0" w:space="0" w:color="auto"/>
                                        <w:left w:val="none" w:sz="0" w:space="0" w:color="auto"/>
                                        <w:bottom w:val="none" w:sz="0" w:space="0" w:color="auto"/>
                                        <w:right w:val="none" w:sz="0" w:space="0" w:color="auto"/>
                                      </w:divBdr>
                                      <w:divsChild>
                                        <w:div w:id="37423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1546919">
      <w:bodyDiv w:val="1"/>
      <w:marLeft w:val="0"/>
      <w:marRight w:val="0"/>
      <w:marTop w:val="0"/>
      <w:marBottom w:val="0"/>
      <w:divBdr>
        <w:top w:val="none" w:sz="0" w:space="0" w:color="auto"/>
        <w:left w:val="none" w:sz="0" w:space="0" w:color="auto"/>
        <w:bottom w:val="none" w:sz="0" w:space="0" w:color="auto"/>
        <w:right w:val="none" w:sz="0" w:space="0" w:color="auto"/>
      </w:divBdr>
    </w:div>
    <w:div w:id="986714163">
      <w:bodyDiv w:val="1"/>
      <w:marLeft w:val="0"/>
      <w:marRight w:val="0"/>
      <w:marTop w:val="0"/>
      <w:marBottom w:val="0"/>
      <w:divBdr>
        <w:top w:val="none" w:sz="0" w:space="0" w:color="auto"/>
        <w:left w:val="none" w:sz="0" w:space="0" w:color="auto"/>
        <w:bottom w:val="none" w:sz="0" w:space="0" w:color="auto"/>
        <w:right w:val="none" w:sz="0" w:space="0" w:color="auto"/>
      </w:divBdr>
    </w:div>
    <w:div w:id="999508188">
      <w:bodyDiv w:val="1"/>
      <w:marLeft w:val="0"/>
      <w:marRight w:val="0"/>
      <w:marTop w:val="0"/>
      <w:marBottom w:val="0"/>
      <w:divBdr>
        <w:top w:val="none" w:sz="0" w:space="0" w:color="auto"/>
        <w:left w:val="none" w:sz="0" w:space="0" w:color="auto"/>
        <w:bottom w:val="none" w:sz="0" w:space="0" w:color="auto"/>
        <w:right w:val="none" w:sz="0" w:space="0" w:color="auto"/>
      </w:divBdr>
    </w:div>
    <w:div w:id="1039009879">
      <w:bodyDiv w:val="1"/>
      <w:marLeft w:val="0"/>
      <w:marRight w:val="0"/>
      <w:marTop w:val="0"/>
      <w:marBottom w:val="0"/>
      <w:divBdr>
        <w:top w:val="none" w:sz="0" w:space="0" w:color="auto"/>
        <w:left w:val="none" w:sz="0" w:space="0" w:color="auto"/>
        <w:bottom w:val="none" w:sz="0" w:space="0" w:color="auto"/>
        <w:right w:val="none" w:sz="0" w:space="0" w:color="auto"/>
      </w:divBdr>
    </w:div>
    <w:div w:id="1124691747">
      <w:bodyDiv w:val="1"/>
      <w:marLeft w:val="0"/>
      <w:marRight w:val="0"/>
      <w:marTop w:val="0"/>
      <w:marBottom w:val="0"/>
      <w:divBdr>
        <w:top w:val="none" w:sz="0" w:space="0" w:color="auto"/>
        <w:left w:val="none" w:sz="0" w:space="0" w:color="auto"/>
        <w:bottom w:val="none" w:sz="0" w:space="0" w:color="auto"/>
        <w:right w:val="none" w:sz="0" w:space="0" w:color="auto"/>
      </w:divBdr>
    </w:div>
    <w:div w:id="1277249223">
      <w:bodyDiv w:val="1"/>
      <w:marLeft w:val="0"/>
      <w:marRight w:val="0"/>
      <w:marTop w:val="0"/>
      <w:marBottom w:val="0"/>
      <w:divBdr>
        <w:top w:val="none" w:sz="0" w:space="0" w:color="auto"/>
        <w:left w:val="none" w:sz="0" w:space="0" w:color="auto"/>
        <w:bottom w:val="none" w:sz="0" w:space="0" w:color="auto"/>
        <w:right w:val="none" w:sz="0" w:space="0" w:color="auto"/>
      </w:divBdr>
    </w:div>
    <w:div w:id="1370451882">
      <w:bodyDiv w:val="1"/>
      <w:marLeft w:val="0"/>
      <w:marRight w:val="0"/>
      <w:marTop w:val="0"/>
      <w:marBottom w:val="0"/>
      <w:divBdr>
        <w:top w:val="none" w:sz="0" w:space="0" w:color="auto"/>
        <w:left w:val="none" w:sz="0" w:space="0" w:color="auto"/>
        <w:bottom w:val="none" w:sz="0" w:space="0" w:color="auto"/>
        <w:right w:val="none" w:sz="0" w:space="0" w:color="auto"/>
      </w:divBdr>
    </w:div>
    <w:div w:id="1411729512">
      <w:bodyDiv w:val="1"/>
      <w:marLeft w:val="0"/>
      <w:marRight w:val="0"/>
      <w:marTop w:val="0"/>
      <w:marBottom w:val="0"/>
      <w:divBdr>
        <w:top w:val="none" w:sz="0" w:space="0" w:color="auto"/>
        <w:left w:val="none" w:sz="0" w:space="0" w:color="auto"/>
        <w:bottom w:val="none" w:sz="0" w:space="0" w:color="auto"/>
        <w:right w:val="none" w:sz="0" w:space="0" w:color="auto"/>
      </w:divBdr>
    </w:div>
    <w:div w:id="1467308723">
      <w:bodyDiv w:val="1"/>
      <w:marLeft w:val="0"/>
      <w:marRight w:val="0"/>
      <w:marTop w:val="0"/>
      <w:marBottom w:val="0"/>
      <w:divBdr>
        <w:top w:val="none" w:sz="0" w:space="0" w:color="auto"/>
        <w:left w:val="none" w:sz="0" w:space="0" w:color="auto"/>
        <w:bottom w:val="none" w:sz="0" w:space="0" w:color="auto"/>
        <w:right w:val="none" w:sz="0" w:space="0" w:color="auto"/>
      </w:divBdr>
    </w:div>
    <w:div w:id="1470512011">
      <w:bodyDiv w:val="1"/>
      <w:marLeft w:val="0"/>
      <w:marRight w:val="0"/>
      <w:marTop w:val="0"/>
      <w:marBottom w:val="0"/>
      <w:divBdr>
        <w:top w:val="none" w:sz="0" w:space="0" w:color="auto"/>
        <w:left w:val="none" w:sz="0" w:space="0" w:color="auto"/>
        <w:bottom w:val="none" w:sz="0" w:space="0" w:color="auto"/>
        <w:right w:val="none" w:sz="0" w:space="0" w:color="auto"/>
      </w:divBdr>
    </w:div>
    <w:div w:id="1553269859">
      <w:bodyDiv w:val="1"/>
      <w:marLeft w:val="0"/>
      <w:marRight w:val="0"/>
      <w:marTop w:val="0"/>
      <w:marBottom w:val="0"/>
      <w:divBdr>
        <w:top w:val="none" w:sz="0" w:space="0" w:color="auto"/>
        <w:left w:val="none" w:sz="0" w:space="0" w:color="auto"/>
        <w:bottom w:val="none" w:sz="0" w:space="0" w:color="auto"/>
        <w:right w:val="none" w:sz="0" w:space="0" w:color="auto"/>
      </w:divBdr>
    </w:div>
    <w:div w:id="1616716470">
      <w:bodyDiv w:val="1"/>
      <w:marLeft w:val="0"/>
      <w:marRight w:val="0"/>
      <w:marTop w:val="0"/>
      <w:marBottom w:val="0"/>
      <w:divBdr>
        <w:top w:val="none" w:sz="0" w:space="0" w:color="auto"/>
        <w:left w:val="none" w:sz="0" w:space="0" w:color="auto"/>
        <w:bottom w:val="none" w:sz="0" w:space="0" w:color="auto"/>
        <w:right w:val="none" w:sz="0" w:space="0" w:color="auto"/>
      </w:divBdr>
    </w:div>
    <w:div w:id="1703281534">
      <w:bodyDiv w:val="1"/>
      <w:marLeft w:val="0"/>
      <w:marRight w:val="0"/>
      <w:marTop w:val="0"/>
      <w:marBottom w:val="0"/>
      <w:divBdr>
        <w:top w:val="none" w:sz="0" w:space="0" w:color="auto"/>
        <w:left w:val="none" w:sz="0" w:space="0" w:color="auto"/>
        <w:bottom w:val="none" w:sz="0" w:space="0" w:color="auto"/>
        <w:right w:val="none" w:sz="0" w:space="0" w:color="auto"/>
      </w:divBdr>
    </w:div>
    <w:div w:id="1708412378">
      <w:bodyDiv w:val="1"/>
      <w:marLeft w:val="0"/>
      <w:marRight w:val="0"/>
      <w:marTop w:val="0"/>
      <w:marBottom w:val="0"/>
      <w:divBdr>
        <w:top w:val="none" w:sz="0" w:space="0" w:color="auto"/>
        <w:left w:val="none" w:sz="0" w:space="0" w:color="auto"/>
        <w:bottom w:val="none" w:sz="0" w:space="0" w:color="auto"/>
        <w:right w:val="none" w:sz="0" w:space="0" w:color="auto"/>
      </w:divBdr>
    </w:div>
    <w:div w:id="1710376801">
      <w:bodyDiv w:val="1"/>
      <w:marLeft w:val="0"/>
      <w:marRight w:val="0"/>
      <w:marTop w:val="0"/>
      <w:marBottom w:val="0"/>
      <w:divBdr>
        <w:top w:val="none" w:sz="0" w:space="0" w:color="auto"/>
        <w:left w:val="none" w:sz="0" w:space="0" w:color="auto"/>
        <w:bottom w:val="none" w:sz="0" w:space="0" w:color="auto"/>
        <w:right w:val="none" w:sz="0" w:space="0" w:color="auto"/>
      </w:divBdr>
    </w:div>
    <w:div w:id="1769348046">
      <w:bodyDiv w:val="1"/>
      <w:marLeft w:val="0"/>
      <w:marRight w:val="0"/>
      <w:marTop w:val="0"/>
      <w:marBottom w:val="0"/>
      <w:divBdr>
        <w:top w:val="none" w:sz="0" w:space="0" w:color="auto"/>
        <w:left w:val="none" w:sz="0" w:space="0" w:color="auto"/>
        <w:bottom w:val="none" w:sz="0" w:space="0" w:color="auto"/>
        <w:right w:val="none" w:sz="0" w:space="0" w:color="auto"/>
      </w:divBdr>
    </w:div>
    <w:div w:id="1792167210">
      <w:bodyDiv w:val="1"/>
      <w:marLeft w:val="0"/>
      <w:marRight w:val="0"/>
      <w:marTop w:val="0"/>
      <w:marBottom w:val="0"/>
      <w:divBdr>
        <w:top w:val="none" w:sz="0" w:space="0" w:color="auto"/>
        <w:left w:val="none" w:sz="0" w:space="0" w:color="auto"/>
        <w:bottom w:val="none" w:sz="0" w:space="0" w:color="auto"/>
        <w:right w:val="none" w:sz="0" w:space="0" w:color="auto"/>
      </w:divBdr>
    </w:div>
    <w:div w:id="1804421260">
      <w:bodyDiv w:val="1"/>
      <w:marLeft w:val="0"/>
      <w:marRight w:val="0"/>
      <w:marTop w:val="0"/>
      <w:marBottom w:val="0"/>
      <w:divBdr>
        <w:top w:val="none" w:sz="0" w:space="0" w:color="auto"/>
        <w:left w:val="none" w:sz="0" w:space="0" w:color="auto"/>
        <w:bottom w:val="none" w:sz="0" w:space="0" w:color="auto"/>
        <w:right w:val="none" w:sz="0" w:space="0" w:color="auto"/>
      </w:divBdr>
    </w:div>
    <w:div w:id="1825703898">
      <w:bodyDiv w:val="1"/>
      <w:marLeft w:val="0"/>
      <w:marRight w:val="0"/>
      <w:marTop w:val="0"/>
      <w:marBottom w:val="0"/>
      <w:divBdr>
        <w:top w:val="none" w:sz="0" w:space="0" w:color="auto"/>
        <w:left w:val="none" w:sz="0" w:space="0" w:color="auto"/>
        <w:bottom w:val="none" w:sz="0" w:space="0" w:color="auto"/>
        <w:right w:val="none" w:sz="0" w:space="0" w:color="auto"/>
      </w:divBdr>
    </w:div>
    <w:div w:id="1872961656">
      <w:bodyDiv w:val="1"/>
      <w:marLeft w:val="0"/>
      <w:marRight w:val="0"/>
      <w:marTop w:val="0"/>
      <w:marBottom w:val="0"/>
      <w:divBdr>
        <w:top w:val="none" w:sz="0" w:space="0" w:color="auto"/>
        <w:left w:val="none" w:sz="0" w:space="0" w:color="auto"/>
        <w:bottom w:val="none" w:sz="0" w:space="0" w:color="auto"/>
        <w:right w:val="none" w:sz="0" w:space="0" w:color="auto"/>
      </w:divBdr>
    </w:div>
    <w:div w:id="1960137494">
      <w:bodyDiv w:val="1"/>
      <w:marLeft w:val="0"/>
      <w:marRight w:val="0"/>
      <w:marTop w:val="0"/>
      <w:marBottom w:val="0"/>
      <w:divBdr>
        <w:top w:val="none" w:sz="0" w:space="0" w:color="auto"/>
        <w:left w:val="none" w:sz="0" w:space="0" w:color="auto"/>
        <w:bottom w:val="none" w:sz="0" w:space="0" w:color="auto"/>
        <w:right w:val="none" w:sz="0" w:space="0" w:color="auto"/>
      </w:divBdr>
    </w:div>
    <w:div w:id="2024938899">
      <w:bodyDiv w:val="1"/>
      <w:marLeft w:val="0"/>
      <w:marRight w:val="0"/>
      <w:marTop w:val="0"/>
      <w:marBottom w:val="0"/>
      <w:divBdr>
        <w:top w:val="none" w:sz="0" w:space="0" w:color="auto"/>
        <w:left w:val="none" w:sz="0" w:space="0" w:color="auto"/>
        <w:bottom w:val="none" w:sz="0" w:space="0" w:color="auto"/>
        <w:right w:val="none" w:sz="0" w:space="0" w:color="auto"/>
      </w:divBdr>
      <w:divsChild>
        <w:div w:id="803810113">
          <w:marLeft w:val="0"/>
          <w:marRight w:val="0"/>
          <w:marTop w:val="0"/>
          <w:marBottom w:val="0"/>
          <w:divBdr>
            <w:top w:val="none" w:sz="0" w:space="0" w:color="auto"/>
            <w:left w:val="none" w:sz="0" w:space="0" w:color="auto"/>
            <w:bottom w:val="none" w:sz="0" w:space="0" w:color="auto"/>
            <w:right w:val="none" w:sz="0" w:space="0" w:color="auto"/>
          </w:divBdr>
          <w:divsChild>
            <w:div w:id="1707218146">
              <w:marLeft w:val="0"/>
              <w:marRight w:val="0"/>
              <w:marTop w:val="0"/>
              <w:marBottom w:val="0"/>
              <w:divBdr>
                <w:top w:val="none" w:sz="0" w:space="0" w:color="auto"/>
                <w:left w:val="none" w:sz="0" w:space="0" w:color="auto"/>
                <w:bottom w:val="none" w:sz="0" w:space="0" w:color="auto"/>
                <w:right w:val="none" w:sz="0" w:space="0" w:color="auto"/>
              </w:divBdr>
              <w:divsChild>
                <w:div w:id="536356375">
                  <w:marLeft w:val="0"/>
                  <w:marRight w:val="0"/>
                  <w:marTop w:val="0"/>
                  <w:marBottom w:val="0"/>
                  <w:divBdr>
                    <w:top w:val="none" w:sz="0" w:space="0" w:color="auto"/>
                    <w:left w:val="none" w:sz="0" w:space="0" w:color="auto"/>
                    <w:bottom w:val="none" w:sz="0" w:space="0" w:color="auto"/>
                    <w:right w:val="none" w:sz="0" w:space="0" w:color="auto"/>
                  </w:divBdr>
                  <w:divsChild>
                    <w:div w:id="1747802883">
                      <w:marLeft w:val="0"/>
                      <w:marRight w:val="0"/>
                      <w:marTop w:val="0"/>
                      <w:marBottom w:val="0"/>
                      <w:divBdr>
                        <w:top w:val="none" w:sz="0" w:space="0" w:color="auto"/>
                        <w:left w:val="none" w:sz="0" w:space="0" w:color="auto"/>
                        <w:bottom w:val="none" w:sz="0" w:space="0" w:color="auto"/>
                        <w:right w:val="none" w:sz="0" w:space="0" w:color="auto"/>
                      </w:divBdr>
                      <w:divsChild>
                        <w:div w:id="695665647">
                          <w:marLeft w:val="0"/>
                          <w:marRight w:val="0"/>
                          <w:marTop w:val="0"/>
                          <w:marBottom w:val="0"/>
                          <w:divBdr>
                            <w:top w:val="none" w:sz="0" w:space="0" w:color="auto"/>
                            <w:left w:val="none" w:sz="0" w:space="0" w:color="auto"/>
                            <w:bottom w:val="none" w:sz="0" w:space="0" w:color="auto"/>
                            <w:right w:val="none" w:sz="0" w:space="0" w:color="auto"/>
                          </w:divBdr>
                          <w:divsChild>
                            <w:div w:id="804081914">
                              <w:marLeft w:val="0"/>
                              <w:marRight w:val="0"/>
                              <w:marTop w:val="0"/>
                              <w:marBottom w:val="0"/>
                              <w:divBdr>
                                <w:top w:val="none" w:sz="0" w:space="0" w:color="auto"/>
                                <w:left w:val="none" w:sz="0" w:space="0" w:color="auto"/>
                                <w:bottom w:val="none" w:sz="0" w:space="0" w:color="auto"/>
                                <w:right w:val="none" w:sz="0" w:space="0" w:color="auto"/>
                              </w:divBdr>
                              <w:divsChild>
                                <w:div w:id="263268059">
                                  <w:marLeft w:val="0"/>
                                  <w:marRight w:val="0"/>
                                  <w:marTop w:val="0"/>
                                  <w:marBottom w:val="0"/>
                                  <w:divBdr>
                                    <w:top w:val="none" w:sz="0" w:space="0" w:color="auto"/>
                                    <w:left w:val="none" w:sz="0" w:space="0" w:color="auto"/>
                                    <w:bottom w:val="none" w:sz="0" w:space="0" w:color="auto"/>
                                    <w:right w:val="none" w:sz="0" w:space="0" w:color="auto"/>
                                  </w:divBdr>
                                  <w:divsChild>
                                    <w:div w:id="747002830">
                                      <w:marLeft w:val="0"/>
                                      <w:marRight w:val="0"/>
                                      <w:marTop w:val="0"/>
                                      <w:marBottom w:val="0"/>
                                      <w:divBdr>
                                        <w:top w:val="none" w:sz="0" w:space="0" w:color="auto"/>
                                        <w:left w:val="none" w:sz="0" w:space="0" w:color="auto"/>
                                        <w:bottom w:val="none" w:sz="0" w:space="0" w:color="auto"/>
                                        <w:right w:val="none" w:sz="0" w:space="0" w:color="auto"/>
                                      </w:divBdr>
                                      <w:divsChild>
                                        <w:div w:id="145209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6710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6F781B-8877-440A-A993-9759A16D7162}">
  <we:reference id="WA200001361" version="2.129.3.0" store="Omex" storeType="OMEX"/>
  <we:alternateReferences>
    <we:reference id="WA200001361" version="2.129.3.0" store="WA200001361" storeType="OMEX"/>
  </we:alternateReferences>
  <we:properties>
    <we:property name="paperpal-document-id" value="&quot;52495d61-b486-4047-8449-e7f996b04e25&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A70C8-860E-451A-91D9-062678785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TotalTime>
  <Pages>17</Pages>
  <Words>8843</Words>
  <Characters>50411</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Adekomi, Muiz A</dc:creator>
  <cp:keywords/>
  <dc:description/>
  <cp:lastModifiedBy>Adekomi, Muiz A</cp:lastModifiedBy>
  <cp:revision>22</cp:revision>
  <cp:lastPrinted>2025-07-29T13:44:00Z</cp:lastPrinted>
  <dcterms:created xsi:type="dcterms:W3CDTF">2025-07-29T13:44:00Z</dcterms:created>
  <dcterms:modified xsi:type="dcterms:W3CDTF">2025-08-05T20:10:00Z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f2afff62-fa94-406a-8b37-95cc260835a5</vt:lpwstr>
  </property>
  <property fmtid="{D5CDD505-2E9C-101B-9397-08002B2CF9AE}" pid="3" name="ZOTERO_PREF_1">
    <vt:lpwstr>&lt;data data-version="3" zotero-version="7.0.10"&gt;&lt;session id="8LvFLvcD"/&gt;&lt;style id="http://www.zotero.org/styles/nature" hasBibliography="1" bibliographyStyleHasBeenSet="1"/&gt;&lt;prefs&gt;&lt;pref name="fieldType" value="Field"/&gt;&lt;pref name="automaticJournalAbbreviati</vt:lpwstr>
  </property>
  <property fmtid="{D5CDD505-2E9C-101B-9397-08002B2CF9AE}" pid="4" name="ZOTERO_PREF_2">
    <vt:lpwstr>ons" value="true"/&gt;&lt;/prefs&gt;&lt;/data&gt;</vt:lpwstr>
  </property>
</Properties>
</file>