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1823A" w14:textId="35058A96" w:rsidR="00C169F2" w:rsidRDefault="00C169F2" w:rsidP="00C169F2">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Supplementary Material</w:t>
      </w:r>
    </w:p>
    <w:p w14:paraId="30A274C2" w14:textId="31F53D37" w:rsidR="00A366DF" w:rsidRDefault="00880FC1" w:rsidP="00C169F2">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 xml:space="preserve">1. </w:t>
      </w:r>
      <w:r w:rsidR="00A366DF">
        <w:rPr>
          <w:rFonts w:ascii="Calibri" w:eastAsia="Calibri" w:hAnsi="Calibri" w:cs="Calibri"/>
          <w:b/>
          <w:bCs/>
          <w:lang w:val="en-US"/>
        </w:rPr>
        <w:t>Assessment Materials</w:t>
      </w:r>
    </w:p>
    <w:p w14:paraId="7FBD4D5E" w14:textId="5B47E3DE" w:rsidR="00A700A6" w:rsidRPr="00012509" w:rsidRDefault="00C169F2" w:rsidP="00A700A6">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1</w:t>
      </w:r>
      <w:r w:rsidR="00A700A6">
        <w:rPr>
          <w:rFonts w:ascii="Calibri" w:eastAsia="Calibri" w:hAnsi="Calibri" w:cs="Calibri"/>
          <w:b/>
          <w:bCs/>
          <w:lang w:val="en-US"/>
        </w:rPr>
        <w:t>.</w:t>
      </w:r>
      <w:r w:rsidR="00880FC1">
        <w:rPr>
          <w:rFonts w:ascii="Calibri" w:eastAsia="Calibri" w:hAnsi="Calibri" w:cs="Calibri"/>
          <w:b/>
          <w:bCs/>
          <w:lang w:val="en-US"/>
        </w:rPr>
        <w:t>1.</w:t>
      </w:r>
      <w:r w:rsidR="00A700A6" w:rsidRPr="00012509">
        <w:rPr>
          <w:rFonts w:ascii="Calibri" w:eastAsia="Calibri" w:hAnsi="Calibri" w:cs="Calibri"/>
          <w:b/>
          <w:bCs/>
          <w:lang w:val="en-US"/>
        </w:rPr>
        <w:t xml:space="preserve"> Socio-demographic Data Form, Daily New Covid-19 Cases and Daily New Covid-19-related Deaths </w:t>
      </w:r>
    </w:p>
    <w:p w14:paraId="1C4E07DC" w14:textId="77777777" w:rsidR="00A700A6" w:rsidRPr="00670D91" w:rsidRDefault="00A700A6" w:rsidP="00A700A6">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 xml:space="preserve">Data regarding the date of birth, gender, the presence of a diagnosed psychiatric disorder, psychopharmacological medication use, cigarette and alcohol use within the last 30 days, lifetime illicit drug use, the history of SARS-CoV-2 infection, SARS-CoV-2 infection history in close family members, the history of psychiatric disorders in the first-degree relatives were collected. In the day when the participants filled the questionnaire , we get data regarding </w:t>
      </w:r>
      <w:r>
        <w:rPr>
          <w:rFonts w:ascii="Calibri" w:eastAsia="Calibri" w:hAnsi="Calibri" w:cs="Calibri"/>
          <w:lang w:val="en-US"/>
        </w:rPr>
        <w:t xml:space="preserve">the number of </w:t>
      </w:r>
      <w:r w:rsidRPr="00670D91">
        <w:rPr>
          <w:rFonts w:ascii="Calibri" w:eastAsia="Calibri" w:hAnsi="Calibri" w:cs="Calibri"/>
          <w:lang w:val="en-US"/>
        </w:rPr>
        <w:t xml:space="preserve">daily </w:t>
      </w:r>
      <w:r>
        <w:rPr>
          <w:rFonts w:ascii="Calibri" w:eastAsia="Calibri" w:hAnsi="Calibri" w:cs="Calibri"/>
          <w:lang w:val="en-US"/>
        </w:rPr>
        <w:t xml:space="preserve">new </w:t>
      </w:r>
      <w:r w:rsidRPr="00670D91">
        <w:rPr>
          <w:rFonts w:ascii="Calibri" w:eastAsia="Calibri" w:hAnsi="Calibri" w:cs="Calibri"/>
          <w:lang w:val="en-US"/>
        </w:rPr>
        <w:t xml:space="preserve">covid-19 cases and </w:t>
      </w:r>
      <w:r>
        <w:rPr>
          <w:rFonts w:ascii="Calibri" w:eastAsia="Calibri" w:hAnsi="Calibri" w:cs="Calibri"/>
          <w:lang w:val="en-US"/>
        </w:rPr>
        <w:t xml:space="preserve">daily new </w:t>
      </w:r>
      <w:r w:rsidRPr="00670D91">
        <w:rPr>
          <w:rFonts w:ascii="Calibri" w:eastAsia="Calibri" w:hAnsi="Calibri" w:cs="Calibri"/>
          <w:lang w:val="en-US"/>
        </w:rPr>
        <w:t>covid-19-related deaths in participant’s country from WHO Covid-19 Dashboard (</w:t>
      </w:r>
      <w:hyperlink r:id="rId4" w:history="1">
        <w:r w:rsidRPr="00670D91">
          <w:rPr>
            <w:rStyle w:val="Hyperlink"/>
            <w:rFonts w:ascii="Calibri" w:eastAsia="Calibri" w:hAnsi="Calibri" w:cs="Calibri"/>
            <w:lang w:val="en-US"/>
          </w:rPr>
          <w:t>https://data.who.int/dashboards/covid19/cases</w:t>
        </w:r>
      </w:hyperlink>
      <w:r w:rsidRPr="00670D91">
        <w:rPr>
          <w:rFonts w:ascii="Calibri" w:eastAsia="Calibri" w:hAnsi="Calibri" w:cs="Calibri"/>
          <w:lang w:val="en-US"/>
        </w:rPr>
        <w:t xml:space="preserve">). </w:t>
      </w:r>
    </w:p>
    <w:p w14:paraId="78904E5F" w14:textId="77777777" w:rsidR="00A700A6" w:rsidRPr="00670D91" w:rsidRDefault="00A700A6" w:rsidP="00A700A6">
      <w:pPr>
        <w:shd w:val="clear" w:color="auto" w:fill="FFFFFF"/>
        <w:spacing w:line="480" w:lineRule="auto"/>
        <w:jc w:val="both"/>
        <w:rPr>
          <w:rFonts w:ascii="Calibri" w:eastAsia="Calibri" w:hAnsi="Calibri" w:cs="Calibri"/>
          <w:lang w:val="en-US"/>
        </w:rPr>
      </w:pPr>
    </w:p>
    <w:p w14:paraId="531B8F57" w14:textId="6F0EFD10" w:rsidR="00A700A6" w:rsidRPr="00012509" w:rsidRDefault="00880FC1" w:rsidP="00A700A6">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1.</w:t>
      </w:r>
      <w:r w:rsidR="00A700A6">
        <w:rPr>
          <w:rFonts w:ascii="Calibri" w:eastAsia="Calibri" w:hAnsi="Calibri" w:cs="Calibri"/>
          <w:b/>
          <w:bCs/>
          <w:lang w:val="en-US"/>
        </w:rPr>
        <w:t>2.</w:t>
      </w:r>
      <w:r w:rsidR="00A700A6" w:rsidRPr="00012509">
        <w:rPr>
          <w:rFonts w:ascii="Calibri" w:eastAsia="Calibri" w:hAnsi="Calibri" w:cs="Calibri"/>
          <w:b/>
          <w:bCs/>
          <w:lang w:val="en-US"/>
        </w:rPr>
        <w:t xml:space="preserve"> The Community Assessment of Psychic Experiences (CAPE)</w:t>
      </w:r>
    </w:p>
    <w:p w14:paraId="6356EE1F" w14:textId="64BBCBBF" w:rsidR="00A700A6" w:rsidRPr="00670D91" w:rsidRDefault="00A700A6" w:rsidP="00A700A6">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CAPE consists of three dimensions: Positive symptoms (20 items), negative symptoms (14 items), and depressive symptoms (8 items)</w:t>
      </w:r>
      <w:r w:rsidR="0097368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TXILCJkD","properties":{"formattedCitation":"[1]","plainCitation":"[1]","noteIndex":0},"citationItems":[{"id":2030,"uris":["http://zotero.org/users/5053868/items/RMIIM34K",["http://zotero.org/users/5053868/items/RMIIM34K"]],"itemData":{"id":2030,"type":"article-journal","container-title":"Psychological medicine","issue":"2","note":"publisher: Cambridge University Press","page":"347–358","title":"Evidence that three dimensions of psychosis have a distribution in the general population","volume":"32","author":[{"family":"Stefanis","given":"NC"},{"family":"Hanssen","given":"M"},{"family":"Smirnis","given":"NK"},{"family":"Avramopoulos","given":"DA"},{"family":"Evdokimidis","given":"IK"},{"family":"Stefanis","given":"CN"},{"family":"Verdoux","given":"H"},{"family":"Van Os","given":"J"}],"issued":{"date-parts":[["2002"]]}}}],"schema":"https://github.com/citation-style-language/schema/raw/master/csl-citation.json"}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w:t>
      </w:r>
      <w:r w:rsidRPr="00670D91">
        <w:rPr>
          <w:rFonts w:ascii="Calibri" w:eastAsia="Calibri" w:hAnsi="Calibri" w:cs="Calibri"/>
          <w:lang w:val="en-US"/>
        </w:rPr>
        <w:fldChar w:fldCharType="end"/>
      </w:r>
      <w:r w:rsidR="00973681">
        <w:rPr>
          <w:rFonts w:ascii="Calibri" w:eastAsia="Calibri" w:hAnsi="Calibri" w:cs="Calibri"/>
          <w:lang w:val="en-US"/>
        </w:rPr>
        <w:t>.</w:t>
      </w:r>
      <w:r w:rsidRPr="00670D91">
        <w:rPr>
          <w:rFonts w:ascii="Calibri" w:eastAsia="Calibri" w:hAnsi="Calibri" w:cs="Calibri"/>
          <w:lang w:val="en-US"/>
        </w:rPr>
        <w:t xml:space="preserve"> Only the positive symptoms dimension of the CAPE (CAPE-Pos) was used in the current study. Instead of questions searching for lifetime experiences of PLEs, such as “In your lifetime, have you ever felt as if the thoughts in your head are not your own?”, modified items were applied: “Since March 2020 (Covid-19 outbreak), have you . . .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D4YQ9CJp","properties":{"formattedCitation":"[2]","plainCitation":"[2]","noteIndex":0},"citationItems":[{"id":2032,"uris":["http://zotero.org/users/5053868/items/T6PG92JK",["http://zotero.org/users/5053868/items/T6PG92JK"]],"itemData":{"id":2032,"type":"article-journal","container-title":"Schizophrenia Bulletin","DOI":"10.1093/schbul/sbv088","ISSN":"0586-7614, 1745-1701","journalAbbreviation":"SCHBUL","language":"en","page":"sbv088","source":"DOI.org (Crossref)","title":"Psychometric Properties of “Community Assessment of Psychic Experiences”: Review and Meta-analyses","title-short":"Psychometric Properties of “Community Assessment of Psychic Experiences”","author":[{"family":"Mark","given":"Winifred"},{"family":"Toulopoulou","given":"Timothea"}],"issued":{"date-parts":[["2015",7,6]]}}}],"schema":"https://github.com/citation-style-language/schema/raw/master/csl-citation.json"}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[2]</w:t>
      </w:r>
      <w:r w:rsidRPr="00670D91">
        <w:rPr>
          <w:rFonts w:ascii="Calibri" w:eastAsia="Calibri" w:hAnsi="Calibri" w:cs="Calibri"/>
          <w:lang w:val="en-US"/>
        </w:rPr>
        <w:fldChar w:fldCharType="end"/>
      </w:r>
      <w:r>
        <w:rPr>
          <w:rFonts w:ascii="Calibri" w:eastAsia="Calibri" w:hAnsi="Calibri" w:cs="Calibri"/>
          <w:lang w:val="en-US"/>
        </w:rPr>
        <w:t xml:space="preserve"> </w:t>
      </w:r>
      <w:r w:rsidRPr="00670D91">
        <w:rPr>
          <w:rFonts w:ascii="Calibri" w:eastAsia="Calibri" w:hAnsi="Calibri" w:cs="Calibri"/>
          <w:lang w:val="en-US"/>
        </w:rPr>
        <w:t xml:space="preserve">reported the meta-analytical reliability of the CAPE as 0.91. CAPE was found valid and reliable in </w:t>
      </w:r>
      <w:r>
        <w:rPr>
          <w:rFonts w:ascii="Calibri" w:eastAsia="Calibri" w:hAnsi="Calibri" w:cs="Calibri"/>
          <w:lang w:val="en-US"/>
        </w:rPr>
        <w:t>Turkey</w:t>
      </w:r>
      <w:r w:rsidR="0097368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U0ZmObwe","properties":{"formattedCitation":"[3]","plainCitation":"[3]","noteIndex":0},"citationItems":[{"id":1873,"uris":["http://zotero.org/users/5053868/items/DA7RJFD3",["http://zotero.org/users/5053868/items/DA7RJFD3"]],"itemData":{"id":1873,"type":"article-journal","container-title":"Yeni Symposium","DOI":"10.5455/NYS.20191009100419","ISSN":"1300-8773","issue":"57","journalAbbreviation":"NYS","page":"15-22","source":"DOI.org (Crossref)","title":"The Reliability and Validity of Community Assessment of Psychic Experiences Scale-Turkish Form","author":[{"family":"Sevi","given":"Oya"},{"family":"Ustamehmetoglu","given":"Feyzan"},{"family":"Gulen","given":"Müge"},{"family":"Zeybek","given":"Zekiye"}],"issued":{"date-parts":[["2019"]]}}}],"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[3]</w:t>
      </w:r>
      <w:r w:rsidRPr="00670D91">
        <w:rPr>
          <w:rFonts w:ascii="Calibri" w:eastAsia="Calibri" w:hAnsi="Calibri" w:cs="Calibri"/>
          <w:lang w:val="en-US"/>
        </w:rPr>
        <w:fldChar w:fldCharType="end"/>
      </w:r>
      <w:r w:rsidR="00973681">
        <w:rPr>
          <w:rFonts w:ascii="Calibri" w:eastAsia="Calibri" w:hAnsi="Calibri" w:cs="Calibri"/>
          <w:lang w:val="en-US"/>
        </w:rPr>
        <w:t>,</w:t>
      </w:r>
      <w:r w:rsidRPr="00670D91">
        <w:rPr>
          <w:rFonts w:ascii="Calibri" w:eastAsia="Calibri" w:hAnsi="Calibri" w:cs="Calibri"/>
          <w:lang w:val="en-US"/>
        </w:rPr>
        <w:t xml:space="preserve"> Spa</w:t>
      </w:r>
      <w:r>
        <w:rPr>
          <w:rFonts w:ascii="Calibri" w:eastAsia="Calibri" w:hAnsi="Calibri" w:cs="Calibri"/>
          <w:lang w:val="en-US"/>
        </w:rPr>
        <w:t>in</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u5xKzmUH","properties":{"formattedCitation":"[4]","plainCitation":"[4]","noteIndex":0},"citationItems":[{"id":1871,"uris":["http://zotero.org/users/5053868/items/RAZPY852"],"itemData":{"id":1871,"type":"article-journal","container-title":"Adicciones","DOI":"10.20882/adicciones.1149","ISSN":"0214-4840","issue":"1","journalAbbreviation":"Adicciones","page":"41","source":"DOI.org (Crossref)","title":"Experiencias psicóticas atenuadas y consumo de cannabis en adolescentes de la población general","volume":"32","author":[{"family":"Fonseca-Pedrero","given":"Eduardo"},{"family":"Lucas-Molina","given":"Beatriz"},{"family":"Pérez-Albéniz","given":"Alicia"},{"family":"Inchausti","given":"Félix"},{"family":"Ortuño-Sierra","given":"Javier"}],"issued":{"date-parts":[["2019",3,28]]}}}],"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[4]</w:t>
      </w:r>
      <w:r w:rsidRPr="00670D91">
        <w:rPr>
          <w:rFonts w:ascii="Calibri" w:eastAsia="Calibri" w:hAnsi="Calibri" w:cs="Calibri"/>
          <w:lang w:val="en-US"/>
        </w:rPr>
        <w:fldChar w:fldCharType="end"/>
      </w:r>
      <w:r w:rsidR="00973681">
        <w:rPr>
          <w:rFonts w:ascii="Calibri" w:eastAsia="Calibri" w:hAnsi="Calibri" w:cs="Calibri"/>
          <w:lang w:val="en-US"/>
        </w:rPr>
        <w:t>,</w:t>
      </w:r>
      <w:r w:rsidRPr="00670D91">
        <w:rPr>
          <w:rFonts w:ascii="Calibri" w:eastAsia="Calibri" w:hAnsi="Calibri" w:cs="Calibri"/>
          <w:lang w:val="en-US"/>
        </w:rPr>
        <w:t xml:space="preserve"> Nigeria</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{"citationID":"nCnZ7r0C","properties":{"formattedCitation":"[5]","plainCitation":"[5]","noteIndex":0},"citationItems":[{"id":3335,"uris":["http://zotero.org/users/5053868/items/9TXDT28L"],"itemData":{"id":3335,"type":"article-journal","container-title":"BMC Psychiatry","DOI":"10.1186/s12888-019-2210-8","ISSN":"1471-244X","issue":"1","journalAbbreviation":"BMC Psychiatry","language":"en","page":"244","source":"DOI.org (Crossref)","title":"Cultural differences in positive psychotic experiences assessed with the Community Assessment of Psychic Experiences-42 (CAPE-42): a comparison of student populations in the Netherlands, Nigeria and Norway","title-short":"Cultural differences in positive psychotic experiences assessed with the Community Assessment of Psychic Experiences-42 (CAPE-42)","volume":"19","author":[{"family":"Vermeiden","given":"Margriet"},{"family":"Janssens","given":"Mayke"},{"family":"Thewissen","given":"Viviane"},{"family":"Akinsola","given":"Esther"},{"family":"Peeters","given":"Sanne"},{"family":"Reijnders","given":"Jennifer"},{"family":"Jacobs","given":"Nele"},{"family":"Van Os","given":"Jim"},{"family":"Lataster","given":"Johan"}],"issued":{"date-parts":[["2019",12]]}}}],"schema":"https://github.com/citation-style-language/schema/raw/master/csl-citation.json"}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[5]</w:t>
      </w:r>
      <w:r w:rsidRPr="00670D91">
        <w:rPr>
          <w:rFonts w:ascii="Calibri" w:eastAsia="Calibri" w:hAnsi="Calibri" w:cs="Calibri"/>
          <w:lang w:val="en-US"/>
        </w:rPr>
        <w:fldChar w:fldCharType="end"/>
      </w:r>
      <w:r w:rsidR="00973681">
        <w:rPr>
          <w:rFonts w:ascii="Calibri" w:eastAsia="Calibri" w:hAnsi="Calibri" w:cs="Calibri"/>
          <w:lang w:val="en-US"/>
        </w:rPr>
        <w:t>,</w:t>
      </w:r>
      <w:r>
        <w:rPr>
          <w:rFonts w:ascii="Calibri" w:eastAsia="Calibri" w:hAnsi="Calibri" w:cs="Calibri"/>
          <w:lang w:val="en-US"/>
        </w:rPr>
        <w:t xml:space="preserve"> </w:t>
      </w:r>
      <w:r w:rsidRPr="00670D91">
        <w:rPr>
          <w:rFonts w:ascii="Calibri" w:eastAsia="Calibri" w:hAnsi="Calibri" w:cs="Calibri"/>
          <w:lang w:val="en-US"/>
        </w:rPr>
        <w:t>and India</w:t>
      </w:r>
      <w:r w:rsidR="0097368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{"citationID":"m2RDTqjt","properties":{"formattedCitation":"[6]","plainCitation":"[6]","noteIndex":0},"citationItems":[{"id":3337,"uris":["http://zotero.org/users/5053868/items/M9NNBN6B"],"itemData":{"id":3337,"type":"article-journal","container-title":"Asian Journal of Psychiatry","DOI":"10.1016/j.ajp.2023.103451","ISSN":"18762018","journalAbbreviation":"Asian Journal of Psychiatry","language":"en","page":"103451","source":"DOI.org (Crossref)","title":"Subclinical psychotic symptoms in Indian adults: Application of the Community Assessment of Psychic Experiences (CAPE)","title-short":"Subclinical psychotic symptoms in Indian adults","volume":"81","author":[{"family":"Sahu","given":"Sushree"},{"family":"Siddi","given":"Sara"},{"family":"Preti","given":"Antonio"},{"family":"Bhatia","given":"Triptish"},{"family":"Deshpande","given":"Smita N."}],"issued":{"date-parts":[["2023",3]]}}}],"schema":"https://github.com/citation-style-language/schema/raw/master/csl-citation.json"}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[6]</w:t>
      </w:r>
      <w:r w:rsidRPr="00670D91">
        <w:rPr>
          <w:rFonts w:ascii="Calibri" w:eastAsia="Calibri" w:hAnsi="Calibri" w:cs="Calibri"/>
          <w:lang w:val="en-US"/>
        </w:rPr>
        <w:fldChar w:fldCharType="end"/>
      </w:r>
      <w:r w:rsidR="00973681">
        <w:rPr>
          <w:rFonts w:ascii="Calibri" w:eastAsia="Calibri" w:hAnsi="Calibri" w:cs="Calibri"/>
          <w:lang w:val="en-US"/>
        </w:rPr>
        <w:t>.</w:t>
      </w:r>
      <w:r>
        <w:rPr>
          <w:rFonts w:ascii="Calibri" w:eastAsia="Calibri" w:hAnsi="Calibri" w:cs="Calibri"/>
          <w:lang w:val="en-US"/>
        </w:rPr>
        <w:t xml:space="preserve"> </w:t>
      </w:r>
      <w:r w:rsidRPr="00670D91">
        <w:rPr>
          <w:rFonts w:ascii="Calibri" w:eastAsia="Calibri" w:hAnsi="Calibri" w:cs="Calibri"/>
          <w:lang w:val="en-US"/>
        </w:rPr>
        <w:t xml:space="preserve">The Cronbach alpha for the CAPE-Pos subscale in the current study was 0.86 for Turkish, 0.78 for Spanish, 0.85 for Nigeria, 0.82 for </w:t>
      </w:r>
      <w:r w:rsidRPr="00670D91">
        <w:rPr>
          <w:rFonts w:ascii="Calibri" w:eastAsia="Calibri" w:hAnsi="Calibri" w:cs="Calibri"/>
          <w:lang w:val="en-US"/>
        </w:rPr>
        <w:lastRenderedPageBreak/>
        <w:t>India. According to k-means algorithm, CAPE score was categorized into three groups: Low CAPE (20-27), Medium CAPE (28-37), High CAPE (38 or more)</w:t>
      </w:r>
      <w:r>
        <w:rPr>
          <w:rFonts w:ascii="Calibri" w:eastAsia="Calibri" w:hAnsi="Calibri" w:cs="Calibri"/>
          <w:lang w:val="en-US"/>
        </w:rPr>
        <w:t>.</w:t>
      </w:r>
    </w:p>
    <w:p w14:paraId="18F9FC39" w14:textId="77777777" w:rsidR="00A700A6" w:rsidRPr="00670D91" w:rsidRDefault="00A700A6" w:rsidP="00A700A6">
      <w:pPr>
        <w:shd w:val="clear" w:color="auto" w:fill="FFFFFF"/>
        <w:spacing w:line="480" w:lineRule="auto"/>
        <w:jc w:val="both"/>
        <w:rPr>
          <w:rFonts w:ascii="Calibri" w:eastAsia="Calibri" w:hAnsi="Calibri" w:cs="Calibri"/>
          <w:lang w:val="en-US"/>
        </w:rPr>
      </w:pPr>
    </w:p>
    <w:p w14:paraId="494DCBD5" w14:textId="3FE117FE" w:rsidR="00A700A6" w:rsidRPr="00012509" w:rsidRDefault="00880FC1" w:rsidP="00A700A6">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1.</w:t>
      </w:r>
      <w:r w:rsidR="00A700A6">
        <w:rPr>
          <w:rFonts w:ascii="Calibri" w:eastAsia="Calibri" w:hAnsi="Calibri" w:cs="Calibri"/>
          <w:b/>
          <w:bCs/>
          <w:lang w:val="en-US"/>
        </w:rPr>
        <w:t>3</w:t>
      </w:r>
      <w:r w:rsidR="00A700A6" w:rsidRPr="00012509">
        <w:rPr>
          <w:rFonts w:ascii="Calibri" w:eastAsia="Calibri" w:hAnsi="Calibri" w:cs="Calibri"/>
          <w:b/>
          <w:bCs/>
          <w:lang w:val="en-US"/>
        </w:rPr>
        <w:t>. Patient Health Questionnaire-9 (PHQ-9)</w:t>
      </w:r>
    </w:p>
    <w:p w14:paraId="48917BE7" w14:textId="56EC923D" w:rsidR="00A700A6" w:rsidRDefault="00A700A6" w:rsidP="002C50FA">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The PHQ-9, which comprises 9 items scored on a scale of 0 to 3, was utilized to measure depressive symptoms. Higher scores indicate greater symptom severity. The validity and reliability of the PHQ-9 was conducted in Turkey</w:t>
      </w:r>
      <w:r w:rsidR="002C50FA">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CUuGlhb6","properties":{"formattedCitation":"[7]","plainCitation":"[7]","noteIndex":0},"citationItems":[{"id":2039,"uris":["http://zotero.org/users/5053868/items/IPUVGMTU",["http://zotero.org/users/5053868/items/IPUVGMTU"]],"itemData":{"id":2039,"type":"article-journal","note":"publisher: Biomedical Research","title":"Turkish reliability of the patient health questionnaire-9","author":[{"family":"Sari","given":"Yunus Emre"},{"family":"Kokoglu","given":"Burcu"},{"family":"Balcioglu","given":"Huseyin"},{"family":"Bilge","given":"Ugur"},{"family":"Colak","given":"Ertugrul"},{"family":"Unluoglu","given":"Ilhami"}],"issued":{"date-parts":[["2016"]]}}}],"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[7]</w:t>
      </w:r>
      <w:r w:rsidRPr="00670D91">
        <w:rPr>
          <w:rFonts w:ascii="Calibri" w:eastAsia="Calibri" w:hAnsi="Calibri" w:cs="Calibri"/>
          <w:lang w:val="en-US"/>
        </w:rPr>
        <w:fldChar w:fldCharType="end"/>
      </w:r>
      <w:r w:rsidR="002C50FA">
        <w:rPr>
          <w:rFonts w:ascii="Calibri" w:eastAsia="Calibri" w:hAnsi="Calibri" w:cs="Calibri"/>
          <w:lang w:val="en-US"/>
        </w:rPr>
        <w:t>,</w:t>
      </w:r>
      <w:r w:rsidRPr="00670D91">
        <w:rPr>
          <w:rFonts w:ascii="Calibri" w:eastAsia="Calibri" w:hAnsi="Calibri" w:cs="Calibri"/>
          <w:lang w:val="en-US"/>
        </w:rPr>
        <w:t xml:space="preserve"> Spain</w:t>
      </w:r>
      <w:r w:rsidR="002C50FA">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{"citationID":"2DETQGRJ","properties":{"formattedCitation":"[8]","plainCitation":"[8]","noteIndex":0},"citationItems":[{"id":3128,"uris":["http://zotero.org/users/5053868/items/9WDMPXGJ"],"itemData":{"id":3128,"type":"article-journal","container-title":"Psychosomatic Medicine","DOI":"10.1097/00006842-200107000-00021","ISSN":"0033-3174","issue":"4","journalAbbreviation":"Psychosomatic Medicine","language":"en","page":"679-686","source":"DOI.org (Crossref)","title":"Validation and Utility of the Patient Health Questionnaire in Diagnosing Mental Disorders in 1003 General Hospital Spanish Inpatients:","title-short":"Validation and Utility of the Patient Health Questionnaire in Diagnosing Mental Disorders in 1003 General Hospital Spanish Inpatients","volume":"63","author":[{"family":"Diez-Quevedo","given":"Crisanto"},{"family":"Rangil","given":"Teresa"},{"family":"Sanchez-Planell","given":"Luis"},{"family":"Kroenke","given":"Kurt"},{"family":"Spitzer","given":"Robert L."}],"issued":{"date-parts":[["2001",7]]}}}],"schema":"https://github.com/citation-style-language/schema/raw/master/csl-citation.json"}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[8]</w:t>
      </w:r>
      <w:r w:rsidRPr="00670D91">
        <w:rPr>
          <w:rFonts w:ascii="Calibri" w:eastAsia="Calibri" w:hAnsi="Calibri" w:cs="Calibri"/>
          <w:lang w:val="en-US"/>
        </w:rPr>
        <w:fldChar w:fldCharType="end"/>
      </w:r>
      <w:r w:rsidR="002C50FA">
        <w:rPr>
          <w:rFonts w:ascii="Calibri" w:eastAsia="Calibri" w:hAnsi="Calibri" w:cs="Calibri"/>
          <w:lang w:val="en-US"/>
        </w:rPr>
        <w:t>,</w:t>
      </w:r>
      <w:r w:rsidRPr="00670D91">
        <w:rPr>
          <w:rFonts w:ascii="Calibri" w:eastAsia="Calibri" w:hAnsi="Calibri" w:cs="Calibri"/>
          <w:lang w:val="en-US"/>
        </w:rPr>
        <w:t xml:space="preserve"> Nigeria</w:t>
      </w:r>
      <w:r w:rsidR="0053244F">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{"citationID":"ECrAZq67","properties":{"formattedCitation":"[9]","plainCitation":"[9]","noteIndex":0},"citationItems":[{"id":3338,"uris":["http://zotero.org/users/5053868/items/67IHTIF9"],"itemData":{"id":3338,"type":"article-journal","abstract":"BACKGROUND: Depression is one of the most common and devastating consequences among stroke survivors. In spite of the availability of treatment for depression, the non- or under-detection precludes patients from benefiting from it.\nOBJECTIVES: This study sought to validate the Patient Health Questionnaire (PHQ- 9) as a tool for detecting depression among patients with stroke.\nMETHODOLOGY: A cross-sectional design comprising of adult patients diagnosed with stroke, who were attending the Neurology out-patient clinic of the University of Port Harcourt Teaching Hospital was employed in the study. The Receiver Operator Characteristics (ROC) curve and validity tests were performed using the Structured Clinical Interview for Diagnostic and Statistical Manual of Mental Disorders (SCID-DSM IV) as the gold standard. The optimal PHQ-9 cut-off was determined using Youden Index. Kappa statistics was performed at p&lt;0.05.\nRESULTS: The study had a total of 197 stroke cases with PHQ-9 and SCID-DSM IV findings. The median age was 54 years (range: 35-76 years). ROC Curve for PHQ-9 revealed an Area under the Curve (AUC) value of 0.93(95% CI: 0.88- 0.98). The optimal cut off value of six was obtained based on Youden Index. Sensitivity, specificity, positive predictive and negative predictive values at the optimal cut-off were 88.7%, 93.1%, 82.5% and 95.7% respectively. The Kappa statistics yielded 0.80 (95% CI: 0.68-0.86).\nCONCLUSION: PHQ-9 is a useful screening tool for identifying depression among patients with stroke. An optimal cut-off score of six for PHQ-9 should be adopted for patients with stroke in Nigeria to identify depression, and the provision of holistic care.","container-title":"Annals of Ibadan Postgraduate Medicine","ISSN":"1597-1627","issue":"1","journalAbbreviation":"Ann Ib Postgrad Med","language":"eng","note":"PMID: 37528812\nPMCID: PMC10388424","page":"11-16","source":"PubMed","title":"PHQ-9 Diagnostic Accuracy And Optimal Cut-Off For Depression Among Patients With Stroke In Nigeria","volume":"21","author":[{"family":"Okeafor","given":"I. N."},{"family":"Okeafor","given":"C. U."}],"issued":{"date-parts":[["2023",6]]}}}],"schema":"https://github.com/citation-style-language/schema/raw/master/csl-citation.json"}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[9]</w:t>
      </w:r>
      <w:r w:rsidRPr="00670D91">
        <w:rPr>
          <w:rFonts w:ascii="Calibri" w:eastAsia="Calibri" w:hAnsi="Calibri" w:cs="Calibri"/>
          <w:lang w:val="en-US"/>
        </w:rPr>
        <w:fldChar w:fldCharType="end"/>
      </w:r>
      <w:r w:rsidR="0053244F">
        <w:rPr>
          <w:rFonts w:ascii="Calibri" w:eastAsia="Calibri" w:hAnsi="Calibri" w:cs="Calibri"/>
          <w:lang w:val="en-US"/>
        </w:rPr>
        <w:t>,</w:t>
      </w:r>
      <w:r>
        <w:rPr>
          <w:rFonts w:ascii="Calibri" w:eastAsia="Calibri" w:hAnsi="Calibri" w:cs="Calibri"/>
          <w:lang w:val="en-US"/>
        </w:rPr>
        <w:t xml:space="preserve"> </w:t>
      </w:r>
      <w:r w:rsidRPr="00670D91">
        <w:rPr>
          <w:rFonts w:ascii="Calibri" w:eastAsia="Calibri" w:hAnsi="Calibri" w:cs="Calibri"/>
          <w:lang w:val="en-US"/>
        </w:rPr>
        <w:t>and India</w:t>
      </w:r>
      <w:r w:rsidR="0053244F">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{"citationID":"7AEeFz8E","properties":{"formattedCitation":"[10]","plainCitation":"[10]","noteIndex":0},"citationItems":[{"id":3340,"uris":["http://zotero.org/users/5053868/items/PY54FGEH"],"itemData":{"id":3340,"type":"article-journal","abstract":"Background\n              Cross-cultural evidence on the factorial structure and invariance of the PHQ-9 and the GAD-7 is lacking for South Asia. Recommendations on the use of unit-weighted scores of these scales (the sum of items’ scores) are not well-founded. This study aims to address these contextual and methodological gaps using data from a rural Indian population.\n            \n            \n              Methods\n              \n                The study surveyed 1,209 participants of the Kerala Diabetes Prevention Program aged 30–60 years (\n                n\n                at risk of diabetes = 1,007 and\n                n\n                with diabetes = 202). 1,007 participants were surveyed over 2 years using the PHQ-9 and the GAD-7. Bifactor-(S – 1) modeling and multigroup confirmatory factor analysis were used.\n              \n            \n            \n              Results\n              Factor analysis supported the existence of a somatic and cognitive/affective subcomponent for both scales, but less explicitly for the GAD-7. Hierarchical omega values were 0.72 for the PHQ-9 and 0.76 for the GAD-7. Both scales showed full scalar invariance and full or partial residual invariance across age, gender, education, status of diabetes and over time. Effect sizes between categories measured by unit-weighted scores versus latent means followed a similar trend but were systematically higher for the latent means. For both disorders, female gender and lower education were associated with higher symptom severity scores, which corresponds with regional and global trends.\n            \n            \n              Conclusions\n              For both scales, psychometric properties were comparable to studies in western settings. Distinct clinical profiles (somatic-cognitive) were supported for depression, and to a lesser extent for anxiety. Unit-weighted scores of the full scales should be used with caution, while scoring subscales is not recommended. The stability of these scales supports their use and allows for meaningful comparison across tested subgroups.\n            \n            \n              Clinical Trial Registration\n              Australia and New Zealand Clinical Trials Registry: ACTRN12611000262909\n              \n                http://www.anzctr.org.au\n                /Trial/Registration/TrialReview.aspx?id=336603&amp;amp;isReview=true.","container-title":"Frontiers in Psychology","DOI":"10.3389/fpsyg.2021.676398","ISSN":"1664-1078","journalAbbreviation":"Front. Psychol.","page":"676398","source":"DOI.org (Crossref)","title":"Are the PHQ-9 and GAD-7 Suitable for Use in India? A Psychometric Analysis","title-short":"Are the PHQ-9 and GAD-7 Suitable for Use in India?","volume":"12","author":[{"family":"De Man","given":"Jeroen"},{"family":"Absetz","given":"Pilvikki"},{"family":"Sathish","given":"Thirunavukkarasu"},{"family":"Desloge","given":"Allissa"},{"family":"Haregu","given":"Tilahun"},{"family":"Oldenburg","given":"Brian"},{"family":"Johnson","given":"Leslie C. M."},{"family":"Thankappan","given":"Kavumpurathu Raman"},{"family":"Williams","given":"Emily D."}],"issued":{"date-parts":[["2021",5,13]]}}}],"schema":"https://github.com/citation-style-language/schema/raw/master/csl-citation.json"}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[10]</w:t>
      </w:r>
      <w:r w:rsidRPr="00670D91">
        <w:rPr>
          <w:rFonts w:ascii="Calibri" w:eastAsia="Calibri" w:hAnsi="Calibri" w:cs="Calibri"/>
          <w:lang w:val="en-US"/>
        </w:rPr>
        <w:fldChar w:fldCharType="end"/>
      </w:r>
      <w:r w:rsidR="0053244F">
        <w:rPr>
          <w:rFonts w:ascii="Calibri" w:eastAsia="Calibri" w:hAnsi="Calibri" w:cs="Calibri"/>
          <w:lang w:val="en-US"/>
        </w:rPr>
        <w:t>.</w:t>
      </w:r>
      <w:r w:rsidRPr="00670D91">
        <w:rPr>
          <w:rFonts w:ascii="Calibri" w:eastAsia="Calibri" w:hAnsi="Calibri" w:cs="Calibri"/>
          <w:lang w:val="en-US"/>
        </w:rPr>
        <w:t xml:space="preserve"> The Cronbach alpha for the PHQ in the current study was 0.89 for Spanish, 0.90 for Turkish, 0.91 for Nigeria, 0.92 for India. PHQ scores were grouped into two categories including low PHQ (below 10), high PHQ (10 or more) by k-means algorithm</w:t>
      </w:r>
      <w:r>
        <w:rPr>
          <w:rFonts w:ascii="Calibri" w:eastAsia="Calibri" w:hAnsi="Calibri" w:cs="Calibri"/>
          <w:lang w:val="en-US"/>
        </w:rPr>
        <w:t>.</w:t>
      </w:r>
    </w:p>
    <w:p w14:paraId="104B1860" w14:textId="77777777" w:rsidR="00A700A6" w:rsidRPr="00670D91" w:rsidRDefault="00A700A6" w:rsidP="00A700A6">
      <w:pPr>
        <w:shd w:val="clear" w:color="auto" w:fill="FFFFFF"/>
        <w:spacing w:line="480" w:lineRule="auto"/>
        <w:ind w:firstLine="720"/>
        <w:jc w:val="both"/>
        <w:rPr>
          <w:rFonts w:ascii="Calibri" w:eastAsia="Calibri" w:hAnsi="Calibri" w:cs="Calibri"/>
          <w:lang w:val="en-US"/>
        </w:rPr>
      </w:pPr>
    </w:p>
    <w:p w14:paraId="2BF2CAFB" w14:textId="0A165A4E" w:rsidR="00A700A6" w:rsidRPr="00012509" w:rsidRDefault="00880FC1" w:rsidP="00A700A6">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1.</w:t>
      </w:r>
      <w:r w:rsidR="00A700A6" w:rsidRPr="00012509">
        <w:rPr>
          <w:rFonts w:ascii="Calibri" w:eastAsia="Calibri" w:hAnsi="Calibri" w:cs="Calibri"/>
          <w:b/>
          <w:bCs/>
          <w:lang w:val="en-US"/>
        </w:rPr>
        <w:t>4. The Generalized Anxiety Disorder-7 (GAD-7)</w:t>
      </w:r>
    </w:p>
    <w:p w14:paraId="1C61CA30" w14:textId="5662FF45" w:rsidR="00A700A6" w:rsidRPr="00670D91" w:rsidRDefault="00A700A6" w:rsidP="00A700A6">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Anxiety symptoms were assessed with the GAD-7, which includes 7 items scored from 0 to 3 each, with total scores ranging from 0 to 21. Higher scores indicate greater symptom severity. The reliability and validity studies of GAD-7 were conducted in Turkey</w:t>
      </w:r>
      <w:r w:rsidR="006A193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{"citationID":"6jOc14S5","properties":{"formattedCitation":"[11]","plainCitation":"[11]","noteIndex":0},"citationItems":[{"id":2036,"uris":["http://zotero.org/users/5053868/items/LI73EBDC"],"itemData":{"id":2036,"type":"article-journal","container-title":"Nöro Psikiyatri Arşivi","DOI":"10.4274/npa.y6308","ISSN":"13000667","issue":"1","journalAbbreviation":"npa","page":"53-58","source":"DOI.org (Crossref)","title":"Yaygın Anksiyete Bozukluğu-7 (YAB-7) Testi Türkçe Uyarlaması, Geçerlik ve Güvenirliği","volume":"50","author":[{"family":"Konkan","given":"Ramazan"},{"family":"Şenormanci","given":"Ömer"},{"family":"Güçlü","given":"Oya"},{"family":"Aydin","given":"Erkan"},{"family":"Z. Sungur","given":"Mehmet"}],"issued":{"date-parts":[["2013",3,5]]}}}],"schema":"https://github.com/citation-style-language/schema/raw/master/csl-citation.json"}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[11]</w:t>
      </w:r>
      <w:r w:rsidRPr="00670D91">
        <w:rPr>
          <w:rFonts w:ascii="Calibri" w:eastAsia="Calibri" w:hAnsi="Calibri" w:cs="Calibri"/>
          <w:lang w:val="en-US"/>
        </w:rPr>
        <w:fldChar w:fldCharType="end"/>
      </w:r>
      <w:r w:rsidR="006A1931">
        <w:rPr>
          <w:rFonts w:ascii="Calibri" w:eastAsia="Calibri" w:hAnsi="Calibri" w:cs="Calibri"/>
          <w:lang w:val="en-US"/>
        </w:rPr>
        <w:t>,</w:t>
      </w:r>
      <w:r w:rsidRPr="00670D91">
        <w:rPr>
          <w:rFonts w:ascii="Calibri" w:eastAsia="Calibri" w:hAnsi="Calibri" w:cs="Calibri"/>
          <w:lang w:val="en-US"/>
        </w:rPr>
        <w:t xml:space="preserve"> Spain</w:t>
      </w:r>
      <w:r w:rsidR="006A193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{"citationID":"Hir0O0di","properties":{"formattedCitation":"[12]","plainCitation":"[12]","noteIndex":0},"citationItems":[{"id":3130,"uris":["http://zotero.org/users/5053868/items/Q37QQ7LF"],"itemData":{"id":3130,"type":"article-journal","container-title":"Health and Quality of Life Outcomes","DOI":"10.1186/1477-7525-8-8","ISSN":"1477-7525","issue":"1","journalAbbreviation":"Health Qual Life Outcomes","language":"en","page":"8","source":"DOI.org (Crossref)","title":"Cultural adaptation into Spanish of the generalized anxiety disorder-7 (GAD-7) scale as a screening tool","volume":"8","author":[{"family":"Garcia-Campayo","given":"Javier"},{"family":"Zamorano","given":"Enric"},{"family":"Ruiz","given":"Miguel A"},{"family":"Pardo","given":"Antonio"},{"family":"Perez-Paramo","given":"Maria"},{"family":"Lopez-Gomez","given":"Vanessa"},{"family":"Freire","given":"Olga"},{"family":"Rejas","given":"Javier"}],"issued":{"date-parts":[["2010"]]}}}],"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[12]</w:t>
      </w:r>
      <w:r w:rsidRPr="00670D91">
        <w:rPr>
          <w:rFonts w:ascii="Calibri" w:eastAsia="Calibri" w:hAnsi="Calibri" w:cs="Calibri"/>
          <w:lang w:val="en-US"/>
        </w:rPr>
        <w:fldChar w:fldCharType="end"/>
      </w:r>
      <w:r w:rsidR="006A1931">
        <w:rPr>
          <w:rFonts w:ascii="Calibri" w:eastAsia="Calibri" w:hAnsi="Calibri" w:cs="Calibri"/>
          <w:lang w:val="en-US"/>
        </w:rPr>
        <w:t>,</w:t>
      </w:r>
      <w:r w:rsidRPr="00670D91">
        <w:rPr>
          <w:rFonts w:ascii="Calibri" w:eastAsia="Calibri" w:hAnsi="Calibri" w:cs="Calibri"/>
          <w:lang w:val="en-US"/>
        </w:rPr>
        <w:t xml:space="preserve"> India</w:t>
      </w:r>
      <w:r w:rsidR="006A193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{"citationID":"yxzWEAnx","properties":{"formattedCitation":"[10]","plainCitation":"[10]","noteIndex":0},"citationItems":[{"id":3340,"uris":["http://zotero.org/users/5053868/items/PY54FGEH"],"itemData":{"id":3340,"type":"article-journal","abstract":"Background\n              Cross-cultural evidence on the factorial structure and invariance of the PHQ-9 and the GAD-7 is lacking for South Asia. Recommendations on the use of unit-weighted scores of these scales (the sum of items’ scores) are not well-founded. This study aims to address these contextual and methodological gaps using data from a rural Indian population.\n            \n            \n              Methods\n              \n                The study surveyed 1,209 participants of the Kerala Diabetes Prevention Program aged 30–60 years (\n                n\n                at risk of diabetes = 1,007 and\n                n\n                with diabetes = 202). 1,007 participants were surveyed over 2 years using the PHQ-9 and the GAD-7. Bifactor-(S – 1) modeling and multigroup confirmatory factor analysis were used.\n              \n            \n            \n              Results\n              Factor analysis supported the existence of a somatic and cognitive/affective subcomponent for both scales, but less explicitly for the GAD-7. Hierarchical omega values were 0.72 for the PHQ-9 and 0.76 for the GAD-7. Both scales showed full scalar invariance and full or partial residual invariance across age, gender, education, status of diabetes and over time. Effect sizes between categories measured by unit-weighted scores versus latent means followed a similar trend but were systematically higher for the latent means. For both disorders, female gender and lower education were associated with higher symptom severity scores, which corresponds with regional and global trends.\n            \n            \n              Conclusions\n              For both scales, psychometric properties were comparable to studies in western settings. Distinct clinical profiles (somatic-cognitive) were supported for depression, and to a lesser extent for anxiety. Unit-weighted scores of the full scales should be used with caution, while scoring subscales is not recommended. The stability of these scales supports their use and allows for meaningful comparison across tested subgroups.\n            \n            \n              Clinical Trial Registration\n              Australia and New Zealand Clinical Trials Registry: ACTRN12611000262909\n              \n                http://www.anzctr.org.au\n                /Trial/Registration/TrialReview.aspx?id=336603&amp;amp;isReview=true.","container-title":"Frontiers in Psychology","DOI":"10.3389/fpsyg.2021.676398","ISSN":"1664-1078","journalAbbreviation":"Front. Psychol.","page":"676398","source":"DOI.org (Crossref)","title":"Are the PHQ-9 and GAD-7 Suitable for Use in India? A Psychometric Analysis","title-short":"Are the PHQ-9 and GAD-7 Suitable for Use in India?","volume":"12","author":[{"family":"De Man","given":"Jeroen"},{"family":"Absetz","given":"Pilvikki"},{"family":"Sathish","given":"Thirunavukkarasu"},{"family":"Desloge","given":"Allissa"},{"family":"Haregu","given":"Tilahun"},{"family":"Oldenburg","given":"Brian"},{"family":"Johnson","given":"Leslie C. M."},{"family":"Thankappan","given":"Kavumpurathu Raman"},{"family":"Williams","given":"Emily D."}],"issued":{"date-parts":[["2021",5,13]]}}}],"schema":"https://github.com/citation-style-language/schema/raw/master/csl-citation.json"}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[10]</w:t>
      </w:r>
      <w:r w:rsidRPr="00670D91">
        <w:rPr>
          <w:rFonts w:ascii="Calibri" w:eastAsia="Calibri" w:hAnsi="Calibri" w:cs="Calibri"/>
          <w:lang w:val="en-US"/>
        </w:rPr>
        <w:fldChar w:fldCharType="end"/>
      </w:r>
      <w:r w:rsidR="006A1931">
        <w:rPr>
          <w:rFonts w:ascii="Calibri" w:eastAsia="Calibri" w:hAnsi="Calibri" w:cs="Calibri"/>
          <w:lang w:val="en-US"/>
        </w:rPr>
        <w:t xml:space="preserve">, </w:t>
      </w:r>
      <w:r>
        <w:rPr>
          <w:rFonts w:ascii="Calibri" w:eastAsia="Calibri" w:hAnsi="Calibri" w:cs="Calibri"/>
          <w:lang w:val="en-US"/>
        </w:rPr>
        <w:t xml:space="preserve">and </w:t>
      </w:r>
      <w:r w:rsidRPr="00670D91">
        <w:rPr>
          <w:rFonts w:ascii="Calibri" w:eastAsia="Calibri" w:hAnsi="Calibri" w:cs="Calibri"/>
          <w:lang w:val="en-US"/>
        </w:rPr>
        <w:t>Nigeria</w:t>
      </w:r>
      <w:r w:rsidR="006A1931">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{"citationID":"W7Pe4OkW","properties":{"formattedCitation":"[13]","plainCitation":"[13]","noteIndex":0},"citationItems":[{"id":3342,"uris":["http://zotero.org/users/5053868/items/4UUBMQUM"],"itemData":{"id":3342,"type":"article-journal","abstract":"Abstract\n            \n              Background\n              Previous studies have reported that general anxiety disorder manifestations differ in diverse settings.\n            \n            \n              Objective\n              To determine and compare the prevalence of probable anxiety disorders among in-school adolescents in urban and rural areas of Anambra State.\n            \n            \n              Methods\n              \n                A total of 1187 in-school adolescents were recruited using a multi-stage sampling technique. The study instrument was an interviewer-administered pretested questionnaire adopted from General Anxiety Disorder (\n                GAD-7\n                ). Data were analyzed with the IBM Statistical Package for the Social Sciences (SPSS) version 22.\n              \n            \n            \n              Result\n              One hundred and twenty of the participants out of the 1187 (10.1%) were found to have probable generalized anxiety disorders using GAD-7 as screening tool. The prevalence of symptoms of anxiety disorder revealed that urban participants had a higher prevalence compared to their rural counterparts (11% vs. 8.8%), while females had a higher prevalence compared to the males in the ratio of 3:2 (or 12% vs. 8%). The prevalence of symptoms of anxiety disorders among females was higher than that of males even when compared based on a rural and urban settings. When all other variables are held constant, urban participants were found to have a 50% higher chance of being identified with anxiety disorders compared to their rural participants (OR = 1.500, C.I.:1.002–2.246, p = 0.049).\n            \n            \n              Conclusion\n              The prevalence of probable anxiety disorders was found in 10% of the participants. The females have a higher propensity to exhibit symptoms of anxiety disorders than the males. Anxiety status affects how adolescents view their general health. The study started from the date of approval by the West African College of Physicians on the 21 February 2017, but Ethical Clearance from NAUTHEC was given on the 19th December 2016.","container-title":"Child and Adolescent Psychiatry and Mental Health","DOI":"10.1186/s13034-023-00637-4","ISSN":"1753-2000","issue":"1","journalAbbreviation":"Child Adolesc Psychiatry Ment Health","language":"en","page":"91","source":"DOI.org (Crossref)","title":"Generalized anxiety disorder screening using gad-7 among in-school adolescents of anambra state, nigeria: a comparative study between urban and rural areas","title-short":"Generalized anxiety disorder screening using gad-7 among in-school adolescents of anambra state, nigeria","volume":"17","author":[{"family":"Victor Mbanuzuru","given":"Ahoma"},{"family":"Uwakwe","given":"Rechard"},{"family":"Sochukwu Anyaoku","given":"Chinekwu"},{"family":"Okwudili Ojimba","given":"Anastacia"},{"family":"Chinyere Mbanuzuru","given":"Mary"},{"family":"Ezenyeaku","given":"Chijioke Amara"},{"family":"Chukwudinma Obi","given":"Darlington"},{"family":"Nkiru Okafor","given":"Christiana"},{"family":"Prosper Okonkwo","given":"Uchenna"}],"issued":{"date-parts":[["2023",7,19]]}}}],"schema":"https://github.com/citation-style-language/schema/raw/master/csl-citation.json"}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[13]</w:t>
      </w:r>
      <w:r w:rsidRPr="00670D91">
        <w:rPr>
          <w:rFonts w:ascii="Calibri" w:eastAsia="Calibri" w:hAnsi="Calibri" w:cs="Calibri"/>
          <w:lang w:val="en-US"/>
        </w:rPr>
        <w:fldChar w:fldCharType="end"/>
      </w:r>
      <w:r w:rsidR="006A1931">
        <w:rPr>
          <w:rFonts w:ascii="Calibri" w:eastAsia="Calibri" w:hAnsi="Calibri" w:cs="Calibri"/>
          <w:lang w:val="en-US"/>
        </w:rPr>
        <w:t>.</w:t>
      </w:r>
      <w:r>
        <w:rPr>
          <w:rFonts w:ascii="Calibri" w:eastAsia="Calibri" w:hAnsi="Calibri" w:cs="Calibri"/>
          <w:lang w:val="en-US"/>
        </w:rPr>
        <w:t xml:space="preserve"> </w:t>
      </w:r>
      <w:r w:rsidRPr="00670D91">
        <w:rPr>
          <w:rFonts w:ascii="Calibri" w:eastAsia="Calibri" w:hAnsi="Calibri" w:cs="Calibri"/>
          <w:lang w:val="en-US"/>
        </w:rPr>
        <w:t>The Cronbach alpha for the GAD-7 in the current study was 0.90 for Turkey, 0.91 for Spain, 0.91 for Nigeria, 0.90 for India. The k-means algorithm categorized the GAD-7 score into two groups: Low GAD (below 10) and high GAD (10 or more)</w:t>
      </w:r>
      <w:r>
        <w:rPr>
          <w:rFonts w:ascii="Calibri" w:eastAsia="Calibri" w:hAnsi="Calibri" w:cs="Calibri"/>
          <w:lang w:val="en-US"/>
        </w:rPr>
        <w:t>.</w:t>
      </w:r>
    </w:p>
    <w:p w14:paraId="6E966675" w14:textId="77777777" w:rsidR="00A700A6" w:rsidRPr="00670D91" w:rsidRDefault="00A700A6" w:rsidP="00A700A6">
      <w:pPr>
        <w:shd w:val="clear" w:color="auto" w:fill="FFFFFF"/>
        <w:spacing w:line="480" w:lineRule="auto"/>
        <w:ind w:firstLine="720"/>
        <w:jc w:val="both"/>
        <w:rPr>
          <w:rFonts w:ascii="Calibri" w:eastAsia="Calibri" w:hAnsi="Calibri" w:cs="Calibri"/>
          <w:lang w:val="en-US"/>
        </w:rPr>
      </w:pPr>
    </w:p>
    <w:p w14:paraId="1AE57A3C" w14:textId="25146E96" w:rsidR="00A700A6" w:rsidRPr="00012509" w:rsidRDefault="00880FC1" w:rsidP="00A700A6">
      <w:pPr>
        <w:shd w:val="clear" w:color="auto" w:fill="FFFFFF"/>
        <w:spacing w:line="480" w:lineRule="auto"/>
        <w:ind w:firstLine="720"/>
        <w:jc w:val="both"/>
        <w:rPr>
          <w:rFonts w:ascii="Calibri" w:eastAsia="Calibri" w:hAnsi="Calibri" w:cs="Calibri"/>
          <w:b/>
          <w:bCs/>
          <w:lang w:val="en-US"/>
        </w:rPr>
      </w:pPr>
      <w:r>
        <w:rPr>
          <w:rFonts w:ascii="Calibri" w:eastAsia="Calibri" w:hAnsi="Calibri" w:cs="Calibri"/>
          <w:b/>
          <w:bCs/>
          <w:lang w:val="en-US"/>
        </w:rPr>
        <w:t>1.</w:t>
      </w:r>
      <w:r w:rsidR="00A700A6" w:rsidRPr="00012509">
        <w:rPr>
          <w:rFonts w:ascii="Calibri" w:eastAsia="Calibri" w:hAnsi="Calibri" w:cs="Calibri"/>
          <w:b/>
          <w:bCs/>
          <w:lang w:val="en-US"/>
        </w:rPr>
        <w:t>5. Pittsburg Sleep Quality Index (PSQI)</w:t>
      </w:r>
    </w:p>
    <w:p w14:paraId="708F20A4" w14:textId="346C04CE" w:rsidR="00A700A6" w:rsidRDefault="00A700A6" w:rsidP="00A700A6">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 xml:space="preserve">To measure sleep problems, a self-related questionnaire, the PSQI, was used. The PSQI consists of seven domains including subjective sleep quality, sleep latency, sleep duration, sleep </w:t>
      </w:r>
      <w:r w:rsidRPr="00670D91">
        <w:rPr>
          <w:rFonts w:ascii="Calibri" w:eastAsia="Calibri" w:hAnsi="Calibri" w:cs="Calibri"/>
          <w:lang w:val="en-US"/>
        </w:rPr>
        <w:lastRenderedPageBreak/>
        <w:t>efficiency, daytime dysfunction, sleep fragmentation, and use of sleep aid medications, which altogether to provide a global sleep quality index score. The possible scores range from 0–21, with greater than five indicative of impaired sleep quality. The reliability and validity of the PSQI was conducted in Turkey</w:t>
      </w:r>
      <w:r w:rsidR="00345178">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ijV00drF","properties":{"formattedCitation":"[14]","plainCitation":"[14]","noteIndex":0},"citationItems":[{"id":2029,"uris":["http://zotero.org/users/5053868/items/GR2XJGNV",["http://zotero.org/users/5053868/items/GR2XJGNV"]],"itemData":{"id":2029,"type":"article-journal","container-title":"Turk Psikiyatri Derg","issue":"2","page":"107–15","title":"The validity and reliability of the Pittsburgh Sleep Quality Index","volume":"7","author":[{"family":"Ağargün","given":"Mehmet YÜCEL"},{"family":"Kara","given":"Hayrettin"},{"family":"Anlar","given":"Ömer"}],"issued":{"date-parts":[["1996"]]}}}],"schema":"https://github.com/citation-style-language/schema/raw/master/csl-citation.json"}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[14]</w:t>
      </w:r>
      <w:r w:rsidRPr="00670D91">
        <w:rPr>
          <w:rFonts w:ascii="Calibri" w:eastAsia="Calibri" w:hAnsi="Calibri" w:cs="Calibri"/>
          <w:lang w:val="en-US"/>
        </w:rPr>
        <w:fldChar w:fldCharType="end"/>
      </w:r>
      <w:r w:rsidR="00345178">
        <w:rPr>
          <w:rFonts w:ascii="Calibri" w:eastAsia="Calibri" w:hAnsi="Calibri" w:cs="Calibri"/>
          <w:lang w:val="en-US"/>
        </w:rPr>
        <w:t>,</w:t>
      </w:r>
      <w:r w:rsidRPr="00670D91">
        <w:rPr>
          <w:rFonts w:ascii="Calibri" w:eastAsia="Calibri" w:hAnsi="Calibri" w:cs="Calibri"/>
          <w:lang w:val="en-US"/>
        </w:rPr>
        <w:t xml:space="preserve"> Spain</w:t>
      </w:r>
      <w:r w:rsidR="00345178">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{"citationID":"UTweKeVh","properties":{"formattedCitation":"[15]","plainCitation":"[15]","noteIndex":0},"citationItems":[{"id":3133,"uris":["http://zotero.org/users/5053868/items/TACBCCVR"],"itemData":{"id":3133,"type":"article-journal","container-title":"Rheumatology International","DOI":"10.1007/s00296-014-2960-z","ISSN":"0172-8172, 1437-160X","issue":"7","journalAbbreviation":"Rheumatol Int","language":"en","page":"929-936","source":"DOI.org (Crossref)","title":"Reliability and validity of the Spanish version of the Pittsburgh Sleep Quality Index (PSQI) in patients with fibromyalgia","volume":"34","author":[{"family":"Hita-Contreras","given":"Fidel"},{"family":"Martínez-López","given":"Emilio"},{"family":"Latorre-Román","given":"Pedro A."},{"family":"Garrido","given":"Francisco"},{"family":"Santos","given":"María A."},{"family":"Martínez-Amat","given":"Antonio"}],"issued":{"date-parts":[["2014",7]]}}}],"schema":"https://github.com/citation-style-language/schema/raw/master/csl-citation.json"}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[15]</w:t>
      </w:r>
      <w:r w:rsidRPr="00670D91">
        <w:rPr>
          <w:rFonts w:ascii="Calibri" w:eastAsia="Calibri" w:hAnsi="Calibri" w:cs="Calibri"/>
          <w:lang w:val="en-US"/>
        </w:rPr>
        <w:fldChar w:fldCharType="end"/>
      </w:r>
      <w:r w:rsidR="00345178">
        <w:rPr>
          <w:rFonts w:ascii="Calibri" w:eastAsia="Calibri" w:hAnsi="Calibri" w:cs="Calibri"/>
          <w:lang w:val="en-US"/>
        </w:rPr>
        <w:t>,</w:t>
      </w:r>
      <w:r>
        <w:rPr>
          <w:rFonts w:ascii="Calibri" w:eastAsia="Calibri" w:hAnsi="Calibri" w:cs="Calibri"/>
          <w:lang w:val="en-US"/>
        </w:rPr>
        <w:t xml:space="preserve"> </w:t>
      </w:r>
      <w:r w:rsidRPr="00670D91">
        <w:rPr>
          <w:rFonts w:ascii="Calibri" w:eastAsia="Calibri" w:hAnsi="Calibri" w:cs="Calibri"/>
          <w:lang w:val="en-US"/>
        </w:rPr>
        <w:t>India</w:t>
      </w:r>
      <w:r w:rsidR="00345178">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{"citationID":"4fCDa2aZ","properties":{"formattedCitation":"[16]","plainCitation":"[16]","noteIndex":0},"citationItems":[{"id":3346,"uris":["http://zotero.org/users/5053868/items/3CW7I5PH"],"itemData":{"id":3346,"type":"article-journal","container-title":"Oman Medical Journal","DOI":"10.5001/omj.2015.41","ISSN":"1999768X, 20705204","issue":"3","journalAbbreviation":"Oman Med J","page":"193-202","source":"DOI.org (Crossref)","title":"Validity of the Pittsburgh Sleep Quality Index in Indian University Students","volume":"30","author":[{"family":"Manzar","given":"Md. Dilshad"},{"family":"Moiz","given":"Jamal A."},{"family":"Zannat","given":"Wassilatul"},{"family":"Spence","given":"David W."},{"literal":"Independent Researcher"},{"family":"Pandi-Perumal","given":"Seithikurippu R."},{"family":"BaHammam","given":"Ahmed S."},{"family":"Hussain","given":"M. Ejaz"}],"issued":{"date-parts":[["2015",5,15]]}}}],"schema":"https://github.com/citation-style-language/schema/raw/master/csl-citation.json"}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[16]</w:t>
      </w:r>
      <w:r w:rsidRPr="00670D91">
        <w:rPr>
          <w:rFonts w:ascii="Calibri" w:eastAsia="Calibri" w:hAnsi="Calibri" w:cs="Calibri"/>
          <w:lang w:val="en-US"/>
        </w:rPr>
        <w:fldChar w:fldCharType="end"/>
      </w:r>
      <w:r w:rsidR="00345178">
        <w:rPr>
          <w:rFonts w:ascii="Calibri" w:eastAsia="Calibri" w:hAnsi="Calibri" w:cs="Calibri"/>
          <w:lang w:val="en-US"/>
        </w:rPr>
        <w:t>,</w:t>
      </w:r>
      <w:r w:rsidRPr="00670D91">
        <w:rPr>
          <w:rFonts w:ascii="Calibri" w:eastAsia="Calibri" w:hAnsi="Calibri" w:cs="Calibri"/>
          <w:lang w:val="en-US"/>
        </w:rPr>
        <w:t xml:space="preserve"> and </w:t>
      </w:r>
      <w:r>
        <w:rPr>
          <w:rFonts w:ascii="Calibri" w:eastAsia="Calibri" w:hAnsi="Calibri" w:cs="Calibri"/>
          <w:lang w:val="en-US"/>
        </w:rPr>
        <w:t>Nigeria</w:t>
      </w:r>
      <w:r w:rsidR="00345178">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{"citationID":"EbC3N0fM","properties":{"formattedCitation":"[17]","plainCitation":"[17]","noteIndex":0},"citationItems":[{"id":3348,"uris":["http://zotero.org/users/5053868/items/IA34LD4G"],"itemData":{"id":3348,"type":"article-journal","container-title":"Sleep Medicine","DOI":"10.1016/j.sleep.2006.08.003","ISSN":"13899457","issue":"3","journalAbbreviation":"Sleep Medicine","language":"en","license":"https://www.elsevier.com/tdm/userlicense/1.0/","page":"266-270","source":"DOI.org (Crossref)","title":"Validity of the Pittsburgh Sleep Quality Index (PSQI) among Nigerian university students","volume":"8","author":[{"family":"Aloba","given":"Olutayo O."},{"family":"Adewuya","given":"Abiodun O."},{"family":"Ola","given":"Bola A."},{"family":"Mapayi","given":"Boladale M."}],"issued":{"date-parts":[["2007",4]]}}}],"schema":"https://github.com/citation-style-language/schema/raw/master/csl-citation.json"}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[17]</w:t>
      </w:r>
      <w:r w:rsidRPr="00670D91">
        <w:rPr>
          <w:rFonts w:ascii="Calibri" w:eastAsia="Calibri" w:hAnsi="Calibri" w:cs="Calibri"/>
          <w:lang w:val="en-US"/>
        </w:rPr>
        <w:fldChar w:fldCharType="end"/>
      </w:r>
      <w:r w:rsidR="00345178">
        <w:rPr>
          <w:rFonts w:ascii="Calibri" w:eastAsia="Calibri" w:hAnsi="Calibri" w:cs="Calibri"/>
          <w:lang w:val="en-US"/>
        </w:rPr>
        <w:t xml:space="preserve">. </w:t>
      </w:r>
      <w:r w:rsidRPr="00670D91">
        <w:rPr>
          <w:rFonts w:ascii="Calibri" w:eastAsia="Calibri" w:hAnsi="Calibri" w:cs="Calibri"/>
          <w:lang w:val="en-US"/>
        </w:rPr>
        <w:t>The Cronbach alpha for the PSQI subscale in the current study was 0.78 for Turkey sample, 0.78 for Spanish sample, and 0.79 for Nigerian sample, 0.85 for Indian sample. According to the k-means algorithm, we categorized the PSQI scale into three groups: Low PSQI (0-5), Medium PSQI (6-10), high PSQI (11 or more)</w:t>
      </w:r>
      <w:r>
        <w:rPr>
          <w:rFonts w:ascii="Calibri" w:eastAsia="Calibri" w:hAnsi="Calibri" w:cs="Calibri"/>
          <w:lang w:val="en-US"/>
        </w:rPr>
        <w:t>.</w:t>
      </w:r>
      <w:r w:rsidRPr="00670D91">
        <w:rPr>
          <w:rFonts w:ascii="Calibri" w:eastAsia="Calibri" w:hAnsi="Calibri" w:cs="Calibri"/>
          <w:lang w:val="en-US"/>
        </w:rPr>
        <w:t xml:space="preserve"> </w:t>
      </w:r>
    </w:p>
    <w:p w14:paraId="18988A80" w14:textId="1BE349F6" w:rsidR="00880FC1" w:rsidRDefault="00880FC1" w:rsidP="00A700A6">
      <w:pPr>
        <w:shd w:val="clear" w:color="auto" w:fill="FFFFFF"/>
        <w:spacing w:line="480" w:lineRule="auto"/>
        <w:ind w:firstLine="720"/>
        <w:jc w:val="both"/>
        <w:rPr>
          <w:rFonts w:ascii="Calibri" w:eastAsia="Calibri" w:hAnsi="Calibri" w:cs="Calibri"/>
          <w:lang w:val="en-US"/>
        </w:rPr>
      </w:pPr>
    </w:p>
    <w:p w14:paraId="79991132" w14:textId="6A230C8C" w:rsidR="00880FC1" w:rsidRPr="00BE6532" w:rsidRDefault="00880FC1" w:rsidP="00A700A6">
      <w:pPr>
        <w:shd w:val="clear" w:color="auto" w:fill="FFFFFF"/>
        <w:spacing w:line="480" w:lineRule="auto"/>
        <w:ind w:firstLine="720"/>
        <w:jc w:val="both"/>
        <w:rPr>
          <w:rFonts w:ascii="Calibri" w:eastAsia="Calibri" w:hAnsi="Calibri" w:cs="Calibri"/>
          <w:b/>
          <w:bCs/>
          <w:lang w:val="en-US"/>
        </w:rPr>
      </w:pPr>
      <w:r w:rsidRPr="00BE6532">
        <w:rPr>
          <w:rFonts w:ascii="Calibri" w:eastAsia="Calibri" w:hAnsi="Calibri" w:cs="Calibri"/>
          <w:b/>
          <w:bCs/>
          <w:lang w:val="en-US"/>
        </w:rPr>
        <w:t>2. Statistics regarding Association Rule Mining Algorithm</w:t>
      </w:r>
    </w:p>
    <w:p w14:paraId="2743FDF1" w14:textId="295BEC96" w:rsidR="00880FC1" w:rsidRPr="000A0B2E" w:rsidRDefault="00880FC1" w:rsidP="00880FC1">
      <w:pPr>
        <w:shd w:val="clear" w:color="auto" w:fill="FFFFFF"/>
        <w:spacing w:line="480" w:lineRule="auto"/>
        <w:ind w:firstLine="720"/>
        <w:jc w:val="both"/>
        <w:rPr>
          <w:rFonts w:ascii="Calibri" w:eastAsia="Calibri" w:hAnsi="Calibri" w:cs="Calibri"/>
        </w:rPr>
      </w:pPr>
      <w:r>
        <w:rPr>
          <w:rFonts w:ascii="Calibri" w:eastAsia="Calibri" w:hAnsi="Calibri" w:cs="Calibri"/>
          <w:lang w:val="tr-TR"/>
        </w:rPr>
        <w:t>A</w:t>
      </w:r>
      <w:r w:rsidRPr="000A0B2E">
        <w:rPr>
          <w:rFonts w:ascii="Calibri" w:eastAsia="Calibri" w:hAnsi="Calibri" w:cs="Calibri"/>
        </w:rPr>
        <w:t xml:space="preserve"> data mining analysis was conducted to explore associations within the survey data using Association Rule Mining, a method for uncovering hidden and valuable patterns in large datasets. We employed the Apriori algorithm to identify frequent item sets and generate association rules. The algorithm efficiently prunes infrequent combinations using a minimum support threshold, which also reduces computational cost in large datasets. To avoid the dominance of overly common patterns, the Apriori-Inverse algorithm was also applied, which filters out too frequent item sets using a separate threshold, allowing less obvious but meaningful patterns to emerge in the analysis</w:t>
      </w:r>
      <w:r w:rsidR="00E767C7">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{"citationID":"8T81AV6Y","properties":{"formattedCitation":"[18]","plainCitation":"[18]","noteIndex":0},"citationItems":[{"id":3134,"uris":["http://zotero.org/users/5053868/items/F5343RG5"],"itemData":{"id":3134,"type":"chapter","container-title":"Advances in Knowledge Discovery and Data Mining","event-place":"Berlin, Heidelberg","ISBN":"978-3-540-26076-9","note":"collection-title: Lecture Notes in Computer Science\nDOI: 10.1007/11430919_13","page":"97-106","publisher":"Springer Berlin Heidelberg","publisher-place":"Berlin, Heidelberg","source":"DOI.org (Crossref)","title":"Finding Sporadic Rules Using Apriori-Inverse","URL":"http://link.springer.com/10.1007/11430919_13","volume":"3518","collection-editor":[{"family":"Hutchison","given":"David"},{"family":"Kanade","given":"Takeo"},{"family":"Kittler","given":"Josef"},{"family":"Kleinberg","given":"Jon M."},{"family":"Mattern","given":"Friedemann"},{"family":"Mitchell","given":"John C."},{"family":"Naor","given":"Moni"},{"family":"Nierstrasz","given":"Oscar"},{"family":"Pandu Rangan","given":"C."},{"family":"Steffen","given":"Bernhard"},{"family":"Sudan","given":"Madhu"},{"family":"Terzopoulos","given":"Demetri"},{"family":"Tygar","given":"Dough"},{"family":"Vardi","given":"Moshe Y."},{"family":"Weikum","given":"Gerhard"}],"editor":[{"family":"Ho","given":"Tu Bao"},{"family":"Cheung","given":"David"},{"family":"Liu","given":"Huan"}],"author":[{"family":"Koh","given":"Yun Sing"},{"family":"Rountree","given":"Nathan"}],"accessed":{"date-parts":[["2024",1,2]]},"issued":{"date-parts":[["2005"]]}}}],"schema":"https://github.com/citation-style-language/schema/raw/master/csl-citation.json"}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[18]</w:t>
      </w:r>
      <w:r w:rsidRPr="00670D91">
        <w:rPr>
          <w:rFonts w:ascii="Calibri" w:eastAsia="Calibri" w:hAnsi="Calibri" w:cs="Calibri"/>
          <w:lang w:val="en-US"/>
        </w:rPr>
        <w:fldChar w:fldCharType="end"/>
      </w:r>
      <w:r w:rsidR="00E767C7">
        <w:rPr>
          <w:rFonts w:ascii="Calibri" w:eastAsia="Calibri" w:hAnsi="Calibri" w:cs="Calibri"/>
          <w:lang w:val="en-US"/>
        </w:rPr>
        <w:t>.</w:t>
      </w:r>
    </w:p>
    <w:p w14:paraId="7671BD2C" w14:textId="1DB4E7DD" w:rsidR="00880FC1" w:rsidRPr="00670D91" w:rsidRDefault="00880FC1" w:rsidP="00880FC1">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First, in the data preparation process, since the rule mining algorithm requires binary transactional data, continuous variables (CAPE, GAD, PSQI, and PQH) were transformed to categorical variables. Thus, each of those numeric variables was categorized by clustering using the k-means algorithm</w:t>
      </w:r>
      <w:r>
        <w:rPr>
          <w:rFonts w:ascii="Calibri" w:eastAsia="Calibri" w:hAnsi="Calibri" w:cs="Calibri"/>
          <w:lang w:val="tr-TR"/>
        </w:rPr>
        <w:t xml:space="preserve">. </w:t>
      </w:r>
      <w:r w:rsidRPr="00670D91">
        <w:rPr>
          <w:rFonts w:ascii="Calibri" w:eastAsia="Calibri" w:hAnsi="Calibri" w:cs="Calibri"/>
          <w:lang w:val="en-US"/>
        </w:rPr>
        <w:t>Then, association rule mining was applied. The rules were evaluated through measures for interestingness, such as confidence and lift</w:t>
      </w:r>
      <w:r w:rsidR="00731205">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{"citationID":"hoF82E7E","properties":{"formattedCitation":"[19]","plainCitation":"[19]","noteIndex":0},"citationItems":[{"id":3135,"uris":["http://zotero.org/users/5053868/items/F37BKIKU"],"itemData":{"id":3135,"type":"paper-conference","container-title":"Proceedings of the fifth ACM SIGKDD international conference on Knowledge discovery and data mining","DOI":"10.1145/312129.312219","event-place":"San Diego California USA","event-title":"KDD99: The First Annual International Conference on Knowledge Discovery in Data","ISBN":"978-1-58113-143-7","language":"en","page":"145-154","publisher":"ACM","publisher-place":"San Diego California USA","source":"DOI.org (Crossref)","title":"Mining the most interesting rules","URL":"https://dl.acm.org/doi/10.1145/312129.312219","author":[{"family":"Bayardo","given":"Roberto J."},{"family":"Agrawal","given":"Rakesh"}],"accessed":{"date-parts":[["2024",1,2]]},"issued":{"date-parts":[["1999",8]]}}}],"schema":"https://github.com/citation-style-language/schema/raw/master/csl-citation.json"}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[19]</w:t>
      </w:r>
      <w:r w:rsidRPr="00670D91">
        <w:rPr>
          <w:rFonts w:ascii="Calibri" w:eastAsia="Calibri" w:hAnsi="Calibri" w:cs="Calibri"/>
          <w:lang w:val="en-US"/>
        </w:rPr>
        <w:fldChar w:fldCharType="end"/>
      </w:r>
      <w:r w:rsidR="00731205">
        <w:rPr>
          <w:rFonts w:ascii="Calibri" w:eastAsia="Calibri" w:hAnsi="Calibri" w:cs="Calibri"/>
          <w:lang w:val="en-US"/>
        </w:rPr>
        <w:t>.</w:t>
      </w:r>
      <w:r w:rsidRPr="00670D91">
        <w:rPr>
          <w:rFonts w:ascii="Calibri" w:eastAsia="Calibri" w:hAnsi="Calibri" w:cs="Calibri"/>
          <w:lang w:val="en-US"/>
        </w:rPr>
        <w:t xml:space="preserve"> Each set of rules were </w:t>
      </w:r>
      <w:r w:rsidRPr="00670D91">
        <w:rPr>
          <w:rFonts w:ascii="Calibri" w:eastAsia="Calibri" w:hAnsi="Calibri" w:cs="Calibri"/>
          <w:lang w:val="en-US"/>
        </w:rPr>
        <w:lastRenderedPageBreak/>
        <w:t>sorted according to the lift criteria which was detailed in Bayardo-Jr et al.</w:t>
      </w:r>
      <w:r w:rsidR="00587FC4">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{"citationID":"6Lcq55au","properties":{"formattedCitation":"[19]","plainCitation":"[19]","noteIndex":0},"citationItems":[{"id":3135,"uris":["http://zotero.org/users/5053868/items/F37BKIKU"],"itemData":{"id":3135,"type":"paper-conference","container-title":"Proceedings of the fifth ACM SIGKDD international conference on Knowledge discovery and data mining","DOI":"10.1145/312129.312219","event-place":"San Diego California USA","event-title":"KDD99: The First Annual International Conference on Knowledge Discovery in Data","ISBN":"978-1-58113-143-7","language":"en","page":"145-154","publisher":"ACM","publisher-place":"San Diego California USA","source":"DOI.org (Crossref)","title":"Mining the most interesting rules","URL":"https://dl.acm.org/doi/10.1145/312129.312219","author":[{"family":"Bayardo","given":"Roberto J."},{"family":"Agrawal","given":"Rakesh"}],"accessed":{"date-parts":[["2024",1,2]]},"issued":{"date-parts":[["1999",8]]}}}],"schema":"https://github.com/citation-style-language/schema/raw/master/csl-citation.json"}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[19]</w:t>
      </w:r>
      <w:r w:rsidRPr="00670D91">
        <w:rPr>
          <w:rFonts w:ascii="Calibri" w:eastAsia="Calibri" w:hAnsi="Calibri" w:cs="Calibri"/>
          <w:lang w:val="en-US"/>
        </w:rPr>
        <w:fldChar w:fldCharType="end"/>
      </w:r>
      <w:r>
        <w:rPr>
          <w:rFonts w:ascii="Calibri" w:eastAsia="Calibri" w:hAnsi="Calibri" w:cs="Calibri"/>
          <w:lang w:val="en-US"/>
        </w:rPr>
        <w:t xml:space="preserve"> </w:t>
      </w:r>
      <w:r w:rsidRPr="00670D91">
        <w:rPr>
          <w:rFonts w:ascii="Calibri" w:eastAsia="Calibri" w:hAnsi="Calibri" w:cs="Calibri"/>
          <w:lang w:val="en-US"/>
        </w:rPr>
        <w:t>For a rule such as X =&gt; Y, Lift(X, Y)&gt;1 signifies that positive correlation among X and Y, while 0&lt;Lift(X,Y)&lt;1 signifies negative correlation among the variables</w:t>
      </w:r>
      <w:r w:rsidR="00587FC4">
        <w:rPr>
          <w:rFonts w:ascii="Calibri" w:eastAsia="Calibri" w:hAnsi="Calibri" w:cs="Calibri"/>
          <w:lang w:val="en-US"/>
        </w:rPr>
        <w:t xml:space="preserve"> </w:t>
      </w:r>
      <w:r w:rsidRPr="00670D91">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{"citationID":"45WVBBUv","properties":{"formattedCitation":"[20]","plainCitation":"[20]","noteIndex":0},"citationItems":[{"id":3136,"uris":["http://zotero.org/users/5053868/items/HIT6XIXE"],"itemData":{"id":3136,"type":"article-journal","container-title":"Journal of Medical Systems","DOI":"10.1007/s10916-012-9896-1","ISSN":"0148-5598, 1573-689X","issue":"2","journalAbbreviation":"J Med Syst","language":"en","page":"9896","source":"DOI.org (Crossref)","title":"Discovering Medical Knowledge using Association Rule Mining in Young Adults with Acute Myocardial Infarction","volume":"37","author":[{"family":"Lee","given":"Dong Gyu"},{"family":"Ryu","given":"Kwang Sun"},{"family":"Bashir","given":"Mohamed"},{"family":"Bae","given":"Jang-Whan"},{"family":"Ryu","given":"Keun Ho"}],"issued":{"date-parts":[["2013",4]]}}}],"schema":"https://github.com/citation-style-language/schema/raw/master/csl-citation.json"} </w:instrText>
      </w:r>
      <w:r w:rsidRPr="00670D91">
        <w:rPr>
          <w:rFonts w:ascii="Calibri" w:eastAsia="Calibri" w:hAnsi="Calibri" w:cs="Calibri"/>
          <w:lang w:val="en-US"/>
        </w:rPr>
        <w:fldChar w:fldCharType="separate"/>
      </w:r>
      <w:r w:rsidR="00973681">
        <w:rPr>
          <w:rFonts w:ascii="Calibri" w:hAnsi="Calibri" w:cs="Calibri"/>
          <w:lang w:val="en-US"/>
        </w:rPr>
        <w:t>[20]</w:t>
      </w:r>
      <w:r w:rsidRPr="00670D91">
        <w:rPr>
          <w:rFonts w:ascii="Calibri" w:eastAsia="Calibri" w:hAnsi="Calibri" w:cs="Calibri"/>
          <w:lang w:val="en-US"/>
        </w:rPr>
        <w:fldChar w:fldCharType="end"/>
      </w:r>
      <w:r w:rsidR="00587FC4">
        <w:rPr>
          <w:rFonts w:ascii="Calibri" w:eastAsia="Calibri" w:hAnsi="Calibri" w:cs="Calibri"/>
          <w:lang w:val="en-US"/>
        </w:rPr>
        <w:t>.</w:t>
      </w:r>
    </w:p>
    <w:p w14:paraId="04732AC9" w14:textId="6CD4E637" w:rsidR="00880FC1" w:rsidRDefault="00880FC1" w:rsidP="00880FC1">
      <w:pPr>
        <w:shd w:val="clear" w:color="auto" w:fill="FFFFFF"/>
        <w:spacing w:line="480" w:lineRule="auto"/>
        <w:ind w:firstLine="720"/>
        <w:jc w:val="both"/>
        <w:rPr>
          <w:rFonts w:ascii="Calibri" w:eastAsia="Calibri" w:hAnsi="Calibri" w:cs="Calibri"/>
          <w:lang w:val="en-US"/>
        </w:rPr>
      </w:pPr>
      <w:r w:rsidRPr="00670D91">
        <w:rPr>
          <w:rFonts w:ascii="Calibri" w:eastAsia="Calibri" w:hAnsi="Calibri" w:cs="Calibri"/>
          <w:lang w:val="en-US"/>
        </w:rPr>
        <w:t>The rules which contain HIGH_CAPE on the right-hand side were filtered in order to find the patterns which might signify high CAPE scores. Rule mining was repeated for each country separately. After several tests, appropriate thresholds for minimum and maximum support were determined as 2.5% to 40% in our case, while the confidence threshold for rules was set to 40%. While those parameters resulted in a sufficient number of results in Turkey, India and Nigeria; no rules were discovered for Spain that signify high CAPE scores. For this reason, the minimum support thresholds were loosened as 2.0% for Spain. RuleGenerator Software</w:t>
      </w:r>
      <w:r w:rsidR="00E9743F">
        <w:rPr>
          <w:rFonts w:ascii="Calibri" w:eastAsia="Calibri" w:hAnsi="Calibri" w:cs="Calibri"/>
          <w:lang w:val="en-US"/>
        </w:rPr>
        <w:t xml:space="preserve"> </w:t>
      </w:r>
      <w:r>
        <w:rPr>
          <w:rFonts w:ascii="Calibri" w:eastAsia="Calibri" w:hAnsi="Calibri" w:cs="Calibri"/>
          <w:lang w:val="en-US"/>
        </w:rPr>
        <w:fldChar w:fldCharType="begin"/>
      </w:r>
      <w:r w:rsidR="00973681">
        <w:rPr>
          <w:rFonts w:ascii="Calibri" w:eastAsia="Calibri" w:hAnsi="Calibri" w:cs="Calibri"/>
          <w:lang w:val="en-US"/>
        </w:rPr>
        <w:instrText xml:space="preserve"> ADDIN ZOTERO_ITEM CSL_CITATION {"citationID":"JuPnnXi3","properties":{"formattedCitation":"[21]","plainCitation":"[21]","noteIndex":0},"citationItems":[{"id":3352,"uris":["http://zotero.org/users/5053868/items/ADCJEQKW"],"itemData":{"id":3352,"type":"chapter","container-title":"Tools and Techniques for Implementing International E-Trading Tactics for Competitive Advantage","page":"242–267","publisher":"IGI Global","title":"Understanding Shopping Behaviors With Category-and Brand-Level Market Basket Analysis","author":[{"family":"Kabasakal","given":"İnanç"}],"issued":{"date-parts":[["2020"]]}}}],"schema":"https://github.com/citation-style-language/schema/raw/master/csl-citation.json"} </w:instrText>
      </w:r>
      <w:r>
        <w:rPr>
          <w:rFonts w:ascii="Calibri" w:eastAsia="Calibri" w:hAnsi="Calibri" w:cs="Calibri"/>
          <w:lang w:val="en-US"/>
        </w:rPr>
        <w:fldChar w:fldCharType="separate"/>
      </w:r>
      <w:r w:rsidR="00973681">
        <w:rPr>
          <w:rFonts w:ascii="Calibri" w:hAnsi="Calibri" w:cs="Calibri"/>
          <w:lang w:val="en-US"/>
        </w:rPr>
        <w:t>[21]</w:t>
      </w:r>
      <w:r>
        <w:rPr>
          <w:rFonts w:ascii="Calibri" w:eastAsia="Calibri" w:hAnsi="Calibri" w:cs="Calibri"/>
          <w:lang w:val="en-US"/>
        </w:rPr>
        <w:fldChar w:fldCharType="end"/>
      </w:r>
      <w:r w:rsidRPr="00670D91">
        <w:rPr>
          <w:rFonts w:ascii="Calibri" w:eastAsia="Calibri" w:hAnsi="Calibri" w:cs="Calibri"/>
          <w:lang w:val="en-US"/>
        </w:rPr>
        <w:t xml:space="preserve"> was used to execute the algorithm and obtain association rules.</w:t>
      </w:r>
    </w:p>
    <w:p w14:paraId="17CA3D5A" w14:textId="77777777" w:rsidR="00880FC1" w:rsidRDefault="00880FC1" w:rsidP="001170C9">
      <w:pPr>
        <w:shd w:val="clear" w:color="auto" w:fill="FFFFFF"/>
        <w:spacing w:line="480" w:lineRule="auto"/>
        <w:jc w:val="both"/>
        <w:rPr>
          <w:rFonts w:ascii="Calibri" w:eastAsia="Calibri" w:hAnsi="Calibri" w:cs="Calibri"/>
          <w:lang w:val="en-US"/>
        </w:rPr>
      </w:pPr>
    </w:p>
    <w:p w14:paraId="02A70D43" w14:textId="1AB72920" w:rsidR="00C169F2" w:rsidRPr="00C169F2" w:rsidRDefault="00C169F2" w:rsidP="00A700A6">
      <w:pPr>
        <w:shd w:val="clear" w:color="auto" w:fill="FFFFFF"/>
        <w:spacing w:line="480" w:lineRule="auto"/>
        <w:ind w:firstLine="720"/>
        <w:jc w:val="both"/>
        <w:rPr>
          <w:rFonts w:ascii="Calibri" w:eastAsia="Calibri" w:hAnsi="Calibri" w:cs="Calibri"/>
          <w:b/>
          <w:bCs/>
          <w:lang w:val="en-US"/>
        </w:rPr>
      </w:pPr>
      <w:r w:rsidRPr="00C169F2">
        <w:rPr>
          <w:rFonts w:ascii="Calibri" w:eastAsia="Calibri" w:hAnsi="Calibri" w:cs="Calibri"/>
          <w:b/>
          <w:bCs/>
          <w:lang w:val="en-US"/>
        </w:rPr>
        <w:t>References</w:t>
      </w:r>
    </w:p>
    <w:p w14:paraId="65CF43C4" w14:textId="206A50A2" w:rsidR="00973681" w:rsidRPr="00973681" w:rsidRDefault="004F7A80" w:rsidP="00973681">
      <w:pPr>
        <w:pStyle w:val="Bibliography"/>
        <w:rPr>
          <w:lang w:val="en-US"/>
        </w:rPr>
      </w:pPr>
      <w:r>
        <w:fldChar w:fldCharType="begin"/>
      </w:r>
      <w:r w:rsidR="00973681">
        <w:instrText xml:space="preserve"> ADDIN ZOTERO_BIBL {"uncited":[],"omitted":[],"custom":[]} CSL_BIBLIOGRAPHY </w:instrText>
      </w:r>
      <w:r>
        <w:fldChar w:fldCharType="separate"/>
      </w:r>
      <w:r w:rsidR="00973681" w:rsidRPr="00973681">
        <w:rPr>
          <w:lang w:val="en-US"/>
        </w:rPr>
        <w:t xml:space="preserve">1. </w:t>
      </w:r>
      <w:r w:rsidR="00973681" w:rsidRPr="00973681">
        <w:rPr>
          <w:lang w:val="en-US"/>
        </w:rPr>
        <w:tab/>
        <w:t xml:space="preserve">Stefanis N, Hanssen M, Smirnis N, Avramopoulos D, Evdokimidis I, Stefanis C, </w:t>
      </w:r>
      <w:r w:rsidR="001170C9">
        <w:rPr>
          <w:rFonts w:ascii="Calibri" w:hAnsi="Calibri" w:cs="Calibri"/>
        </w:rPr>
        <w:t>et al</w:t>
      </w:r>
      <w:r w:rsidR="00973681" w:rsidRPr="00973681">
        <w:rPr>
          <w:lang w:val="en-US"/>
        </w:rPr>
        <w:t xml:space="preserve">. Evidence that three dimensions of psychosis have a distribution in the general population. Psychological medicine. 2002;32(2):347–58. </w:t>
      </w:r>
    </w:p>
    <w:p w14:paraId="5B679403" w14:textId="77777777" w:rsidR="00973681" w:rsidRPr="00973681" w:rsidRDefault="00973681" w:rsidP="00973681">
      <w:pPr>
        <w:pStyle w:val="Bibliography"/>
        <w:rPr>
          <w:lang w:val="en-US"/>
        </w:rPr>
      </w:pPr>
      <w:r w:rsidRPr="00973681">
        <w:rPr>
          <w:lang w:val="en-US"/>
        </w:rPr>
        <w:t xml:space="preserve">2. </w:t>
      </w:r>
      <w:r w:rsidRPr="00973681">
        <w:rPr>
          <w:lang w:val="en-US"/>
        </w:rPr>
        <w:tab/>
        <w:t xml:space="preserve">Mark W, Toulopoulou T. Psychometric Properties of “Community Assessment of Psychic Experiences”: Review and Meta-analyses. SCHBUL. 2015 Jul 6;sbv088. </w:t>
      </w:r>
    </w:p>
    <w:p w14:paraId="2FA620D1" w14:textId="77777777" w:rsidR="00973681" w:rsidRPr="00973681" w:rsidRDefault="00973681" w:rsidP="00973681">
      <w:pPr>
        <w:pStyle w:val="Bibliography"/>
        <w:rPr>
          <w:lang w:val="en-US"/>
        </w:rPr>
      </w:pPr>
      <w:r w:rsidRPr="00973681">
        <w:rPr>
          <w:lang w:val="en-US"/>
        </w:rPr>
        <w:t xml:space="preserve">3. </w:t>
      </w:r>
      <w:r w:rsidRPr="00973681">
        <w:rPr>
          <w:lang w:val="en-US"/>
        </w:rPr>
        <w:tab/>
        <w:t xml:space="preserve">Sevi O, Ustamehmetoglu F, Gulen M, Zeybek Z. The Reliability and Validity of Community Assessment of Psychic Experiences Scale-Turkish Form. NYS. 2019;(57):15–22. </w:t>
      </w:r>
    </w:p>
    <w:p w14:paraId="1345B0B8" w14:textId="77777777" w:rsidR="00973681" w:rsidRPr="00973681" w:rsidRDefault="00973681" w:rsidP="00973681">
      <w:pPr>
        <w:pStyle w:val="Bibliography"/>
        <w:rPr>
          <w:lang w:val="en-US"/>
        </w:rPr>
      </w:pPr>
      <w:r w:rsidRPr="00973681">
        <w:rPr>
          <w:lang w:val="en-US"/>
        </w:rPr>
        <w:t xml:space="preserve">4. </w:t>
      </w:r>
      <w:r w:rsidRPr="00973681">
        <w:rPr>
          <w:lang w:val="en-US"/>
        </w:rPr>
        <w:tab/>
        <w:t xml:space="preserve">Fonseca-Pedrero E, Lucas-Molina B, Pérez-Albéniz A, Inchausti F, Ortuño-Sierra J. Experiencias psicóticas atenuadas y consumo de cannabis en adolescentes de la población general. Adicciones. 2019 Mar 28;32(1):41. </w:t>
      </w:r>
    </w:p>
    <w:p w14:paraId="73993E8F" w14:textId="28C144B4" w:rsidR="00973681" w:rsidRPr="00973681" w:rsidRDefault="00973681" w:rsidP="00973681">
      <w:pPr>
        <w:pStyle w:val="Bibliography"/>
        <w:rPr>
          <w:lang w:val="en-US"/>
        </w:rPr>
      </w:pPr>
      <w:r w:rsidRPr="00973681">
        <w:rPr>
          <w:lang w:val="en-US"/>
        </w:rPr>
        <w:t xml:space="preserve">5. </w:t>
      </w:r>
      <w:r w:rsidRPr="00973681">
        <w:rPr>
          <w:lang w:val="en-US"/>
        </w:rPr>
        <w:tab/>
        <w:t>Vermeiden M, Janssens M, Thewissen V, Akinsola E, Peeters S, Reijnders J,</w:t>
      </w:r>
      <w:r w:rsidR="00BE4741" w:rsidRPr="00BE4741">
        <w:rPr>
          <w:rFonts w:ascii="Calibri" w:hAnsi="Calibri" w:cs="Calibri"/>
        </w:rPr>
        <w:t xml:space="preserve"> </w:t>
      </w:r>
      <w:r w:rsidR="00BE4741">
        <w:rPr>
          <w:rFonts w:ascii="Calibri" w:hAnsi="Calibri" w:cs="Calibri"/>
        </w:rPr>
        <w:t>et al</w:t>
      </w:r>
      <w:r w:rsidRPr="00973681">
        <w:rPr>
          <w:lang w:val="en-US"/>
        </w:rPr>
        <w:t xml:space="preserve">. Cultural differences in positive psychotic experiences assessed with the Community Assessment of Psychic Experiences-42 (CAPE-42): a comparison of student populations in the Netherlands, Nigeria and Norway. BMC Psychiatry. 2019 Dec;19(1):244. </w:t>
      </w:r>
    </w:p>
    <w:p w14:paraId="5901EB3C" w14:textId="77777777" w:rsidR="00973681" w:rsidRPr="00973681" w:rsidRDefault="00973681" w:rsidP="00973681">
      <w:pPr>
        <w:pStyle w:val="Bibliography"/>
        <w:rPr>
          <w:lang w:val="en-US"/>
        </w:rPr>
      </w:pPr>
      <w:r w:rsidRPr="00973681">
        <w:rPr>
          <w:lang w:val="en-US"/>
        </w:rPr>
        <w:lastRenderedPageBreak/>
        <w:t xml:space="preserve">6. </w:t>
      </w:r>
      <w:r w:rsidRPr="00973681">
        <w:rPr>
          <w:lang w:val="en-US"/>
        </w:rPr>
        <w:tab/>
        <w:t xml:space="preserve">Sahu S, Siddi S, Preti A, Bhatia T, Deshpande SN. Subclinical psychotic symptoms in Indian adults: Application of the Community Assessment of Psychic Experiences (CAPE). Asian Journal of Psychiatry. 2023 Mar;81:103451. </w:t>
      </w:r>
    </w:p>
    <w:p w14:paraId="39AA3D3B" w14:textId="77777777" w:rsidR="00973681" w:rsidRPr="00973681" w:rsidRDefault="00973681" w:rsidP="00973681">
      <w:pPr>
        <w:pStyle w:val="Bibliography"/>
        <w:rPr>
          <w:lang w:val="en-US"/>
        </w:rPr>
      </w:pPr>
      <w:r w:rsidRPr="00973681">
        <w:rPr>
          <w:lang w:val="en-US"/>
        </w:rPr>
        <w:t xml:space="preserve">7. </w:t>
      </w:r>
      <w:r w:rsidRPr="00973681">
        <w:rPr>
          <w:lang w:val="en-US"/>
        </w:rPr>
        <w:tab/>
        <w:t xml:space="preserve">Sari YE, Kokoglu B, Balcioglu H, Bilge U, Colak E, Unluoglu I. Turkish reliability of the patient health questionnaire-9. 2016; </w:t>
      </w:r>
    </w:p>
    <w:p w14:paraId="52FBD181" w14:textId="77777777" w:rsidR="00973681" w:rsidRPr="00973681" w:rsidRDefault="00973681" w:rsidP="00973681">
      <w:pPr>
        <w:pStyle w:val="Bibliography"/>
        <w:rPr>
          <w:lang w:val="en-US"/>
        </w:rPr>
      </w:pPr>
      <w:r w:rsidRPr="00973681">
        <w:rPr>
          <w:lang w:val="en-US"/>
        </w:rPr>
        <w:t xml:space="preserve">8. </w:t>
      </w:r>
      <w:r w:rsidRPr="00973681">
        <w:rPr>
          <w:lang w:val="en-US"/>
        </w:rPr>
        <w:tab/>
        <w:t xml:space="preserve">Diez-Quevedo C, Rangil T, Sanchez-Planell L, Kroenke K, Spitzer RL. Validation and Utility of the Patient Health Questionnaire in Diagnosing Mental Disorders in 1003 General Hospital Spanish Inpatients: Psychosomatic Medicine. 2001 Jul;63(4):679–86. </w:t>
      </w:r>
    </w:p>
    <w:p w14:paraId="21A1303C" w14:textId="77777777" w:rsidR="00973681" w:rsidRPr="00973681" w:rsidRDefault="00973681" w:rsidP="00973681">
      <w:pPr>
        <w:pStyle w:val="Bibliography"/>
        <w:rPr>
          <w:lang w:val="en-US"/>
        </w:rPr>
      </w:pPr>
      <w:r w:rsidRPr="00973681">
        <w:rPr>
          <w:lang w:val="en-US"/>
        </w:rPr>
        <w:t xml:space="preserve">9. </w:t>
      </w:r>
      <w:r w:rsidRPr="00973681">
        <w:rPr>
          <w:lang w:val="en-US"/>
        </w:rPr>
        <w:tab/>
        <w:t xml:space="preserve">Okeafor IN, Okeafor CU. PHQ-9 Diagnostic Accuracy And Optimal Cut-Off For Depression Among Patients With Stroke In Nigeria. Ann Ib Postgrad Med. 2023 Jun;21(1):11–6. </w:t>
      </w:r>
    </w:p>
    <w:p w14:paraId="3FC436A1" w14:textId="4A1CF346" w:rsidR="00973681" w:rsidRPr="00973681" w:rsidRDefault="00973681" w:rsidP="00973681">
      <w:pPr>
        <w:pStyle w:val="Bibliography"/>
        <w:rPr>
          <w:lang w:val="en-US"/>
        </w:rPr>
      </w:pPr>
      <w:r w:rsidRPr="00973681">
        <w:rPr>
          <w:lang w:val="en-US"/>
        </w:rPr>
        <w:t xml:space="preserve">10. </w:t>
      </w:r>
      <w:r w:rsidRPr="00973681">
        <w:rPr>
          <w:lang w:val="en-US"/>
        </w:rPr>
        <w:tab/>
        <w:t xml:space="preserve">De Man J, Absetz P, Sathish T, Desloge A, Haregu T, Oldenburg B, </w:t>
      </w:r>
      <w:r w:rsidR="00BE4741">
        <w:rPr>
          <w:rFonts w:ascii="Calibri" w:hAnsi="Calibri" w:cs="Calibri"/>
        </w:rPr>
        <w:t>et al</w:t>
      </w:r>
      <w:r w:rsidRPr="00973681">
        <w:rPr>
          <w:lang w:val="en-US"/>
        </w:rPr>
        <w:t xml:space="preserve">. Are the PHQ-9 and GAD-7 Suitable for Use in India? A Psychometric Analysis. Front Psychol. 2021 May 13;12:676398. </w:t>
      </w:r>
    </w:p>
    <w:p w14:paraId="6570873E" w14:textId="77777777" w:rsidR="00973681" w:rsidRPr="00973681" w:rsidRDefault="00973681" w:rsidP="00973681">
      <w:pPr>
        <w:pStyle w:val="Bibliography"/>
        <w:rPr>
          <w:lang w:val="en-US"/>
        </w:rPr>
      </w:pPr>
      <w:r w:rsidRPr="00973681">
        <w:rPr>
          <w:lang w:val="en-US"/>
        </w:rPr>
        <w:t xml:space="preserve">11. </w:t>
      </w:r>
      <w:r w:rsidRPr="00973681">
        <w:rPr>
          <w:lang w:val="en-US"/>
        </w:rPr>
        <w:tab/>
        <w:t xml:space="preserve">Konkan R, Şenormanci Ö, Güçlü O, Aydin E, Z. Sungur M. Yaygın Anksiyete Bozukluğu-7 (YAB-7) Testi Türkçe Uyarlaması, Geçerlik ve Güvenirliği. npa. 2013 Mar 5;50(1):53–8. </w:t>
      </w:r>
    </w:p>
    <w:p w14:paraId="29013DAD" w14:textId="57929B6B" w:rsidR="00973681" w:rsidRPr="00973681" w:rsidRDefault="00973681" w:rsidP="00973681">
      <w:pPr>
        <w:pStyle w:val="Bibliography"/>
        <w:rPr>
          <w:lang w:val="en-US"/>
        </w:rPr>
      </w:pPr>
      <w:r w:rsidRPr="00973681">
        <w:rPr>
          <w:lang w:val="en-US"/>
        </w:rPr>
        <w:t xml:space="preserve">12. </w:t>
      </w:r>
      <w:r w:rsidRPr="00973681">
        <w:rPr>
          <w:lang w:val="en-US"/>
        </w:rPr>
        <w:tab/>
        <w:t xml:space="preserve">Garcia-Campayo J, Zamorano E, Ruiz MA, Pardo A, Perez-Paramo M, Lopez-Gomez V, </w:t>
      </w:r>
      <w:r w:rsidR="004D0D4B">
        <w:rPr>
          <w:rFonts w:ascii="Calibri" w:hAnsi="Calibri" w:cs="Calibri"/>
        </w:rPr>
        <w:t>et al</w:t>
      </w:r>
      <w:r w:rsidRPr="00973681">
        <w:rPr>
          <w:lang w:val="en-US"/>
        </w:rPr>
        <w:t xml:space="preserve">. Cultural adaptation into Spanish of the generalized anxiety disorder-7 (GAD-7) scale as a screening tool. Health Qual Life Outcomes. 2010;8(1):8. </w:t>
      </w:r>
    </w:p>
    <w:p w14:paraId="2FA7DBC2" w14:textId="65B67701" w:rsidR="00973681" w:rsidRPr="00973681" w:rsidRDefault="00973681" w:rsidP="00973681">
      <w:pPr>
        <w:pStyle w:val="Bibliography"/>
        <w:rPr>
          <w:lang w:val="en-US"/>
        </w:rPr>
      </w:pPr>
      <w:r w:rsidRPr="00973681">
        <w:rPr>
          <w:lang w:val="en-US"/>
        </w:rPr>
        <w:t xml:space="preserve">13. </w:t>
      </w:r>
      <w:r w:rsidRPr="00973681">
        <w:rPr>
          <w:lang w:val="en-US"/>
        </w:rPr>
        <w:tab/>
        <w:t xml:space="preserve">Victor Mbanuzuru A, Uwakwe R, Sochukwu Anyaoku C, Okwudili Ojimba A, Chinyere Mbanuzuru M, Ezenyeaku CA, </w:t>
      </w:r>
      <w:r w:rsidR="004D0D4B">
        <w:rPr>
          <w:rFonts w:ascii="Calibri" w:hAnsi="Calibri" w:cs="Calibri"/>
        </w:rPr>
        <w:t>et al</w:t>
      </w:r>
      <w:r w:rsidRPr="00973681">
        <w:rPr>
          <w:lang w:val="en-US"/>
        </w:rPr>
        <w:t xml:space="preserve">. Generalized anxiety disorder screening using gad-7 among in-school adolescents of anambra state, nigeria: a comparative study between urban and rural areas. Child Adolesc Psychiatry Ment Health. 2023 Jul 19;17(1):91. </w:t>
      </w:r>
    </w:p>
    <w:p w14:paraId="55A66702" w14:textId="77777777" w:rsidR="00973681" w:rsidRPr="00973681" w:rsidRDefault="00973681" w:rsidP="00973681">
      <w:pPr>
        <w:pStyle w:val="Bibliography"/>
        <w:rPr>
          <w:lang w:val="en-US"/>
        </w:rPr>
      </w:pPr>
      <w:r w:rsidRPr="00973681">
        <w:rPr>
          <w:lang w:val="en-US"/>
        </w:rPr>
        <w:t xml:space="preserve">14. </w:t>
      </w:r>
      <w:r w:rsidRPr="00973681">
        <w:rPr>
          <w:lang w:val="en-US"/>
        </w:rPr>
        <w:tab/>
        <w:t xml:space="preserve">Ağargün MY, Kara H, Anlar Ö. The validity and reliability of the Pittsburgh Sleep Quality Index. Turk Psikiyatri Derg. 1996;7(2):107–15. </w:t>
      </w:r>
    </w:p>
    <w:p w14:paraId="6BCAA725" w14:textId="77777777" w:rsidR="00973681" w:rsidRPr="00973681" w:rsidRDefault="00973681" w:rsidP="00973681">
      <w:pPr>
        <w:pStyle w:val="Bibliography"/>
        <w:rPr>
          <w:lang w:val="en-US"/>
        </w:rPr>
      </w:pPr>
      <w:r w:rsidRPr="00973681">
        <w:rPr>
          <w:lang w:val="en-US"/>
        </w:rPr>
        <w:t xml:space="preserve">15. </w:t>
      </w:r>
      <w:r w:rsidRPr="00973681">
        <w:rPr>
          <w:lang w:val="en-US"/>
        </w:rPr>
        <w:tab/>
        <w:t xml:space="preserve">Hita-Contreras F, Martínez-López E, Latorre-Román PA, Garrido F, Santos MA, Martínez-Amat A. Reliability and validity of the Spanish version of the Pittsburgh Sleep Quality Index (PSQI) in patients with fibromyalgia. Rheumatol Int. 2014 Jul;34(7):929–36. </w:t>
      </w:r>
    </w:p>
    <w:p w14:paraId="587B141A" w14:textId="24006012" w:rsidR="00973681" w:rsidRPr="00973681" w:rsidRDefault="00973681" w:rsidP="00973681">
      <w:pPr>
        <w:pStyle w:val="Bibliography"/>
        <w:rPr>
          <w:lang w:val="en-US"/>
        </w:rPr>
      </w:pPr>
      <w:r w:rsidRPr="00973681">
        <w:rPr>
          <w:lang w:val="en-US"/>
        </w:rPr>
        <w:t xml:space="preserve">16. </w:t>
      </w:r>
      <w:r w:rsidRPr="00973681">
        <w:rPr>
          <w:lang w:val="en-US"/>
        </w:rPr>
        <w:tab/>
        <w:t xml:space="preserve">Manzar MdD, Moiz JA, Zannat W, Spence DW, Pandi-Perumal SR, BaHammam AS, Hussain ME. Validity of the Pittsburgh Sleep Quality Index in Indian University Students. Oman Med J. 2015 May 15;30(3):193–202. </w:t>
      </w:r>
    </w:p>
    <w:p w14:paraId="04BF0563" w14:textId="77777777" w:rsidR="00973681" w:rsidRPr="00973681" w:rsidRDefault="00973681" w:rsidP="00973681">
      <w:pPr>
        <w:pStyle w:val="Bibliography"/>
        <w:rPr>
          <w:lang w:val="en-US"/>
        </w:rPr>
      </w:pPr>
      <w:r w:rsidRPr="00973681">
        <w:rPr>
          <w:lang w:val="en-US"/>
        </w:rPr>
        <w:t xml:space="preserve">17. </w:t>
      </w:r>
      <w:r w:rsidRPr="00973681">
        <w:rPr>
          <w:lang w:val="en-US"/>
        </w:rPr>
        <w:tab/>
        <w:t xml:space="preserve">Aloba OO, Adewuya AO, Ola BA, Mapayi BM. Validity of the Pittsburgh Sleep Quality Index (PSQI) among Nigerian university students. Sleep Medicine. 2007 Apr;8(3):266–70. </w:t>
      </w:r>
    </w:p>
    <w:p w14:paraId="2F3E5592" w14:textId="77777777" w:rsidR="00973681" w:rsidRPr="00973681" w:rsidRDefault="00973681" w:rsidP="00973681">
      <w:pPr>
        <w:pStyle w:val="Bibliography"/>
        <w:rPr>
          <w:lang w:val="en-US"/>
        </w:rPr>
      </w:pPr>
      <w:r w:rsidRPr="00973681">
        <w:rPr>
          <w:lang w:val="en-US"/>
        </w:rPr>
        <w:t xml:space="preserve">18. </w:t>
      </w:r>
      <w:r w:rsidRPr="00973681">
        <w:rPr>
          <w:lang w:val="en-US"/>
        </w:rPr>
        <w:tab/>
        <w:t xml:space="preserve">Koh YS, Rountree N. Finding Sporadic Rules Using Apriori-Inverse. In: Ho TB, Cheung D, Liu H, editors. Advances in Knowledge Discovery and Data Mining [Internet]. Berlin, Heidelberg: Springer Berlin Heidelberg; 2005 [cited 2024 Jan 2]. p. 97–106. (Hutchison D, </w:t>
      </w:r>
      <w:r w:rsidRPr="00973681">
        <w:rPr>
          <w:lang w:val="en-US"/>
        </w:rPr>
        <w:lastRenderedPageBreak/>
        <w:t>Kanade T, Kittler J, Kleinberg JM, Mattern F, Mitchell JC, Naor M, Nierstrasz O, Pandu Rangan C, Steffen B, Sudan M, Terzopoulos D, Tygar D, Vardi MY, Weikum G, editors. Lecture Notes in Computer Science; vol. 3518). Available from: http://link.springer.com/10.1007/11430919_13</w:t>
      </w:r>
    </w:p>
    <w:p w14:paraId="05659B22" w14:textId="77777777" w:rsidR="00973681" w:rsidRPr="00973681" w:rsidRDefault="00973681" w:rsidP="00973681">
      <w:pPr>
        <w:pStyle w:val="Bibliography"/>
        <w:rPr>
          <w:lang w:val="en-US"/>
        </w:rPr>
      </w:pPr>
      <w:r w:rsidRPr="00973681">
        <w:rPr>
          <w:lang w:val="en-US"/>
        </w:rPr>
        <w:t xml:space="preserve">19. </w:t>
      </w:r>
      <w:r w:rsidRPr="00973681">
        <w:rPr>
          <w:lang w:val="en-US"/>
        </w:rPr>
        <w:tab/>
        <w:t>Bayardo RJ, Agrawal R. Mining the most interesting rules. In: Proceedings of the fifth ACM SIGKDD international conference on Knowledge discovery and data mining [Internet]. San Diego California USA: ACM; 1999 [cited 2024 Jan 2]. p. 145–54. Available from: https://dl.acm.org/doi/10.1145/312129.312219</w:t>
      </w:r>
    </w:p>
    <w:p w14:paraId="25FD19B5" w14:textId="77777777" w:rsidR="00973681" w:rsidRPr="00973681" w:rsidRDefault="00973681" w:rsidP="00973681">
      <w:pPr>
        <w:pStyle w:val="Bibliography"/>
        <w:rPr>
          <w:lang w:val="en-US"/>
        </w:rPr>
      </w:pPr>
      <w:r w:rsidRPr="00973681">
        <w:rPr>
          <w:lang w:val="en-US"/>
        </w:rPr>
        <w:t xml:space="preserve">20. </w:t>
      </w:r>
      <w:r w:rsidRPr="00973681">
        <w:rPr>
          <w:lang w:val="en-US"/>
        </w:rPr>
        <w:tab/>
        <w:t xml:space="preserve">Lee DG, Ryu KS, Bashir M, Bae JW, Ryu KH. Discovering Medical Knowledge using Association Rule Mining in Young Adults with Acute Myocardial Infarction. J Med Syst. 2013 Apr;37(2):9896. </w:t>
      </w:r>
    </w:p>
    <w:p w14:paraId="79CFEAA0" w14:textId="77777777" w:rsidR="00973681" w:rsidRPr="00973681" w:rsidRDefault="00973681" w:rsidP="00973681">
      <w:pPr>
        <w:pStyle w:val="Bibliography"/>
        <w:rPr>
          <w:lang w:val="en-US"/>
        </w:rPr>
      </w:pPr>
      <w:r w:rsidRPr="00973681">
        <w:rPr>
          <w:lang w:val="en-US"/>
        </w:rPr>
        <w:t xml:space="preserve">21. </w:t>
      </w:r>
      <w:r w:rsidRPr="00973681">
        <w:rPr>
          <w:lang w:val="en-US"/>
        </w:rPr>
        <w:tab/>
        <w:t xml:space="preserve">Kabasakal İ. Understanding Shopping Behaviors With Category-and Brand-Level Market Basket Analysis. In: Tools and Techniques for Implementing International E-Trading Tactics for Competitive Advantage. IGI Global; 2020. p. 242–67. </w:t>
      </w:r>
    </w:p>
    <w:p w14:paraId="1AF75639" w14:textId="2C57AEDA" w:rsidR="00FF6F43" w:rsidRDefault="004F7A80">
      <w:r>
        <w:fldChar w:fldCharType="end"/>
      </w:r>
    </w:p>
    <w:p w14:paraId="04E93E5A" w14:textId="77777777" w:rsidR="00FF6F43" w:rsidRDefault="00FF6F43">
      <w:pPr>
        <w:sectPr w:rsidR="00FF6F43">
          <w:pgSz w:w="12240" w:h="15840"/>
          <w:pgMar w:top="1440" w:right="1440" w:bottom="1440" w:left="1440" w:header="708" w:footer="708" w:gutter="0"/>
          <w:cols w:space="708"/>
          <w:docGrid w:linePitch="360"/>
        </w:sectPr>
      </w:pPr>
      <w:r>
        <w:br w:type="page"/>
      </w:r>
    </w:p>
    <w:p w14:paraId="08246E73" w14:textId="7778667B" w:rsidR="00FF6F43" w:rsidRDefault="00FF6F43" w:rsidP="00FF6F43">
      <w:pPr>
        <w:rPr>
          <w:rFonts w:ascii="Calibri" w:hAnsi="Calibri" w:cs="Calibri"/>
          <w:lang w:val="en-US"/>
        </w:rPr>
      </w:pPr>
      <w:r w:rsidRPr="00670D91">
        <w:rPr>
          <w:rFonts w:ascii="Calibri" w:hAnsi="Calibri" w:cs="Calibri"/>
          <w:lang w:val="en-US"/>
        </w:rPr>
        <w:lastRenderedPageBreak/>
        <w:t xml:space="preserve">Figure </w:t>
      </w:r>
      <w:r>
        <w:rPr>
          <w:rFonts w:ascii="Calibri" w:hAnsi="Calibri" w:cs="Calibri"/>
          <w:lang w:val="en-US"/>
        </w:rPr>
        <w:t>1</w:t>
      </w:r>
      <w:r w:rsidRPr="00670D91">
        <w:rPr>
          <w:rFonts w:ascii="Calibri" w:hAnsi="Calibri" w:cs="Calibri"/>
          <w:lang w:val="en-US"/>
        </w:rPr>
        <w:t xml:space="preserve">. Visualization of the non-linear relationship between the Pittsburg Sleep Questionnaire Index (PSQI) or Daily New Covid-19 related deaths, and Community Assessment of Psychic Experiences (CAPE-Pos) </w:t>
      </w:r>
    </w:p>
    <w:p w14:paraId="78ADD97C" w14:textId="77777777" w:rsidR="00FF6F43" w:rsidRPr="00670D91" w:rsidRDefault="00FF6F43" w:rsidP="00FF6F43">
      <w:pPr>
        <w:rPr>
          <w:rFonts w:ascii="Calibri" w:hAnsi="Calibri" w:cs="Calibri"/>
          <w:lang w:val="en-US"/>
        </w:rPr>
      </w:pPr>
    </w:p>
    <w:p w14:paraId="407D7497" w14:textId="77777777" w:rsidR="00FF6F43" w:rsidRPr="00670D91" w:rsidRDefault="00FF6F43" w:rsidP="00FF6F43">
      <w:pPr>
        <w:rPr>
          <w:rFonts w:ascii="Calibri" w:hAnsi="Calibri" w:cs="Calibri"/>
          <w:lang w:val="en-US"/>
        </w:rPr>
      </w:pPr>
      <w:r w:rsidRPr="00670D91">
        <w:rPr>
          <w:rFonts w:ascii="Calibri" w:hAnsi="Calibri" w:cs="Calibri"/>
          <w:noProof/>
          <w:lang w:val="en-US"/>
        </w:rPr>
        <w:drawing>
          <wp:inline distT="0" distB="0" distL="0" distR="0" wp14:anchorId="30BF3AB7" wp14:editId="333C40B8">
            <wp:extent cx="4755134" cy="2710543"/>
            <wp:effectExtent l="0" t="0" r="0" b="0"/>
            <wp:docPr id="5" name="Picture 5" descr="A graph with a blue lin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a blue line and red dots&#10;&#10;Description automatically generated"/>
                    <pic:cNvPicPr/>
                  </pic:nvPicPr>
                  <pic:blipFill>
                    <a:blip r:embed="rId5"/>
                    <a:stretch>
                      <a:fillRect/>
                    </a:stretch>
                  </pic:blipFill>
                  <pic:spPr>
                    <a:xfrm>
                      <a:off x="0" y="0"/>
                      <a:ext cx="4760657" cy="2713691"/>
                    </a:xfrm>
                    <a:prstGeom prst="rect">
                      <a:avLst/>
                    </a:prstGeom>
                  </pic:spPr>
                </pic:pic>
              </a:graphicData>
            </a:graphic>
          </wp:inline>
        </w:drawing>
      </w:r>
      <w:r w:rsidRPr="00670D91">
        <w:rPr>
          <w:rFonts w:ascii="Calibri" w:hAnsi="Calibri" w:cs="Calibri"/>
          <w:noProof/>
          <w:lang w:val="en-US"/>
        </w:rPr>
        <w:drawing>
          <wp:inline distT="0" distB="0" distL="0" distR="0" wp14:anchorId="298B9C33" wp14:editId="6BF423B2">
            <wp:extent cx="3333390" cy="2963636"/>
            <wp:effectExtent l="0" t="0" r="0" b="0"/>
            <wp:docPr id="13" name="Picture 13" descr="A graph of a covid-19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covid-19 model&#10;&#10;Description automatically generated"/>
                    <pic:cNvPicPr/>
                  </pic:nvPicPr>
                  <pic:blipFill>
                    <a:blip r:embed="rId6"/>
                    <a:stretch>
                      <a:fillRect/>
                    </a:stretch>
                  </pic:blipFill>
                  <pic:spPr>
                    <a:xfrm>
                      <a:off x="0" y="0"/>
                      <a:ext cx="3401843" cy="3024496"/>
                    </a:xfrm>
                    <a:prstGeom prst="rect">
                      <a:avLst/>
                    </a:prstGeom>
                  </pic:spPr>
                </pic:pic>
              </a:graphicData>
            </a:graphic>
          </wp:inline>
        </w:drawing>
      </w:r>
    </w:p>
    <w:p w14:paraId="27EE9927" w14:textId="77777777" w:rsidR="00FF6F43" w:rsidRPr="00670D91" w:rsidRDefault="00FF6F43" w:rsidP="00FF6F43">
      <w:pPr>
        <w:rPr>
          <w:rFonts w:ascii="Calibri" w:hAnsi="Calibri" w:cs="Calibri"/>
          <w:lang w:val="en-US"/>
        </w:rPr>
      </w:pPr>
    </w:p>
    <w:p w14:paraId="07762DE9" w14:textId="77777777" w:rsidR="00FF6F43" w:rsidRPr="00670D91" w:rsidRDefault="00FF6F43" w:rsidP="00FF6F43">
      <w:pPr>
        <w:jc w:val="center"/>
        <w:rPr>
          <w:rFonts w:ascii="Calibri" w:hAnsi="Calibri" w:cs="Calibri"/>
          <w:lang w:val="en-US"/>
        </w:rPr>
      </w:pPr>
    </w:p>
    <w:p w14:paraId="5BCBF4B9" w14:textId="61007D42" w:rsidR="00FF6F43" w:rsidRDefault="00FF6F43">
      <w:pPr>
        <w:rPr>
          <w:rFonts w:ascii="Calibri" w:hAnsi="Calibri" w:cs="Calibri"/>
          <w:lang w:val="en-US"/>
        </w:rPr>
      </w:pPr>
      <w:r>
        <w:rPr>
          <w:rFonts w:ascii="Calibri" w:hAnsi="Calibri" w:cs="Calibri"/>
          <w:lang w:val="en-US"/>
        </w:rPr>
        <w:br w:type="page"/>
      </w:r>
    </w:p>
    <w:p w14:paraId="52C32378" w14:textId="77777777" w:rsidR="00FF6F43" w:rsidRDefault="00FF6F43" w:rsidP="00FF6F43">
      <w:pPr>
        <w:rPr>
          <w:rFonts w:ascii="Calibri" w:hAnsi="Calibri" w:cs="Calibri"/>
          <w:lang w:val="en-US"/>
        </w:rPr>
      </w:pPr>
      <w:r w:rsidRPr="00670D91">
        <w:rPr>
          <w:rFonts w:ascii="Calibri" w:hAnsi="Calibri" w:cs="Calibri"/>
          <w:lang w:val="en-US"/>
        </w:rPr>
        <w:lastRenderedPageBreak/>
        <w:t xml:space="preserve">Table </w:t>
      </w:r>
      <w:r>
        <w:rPr>
          <w:rFonts w:ascii="Calibri" w:hAnsi="Calibri" w:cs="Calibri"/>
          <w:lang w:val="en-US"/>
        </w:rPr>
        <w:t>4</w:t>
      </w:r>
      <w:r w:rsidRPr="00670D91">
        <w:rPr>
          <w:rFonts w:ascii="Calibri" w:hAnsi="Calibri" w:cs="Calibri"/>
          <w:lang w:val="en-US"/>
        </w:rPr>
        <w:t xml:space="preserve">. The results of association rule mining algorithm </w:t>
      </w:r>
    </w:p>
    <w:p w14:paraId="23349FC4" w14:textId="77777777" w:rsidR="00FF6F43" w:rsidRPr="00670D91" w:rsidRDefault="00FF6F43" w:rsidP="00FF6F43">
      <w:pPr>
        <w:rPr>
          <w:rFonts w:ascii="Calibri" w:hAnsi="Calibri" w:cs="Calibri"/>
          <w:lang w:val="en-US"/>
        </w:rPr>
      </w:pPr>
    </w:p>
    <w:tbl>
      <w:tblPr>
        <w:tblStyle w:val="TableGrid"/>
        <w:tblW w:w="50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8668"/>
        <w:gridCol w:w="1039"/>
        <w:gridCol w:w="367"/>
        <w:gridCol w:w="562"/>
        <w:gridCol w:w="906"/>
        <w:gridCol w:w="1265"/>
        <w:gridCol w:w="1022"/>
      </w:tblGrid>
      <w:tr w:rsidR="00FF6F43" w:rsidRPr="00670D91" w14:paraId="5C444707" w14:textId="77777777" w:rsidTr="002053E6">
        <w:trPr>
          <w:trHeight w:val="436"/>
        </w:trPr>
        <w:tc>
          <w:tcPr>
            <w:tcW w:w="5000" w:type="pct"/>
            <w:gridSpan w:val="8"/>
            <w:tcBorders>
              <w:top w:val="single" w:sz="4" w:space="0" w:color="auto"/>
              <w:bottom w:val="single" w:sz="4" w:space="0" w:color="auto"/>
            </w:tcBorders>
            <w:tcMar>
              <w:left w:w="43" w:type="dxa"/>
              <w:right w:w="43" w:type="dxa"/>
            </w:tcMar>
            <w:vAlign w:val="center"/>
          </w:tcPr>
          <w:p w14:paraId="34E1FA18" w14:textId="77777777" w:rsidR="00FF6F43" w:rsidRPr="00670D91" w:rsidRDefault="00FF6F43" w:rsidP="002053E6">
            <w:pPr>
              <w:jc w:val="center"/>
              <w:rPr>
                <w:rFonts w:ascii="Calibri" w:hAnsi="Calibri" w:cs="Calibri"/>
                <w:b/>
                <w:bCs/>
                <w:color w:val="000000"/>
                <w:sz w:val="20"/>
                <w:szCs w:val="20"/>
                <w:lang w:val="en-US"/>
              </w:rPr>
            </w:pPr>
            <w:r w:rsidRPr="00670D91">
              <w:rPr>
                <w:rFonts w:ascii="Calibri" w:hAnsi="Calibri" w:cs="Calibri"/>
                <w:b/>
                <w:bCs/>
                <w:color w:val="000000"/>
                <w:sz w:val="20"/>
                <w:szCs w:val="20"/>
                <w:lang w:val="en-US"/>
              </w:rPr>
              <w:t>TURKEY</w:t>
            </w:r>
          </w:p>
        </w:tc>
      </w:tr>
      <w:tr w:rsidR="00FF6F43" w:rsidRPr="00670D91" w14:paraId="17E31231" w14:textId="77777777" w:rsidTr="002053E6">
        <w:trPr>
          <w:trHeight w:val="359"/>
        </w:trPr>
        <w:tc>
          <w:tcPr>
            <w:tcW w:w="102" w:type="pct"/>
            <w:tcBorders>
              <w:top w:val="single" w:sz="4" w:space="0" w:color="auto"/>
            </w:tcBorders>
            <w:tcMar>
              <w:left w:w="43" w:type="dxa"/>
              <w:right w:w="43" w:type="dxa"/>
            </w:tcMar>
            <w:vAlign w:val="center"/>
          </w:tcPr>
          <w:p w14:paraId="4265CF5A"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w:t>
            </w:r>
          </w:p>
        </w:tc>
        <w:tc>
          <w:tcPr>
            <w:tcW w:w="3070" w:type="pct"/>
            <w:tcBorders>
              <w:top w:val="single" w:sz="4" w:space="0" w:color="auto"/>
              <w:bottom w:val="single" w:sz="4" w:space="0" w:color="auto"/>
            </w:tcBorders>
            <w:tcMar>
              <w:left w:w="43" w:type="dxa"/>
              <w:right w:w="43" w:type="dxa"/>
            </w:tcMar>
            <w:vAlign w:val="center"/>
          </w:tcPr>
          <w:p w14:paraId="56D09A8B"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Association Rule (X</w:t>
            </w:r>
            <w:r w:rsidRPr="00670D91">
              <w:rPr>
                <w:rFonts w:ascii="Calibri" w:hAnsi="Calibri" w:cs="Calibri"/>
                <w:b/>
                <w:bCs/>
                <w:color w:val="000000"/>
                <w:sz w:val="20"/>
                <w:szCs w:val="20"/>
                <w:lang w:val="en-US"/>
              </w:rPr>
              <w:sym w:font="Wingdings" w:char="F0E0"/>
            </w:r>
            <w:r w:rsidRPr="00670D91">
              <w:rPr>
                <w:rFonts w:ascii="Calibri" w:hAnsi="Calibri" w:cs="Calibri"/>
                <w:b/>
                <w:bCs/>
                <w:color w:val="000000"/>
                <w:sz w:val="20"/>
                <w:szCs w:val="20"/>
                <w:lang w:val="en-US"/>
              </w:rPr>
              <w:t>Y)</w:t>
            </w:r>
          </w:p>
        </w:tc>
        <w:tc>
          <w:tcPr>
            <w:tcW w:w="368" w:type="pct"/>
            <w:tcBorders>
              <w:top w:val="single" w:sz="4" w:space="0" w:color="auto"/>
              <w:bottom w:val="single" w:sz="4" w:space="0" w:color="auto"/>
            </w:tcBorders>
            <w:tcMar>
              <w:left w:w="43" w:type="dxa"/>
              <w:right w:w="43" w:type="dxa"/>
            </w:tcMar>
            <w:vAlign w:val="center"/>
          </w:tcPr>
          <w:p w14:paraId="1BC5A116"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{X}</w:t>
            </w:r>
          </w:p>
        </w:tc>
        <w:tc>
          <w:tcPr>
            <w:tcW w:w="130" w:type="pct"/>
            <w:tcBorders>
              <w:top w:val="single" w:sz="4" w:space="0" w:color="auto"/>
              <w:bottom w:val="single" w:sz="4" w:space="0" w:color="auto"/>
            </w:tcBorders>
            <w:tcMar>
              <w:left w:w="43" w:type="dxa"/>
              <w:right w:w="43" w:type="dxa"/>
            </w:tcMar>
            <w:vAlign w:val="center"/>
          </w:tcPr>
          <w:p w14:paraId="07C193A0"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{Y}</w:t>
            </w:r>
          </w:p>
        </w:tc>
        <w:tc>
          <w:tcPr>
            <w:tcW w:w="199" w:type="pct"/>
            <w:tcBorders>
              <w:top w:val="single" w:sz="4" w:space="0" w:color="auto"/>
              <w:bottom w:val="single" w:sz="4" w:space="0" w:color="auto"/>
            </w:tcBorders>
            <w:tcMar>
              <w:left w:w="43" w:type="dxa"/>
              <w:right w:w="43" w:type="dxa"/>
            </w:tcMar>
            <w:vAlign w:val="center"/>
          </w:tcPr>
          <w:p w14:paraId="2849114E"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{XY}</w:t>
            </w:r>
          </w:p>
        </w:tc>
        <w:tc>
          <w:tcPr>
            <w:tcW w:w="321" w:type="pct"/>
            <w:tcBorders>
              <w:top w:val="single" w:sz="4" w:space="0" w:color="auto"/>
              <w:bottom w:val="single" w:sz="4" w:space="0" w:color="auto"/>
            </w:tcBorders>
            <w:tcMar>
              <w:left w:w="43" w:type="dxa"/>
              <w:right w:w="43" w:type="dxa"/>
            </w:tcMar>
            <w:vAlign w:val="center"/>
          </w:tcPr>
          <w:p w14:paraId="1629AF4F"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Support</w:t>
            </w:r>
          </w:p>
        </w:tc>
        <w:tc>
          <w:tcPr>
            <w:tcW w:w="448" w:type="pct"/>
            <w:tcBorders>
              <w:top w:val="single" w:sz="4" w:space="0" w:color="auto"/>
              <w:bottom w:val="single" w:sz="4" w:space="0" w:color="auto"/>
            </w:tcBorders>
            <w:tcMar>
              <w:left w:w="43" w:type="dxa"/>
              <w:right w:w="43" w:type="dxa"/>
            </w:tcMar>
            <w:vAlign w:val="center"/>
          </w:tcPr>
          <w:p w14:paraId="58373899"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Confidence</w:t>
            </w:r>
          </w:p>
        </w:tc>
        <w:tc>
          <w:tcPr>
            <w:tcW w:w="362" w:type="pct"/>
            <w:tcBorders>
              <w:top w:val="single" w:sz="4" w:space="0" w:color="auto"/>
              <w:bottom w:val="single" w:sz="4" w:space="0" w:color="auto"/>
            </w:tcBorders>
            <w:tcMar>
              <w:left w:w="43" w:type="dxa"/>
              <w:right w:w="43" w:type="dxa"/>
            </w:tcMar>
            <w:vAlign w:val="center"/>
          </w:tcPr>
          <w:p w14:paraId="598329AF"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color w:val="000000"/>
                <w:sz w:val="20"/>
                <w:szCs w:val="20"/>
                <w:lang w:val="en-US"/>
              </w:rPr>
              <w:t>Lift</w:t>
            </w:r>
          </w:p>
        </w:tc>
      </w:tr>
      <w:tr w:rsidR="00FF6F43" w:rsidRPr="00670D91" w14:paraId="5BEE1421" w14:textId="77777777" w:rsidTr="002053E6">
        <w:trPr>
          <w:trHeight w:val="317"/>
        </w:trPr>
        <w:tc>
          <w:tcPr>
            <w:tcW w:w="102" w:type="pct"/>
            <w:tcBorders>
              <w:top w:val="single" w:sz="4" w:space="0" w:color="auto"/>
            </w:tcBorders>
            <w:tcMar>
              <w:left w:w="43" w:type="dxa"/>
              <w:right w:w="43" w:type="dxa"/>
            </w:tcMar>
            <w:vAlign w:val="center"/>
          </w:tcPr>
          <w:p w14:paraId="7D3D9FB0"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1</w:t>
            </w:r>
          </w:p>
        </w:tc>
        <w:tc>
          <w:tcPr>
            <w:tcW w:w="3070" w:type="pct"/>
            <w:tcBorders>
              <w:top w:val="single" w:sz="4" w:space="0" w:color="auto"/>
            </w:tcBorders>
            <w:tcMar>
              <w:left w:w="43" w:type="dxa"/>
              <w:right w:w="43" w:type="dxa"/>
            </w:tcMar>
            <w:vAlign w:val="center"/>
          </w:tcPr>
          <w:p w14:paraId="4024247D"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noProof/>
                <w:sz w:val="20"/>
                <w:szCs w:val="20"/>
                <w:lang w:val="en-US"/>
              </w:rPr>
              <w:t xml:space="preserve">(suicidal thought = yes) &amp; (suicide attempt = yes) </w:t>
            </w:r>
            <w:r w:rsidRPr="00670D91">
              <w:rPr>
                <w:rFonts w:ascii="Calibri" w:hAnsi="Calibri" w:cs="Calibri"/>
                <w:noProof/>
                <w:sz w:val="20"/>
                <w:szCs w:val="20"/>
                <w:lang w:val="en-US"/>
              </w:rPr>
              <w:sym w:font="Wingdings" w:char="F0E0"/>
            </w:r>
            <w:r w:rsidRPr="00670D91">
              <w:rPr>
                <w:rFonts w:ascii="Calibri" w:hAnsi="Calibri" w:cs="Calibri"/>
                <w:noProof/>
                <w:sz w:val="20"/>
                <w:szCs w:val="20"/>
                <w:lang w:val="en-US"/>
              </w:rPr>
              <w:t xml:space="preserve"> (psychiatric disorder = yes) &amp;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w:t>
            </w:r>
          </w:p>
        </w:tc>
        <w:tc>
          <w:tcPr>
            <w:tcW w:w="368" w:type="pct"/>
            <w:tcBorders>
              <w:top w:val="single" w:sz="4" w:space="0" w:color="auto"/>
            </w:tcBorders>
            <w:tcMar>
              <w:left w:w="43" w:type="dxa"/>
              <w:right w:w="43" w:type="dxa"/>
            </w:tcMar>
            <w:vAlign w:val="center"/>
          </w:tcPr>
          <w:p w14:paraId="4598AB7F"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20</w:t>
            </w:r>
          </w:p>
        </w:tc>
        <w:tc>
          <w:tcPr>
            <w:tcW w:w="130" w:type="pct"/>
            <w:tcBorders>
              <w:top w:val="single" w:sz="4" w:space="0" w:color="auto"/>
            </w:tcBorders>
            <w:tcMar>
              <w:left w:w="43" w:type="dxa"/>
              <w:right w:w="43" w:type="dxa"/>
            </w:tcMar>
            <w:vAlign w:val="center"/>
          </w:tcPr>
          <w:p w14:paraId="0CF80A0C"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17</w:t>
            </w:r>
          </w:p>
        </w:tc>
        <w:tc>
          <w:tcPr>
            <w:tcW w:w="199" w:type="pct"/>
            <w:tcBorders>
              <w:top w:val="single" w:sz="4" w:space="0" w:color="auto"/>
            </w:tcBorders>
            <w:tcMar>
              <w:left w:w="43" w:type="dxa"/>
              <w:right w:w="43" w:type="dxa"/>
            </w:tcMar>
            <w:vAlign w:val="center"/>
          </w:tcPr>
          <w:p w14:paraId="22A618D9"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8</w:t>
            </w:r>
          </w:p>
        </w:tc>
        <w:tc>
          <w:tcPr>
            <w:tcW w:w="321" w:type="pct"/>
            <w:tcBorders>
              <w:top w:val="single" w:sz="4" w:space="0" w:color="auto"/>
            </w:tcBorders>
            <w:tcMar>
              <w:left w:w="43" w:type="dxa"/>
              <w:right w:w="43" w:type="dxa"/>
            </w:tcMar>
            <w:vAlign w:val="center"/>
          </w:tcPr>
          <w:p w14:paraId="5913EFEF"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7.60%</w:t>
            </w:r>
          </w:p>
        </w:tc>
        <w:tc>
          <w:tcPr>
            <w:tcW w:w="448" w:type="pct"/>
            <w:tcBorders>
              <w:top w:val="single" w:sz="4" w:space="0" w:color="auto"/>
            </w:tcBorders>
            <w:tcMar>
              <w:left w:w="43" w:type="dxa"/>
              <w:right w:w="43" w:type="dxa"/>
            </w:tcMar>
            <w:vAlign w:val="center"/>
          </w:tcPr>
          <w:p w14:paraId="6CE87904"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40.00%</w:t>
            </w:r>
          </w:p>
        </w:tc>
        <w:tc>
          <w:tcPr>
            <w:tcW w:w="362" w:type="pct"/>
            <w:tcBorders>
              <w:top w:val="single" w:sz="4" w:space="0" w:color="auto"/>
            </w:tcBorders>
            <w:tcMar>
              <w:left w:w="43" w:type="dxa"/>
              <w:right w:w="43" w:type="dxa"/>
            </w:tcMar>
            <w:vAlign w:val="center"/>
          </w:tcPr>
          <w:p w14:paraId="2D777C73"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6.19</w:t>
            </w:r>
          </w:p>
        </w:tc>
      </w:tr>
      <w:tr w:rsidR="00FF6F43" w:rsidRPr="00670D91" w14:paraId="1BBC807E" w14:textId="77777777" w:rsidTr="002053E6">
        <w:trPr>
          <w:trHeight w:val="317"/>
        </w:trPr>
        <w:tc>
          <w:tcPr>
            <w:tcW w:w="102" w:type="pct"/>
            <w:tcMar>
              <w:left w:w="43" w:type="dxa"/>
              <w:right w:w="43" w:type="dxa"/>
            </w:tcMar>
            <w:vAlign w:val="center"/>
          </w:tcPr>
          <w:p w14:paraId="57871359" w14:textId="77777777" w:rsidR="00FF6F43" w:rsidRPr="00670D91" w:rsidRDefault="00FF6F43" w:rsidP="002053E6">
            <w:pPr>
              <w:jc w:val="right"/>
              <w:rPr>
                <w:rFonts w:ascii="Calibri" w:hAnsi="Calibri" w:cs="Calibri"/>
                <w:sz w:val="20"/>
                <w:szCs w:val="20"/>
                <w:lang w:val="en-US"/>
              </w:rPr>
            </w:pPr>
            <w:r w:rsidRPr="00670D91">
              <w:rPr>
                <w:rFonts w:ascii="Calibri" w:hAnsi="Calibri" w:cs="Calibri"/>
                <w:color w:val="000000"/>
                <w:sz w:val="20"/>
                <w:szCs w:val="20"/>
                <w:lang w:val="en-US"/>
              </w:rPr>
              <w:t>2</w:t>
            </w:r>
          </w:p>
        </w:tc>
        <w:tc>
          <w:tcPr>
            <w:tcW w:w="3070" w:type="pct"/>
            <w:tcMar>
              <w:left w:w="43" w:type="dxa"/>
              <w:right w:w="43" w:type="dxa"/>
            </w:tcMar>
            <w:vAlign w:val="center"/>
          </w:tcPr>
          <w:p w14:paraId="73FE239B"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noProof/>
                <w:sz w:val="20"/>
                <w:szCs w:val="20"/>
                <w:lang w:val="en-US"/>
              </w:rPr>
              <w:t xml:space="preserve">(cigarette usage = every day) &amp; (suicidal thought = yes) </w:t>
            </w:r>
            <w:r w:rsidRPr="00670D91">
              <w:rPr>
                <w:rFonts w:ascii="Calibri" w:hAnsi="Calibri" w:cs="Calibri"/>
                <w:noProof/>
                <w:sz w:val="20"/>
                <w:szCs w:val="20"/>
                <w:lang w:val="en-US"/>
              </w:rPr>
              <w:sym w:font="Wingdings" w:char="F0E0"/>
            </w:r>
            <w:r w:rsidRPr="00670D91">
              <w:rPr>
                <w:rFonts w:ascii="Calibri" w:hAnsi="Calibri" w:cs="Calibri"/>
                <w:noProof/>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77A8EF2F"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12</w:t>
            </w:r>
          </w:p>
        </w:tc>
        <w:tc>
          <w:tcPr>
            <w:tcW w:w="130" w:type="pct"/>
            <w:tcMar>
              <w:left w:w="43" w:type="dxa"/>
              <w:right w:w="43" w:type="dxa"/>
            </w:tcMar>
            <w:vAlign w:val="center"/>
          </w:tcPr>
          <w:p w14:paraId="26ECE446"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38</w:t>
            </w:r>
          </w:p>
        </w:tc>
        <w:tc>
          <w:tcPr>
            <w:tcW w:w="199" w:type="pct"/>
            <w:tcMar>
              <w:left w:w="43" w:type="dxa"/>
              <w:right w:w="43" w:type="dxa"/>
            </w:tcMar>
            <w:vAlign w:val="center"/>
          </w:tcPr>
          <w:p w14:paraId="68FE1131"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9</w:t>
            </w:r>
          </w:p>
        </w:tc>
        <w:tc>
          <w:tcPr>
            <w:tcW w:w="321" w:type="pct"/>
            <w:tcMar>
              <w:left w:w="43" w:type="dxa"/>
              <w:right w:w="43" w:type="dxa"/>
            </w:tcMar>
            <w:vAlign w:val="center"/>
          </w:tcPr>
          <w:p w14:paraId="75E674BE"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4.56%</w:t>
            </w:r>
          </w:p>
        </w:tc>
        <w:tc>
          <w:tcPr>
            <w:tcW w:w="448" w:type="pct"/>
            <w:tcMar>
              <w:left w:w="43" w:type="dxa"/>
              <w:right w:w="43" w:type="dxa"/>
            </w:tcMar>
            <w:vAlign w:val="center"/>
          </w:tcPr>
          <w:p w14:paraId="2519851A"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75.00%</w:t>
            </w:r>
          </w:p>
        </w:tc>
        <w:tc>
          <w:tcPr>
            <w:tcW w:w="362" w:type="pct"/>
            <w:tcMar>
              <w:left w:w="43" w:type="dxa"/>
              <w:right w:w="43" w:type="dxa"/>
            </w:tcMar>
            <w:vAlign w:val="center"/>
          </w:tcPr>
          <w:p w14:paraId="5F13F575"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5.19</w:t>
            </w:r>
          </w:p>
        </w:tc>
      </w:tr>
      <w:tr w:rsidR="00FF6F43" w:rsidRPr="00670D91" w14:paraId="73291BC7" w14:textId="77777777" w:rsidTr="002053E6">
        <w:trPr>
          <w:trHeight w:val="317"/>
        </w:trPr>
        <w:tc>
          <w:tcPr>
            <w:tcW w:w="102" w:type="pct"/>
            <w:tcMar>
              <w:left w:w="43" w:type="dxa"/>
              <w:right w:w="43" w:type="dxa"/>
            </w:tcMar>
            <w:vAlign w:val="center"/>
          </w:tcPr>
          <w:p w14:paraId="299A2656"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070" w:type="pct"/>
            <w:tcMar>
              <w:left w:w="43" w:type="dxa"/>
              <w:right w:w="43" w:type="dxa"/>
            </w:tcMar>
            <w:vAlign w:val="center"/>
          </w:tcPr>
          <w:p w14:paraId="19BD6C70"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noProof/>
                <w:sz w:val="20"/>
                <w:szCs w:val="20"/>
                <w:lang w:val="en-US"/>
              </w:rPr>
              <w:t xml:space="preserve">(psychiatric disorder = yes) &amp; (suicide attempt = yes) </w:t>
            </w:r>
            <w:r w:rsidRPr="00670D91">
              <w:rPr>
                <w:rFonts w:ascii="Calibri" w:hAnsi="Calibri" w:cs="Calibri"/>
                <w:noProof/>
                <w:sz w:val="20"/>
                <w:szCs w:val="20"/>
                <w:lang w:val="en-US"/>
              </w:rPr>
              <w:sym w:font="Wingdings" w:char="F0E0"/>
            </w:r>
            <w:r w:rsidRPr="00670D91">
              <w:rPr>
                <w:rFonts w:ascii="Calibri" w:hAnsi="Calibri" w:cs="Calibri"/>
                <w:noProof/>
                <w:sz w:val="20"/>
                <w:szCs w:val="20"/>
                <w:lang w:val="en-US"/>
              </w:rPr>
              <w:t xml:space="preserve"> (suicidal thought = yes) &amp;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12F5CB33"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20</w:t>
            </w:r>
          </w:p>
        </w:tc>
        <w:tc>
          <w:tcPr>
            <w:tcW w:w="130" w:type="pct"/>
            <w:tcMar>
              <w:left w:w="43" w:type="dxa"/>
              <w:right w:w="43" w:type="dxa"/>
            </w:tcMar>
            <w:vAlign w:val="center"/>
          </w:tcPr>
          <w:p w14:paraId="7A811414"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21</w:t>
            </w:r>
          </w:p>
        </w:tc>
        <w:tc>
          <w:tcPr>
            <w:tcW w:w="199" w:type="pct"/>
            <w:tcMar>
              <w:left w:w="43" w:type="dxa"/>
              <w:right w:w="43" w:type="dxa"/>
            </w:tcMar>
            <w:vAlign w:val="center"/>
          </w:tcPr>
          <w:p w14:paraId="44EC3814"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8</w:t>
            </w:r>
          </w:p>
        </w:tc>
        <w:tc>
          <w:tcPr>
            <w:tcW w:w="321" w:type="pct"/>
            <w:tcMar>
              <w:left w:w="43" w:type="dxa"/>
              <w:right w:w="43" w:type="dxa"/>
            </w:tcMar>
            <w:vAlign w:val="center"/>
          </w:tcPr>
          <w:p w14:paraId="35303800"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7.60%</w:t>
            </w:r>
          </w:p>
        </w:tc>
        <w:tc>
          <w:tcPr>
            <w:tcW w:w="448" w:type="pct"/>
            <w:tcMar>
              <w:left w:w="43" w:type="dxa"/>
              <w:right w:w="43" w:type="dxa"/>
            </w:tcMar>
            <w:vAlign w:val="center"/>
          </w:tcPr>
          <w:p w14:paraId="15E11E96"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40.00%</w:t>
            </w:r>
          </w:p>
        </w:tc>
        <w:tc>
          <w:tcPr>
            <w:tcW w:w="362" w:type="pct"/>
            <w:tcMar>
              <w:left w:w="43" w:type="dxa"/>
              <w:right w:w="43" w:type="dxa"/>
            </w:tcMar>
            <w:vAlign w:val="center"/>
          </w:tcPr>
          <w:p w14:paraId="785F1803"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5.01</w:t>
            </w:r>
          </w:p>
        </w:tc>
      </w:tr>
      <w:tr w:rsidR="00FF6F43" w:rsidRPr="00670D91" w14:paraId="2EBB56D0" w14:textId="77777777" w:rsidTr="002053E6">
        <w:trPr>
          <w:trHeight w:val="317"/>
        </w:trPr>
        <w:tc>
          <w:tcPr>
            <w:tcW w:w="102" w:type="pct"/>
            <w:tcMar>
              <w:left w:w="43" w:type="dxa"/>
              <w:right w:w="43" w:type="dxa"/>
            </w:tcMar>
            <w:vAlign w:val="center"/>
          </w:tcPr>
          <w:p w14:paraId="0B1BA8B1" w14:textId="77777777" w:rsidR="00FF6F43" w:rsidRPr="00670D91" w:rsidRDefault="00FF6F43" w:rsidP="002053E6">
            <w:pPr>
              <w:jc w:val="right"/>
              <w:rPr>
                <w:rFonts w:ascii="Calibri" w:hAnsi="Calibri" w:cs="Calibri"/>
                <w:sz w:val="20"/>
                <w:szCs w:val="20"/>
                <w:lang w:val="en-US"/>
              </w:rPr>
            </w:pPr>
            <w:r w:rsidRPr="00670D91">
              <w:rPr>
                <w:rFonts w:ascii="Calibri" w:hAnsi="Calibri" w:cs="Calibri"/>
                <w:color w:val="000000"/>
                <w:sz w:val="20"/>
                <w:szCs w:val="20"/>
                <w:lang w:val="en-US"/>
              </w:rPr>
              <w:t>4</w:t>
            </w:r>
          </w:p>
        </w:tc>
        <w:tc>
          <w:tcPr>
            <w:tcW w:w="3070" w:type="pct"/>
            <w:tcMar>
              <w:left w:w="43" w:type="dxa"/>
              <w:right w:w="43" w:type="dxa"/>
            </w:tcMar>
            <w:vAlign w:val="center"/>
          </w:tcPr>
          <w:p w14:paraId="3F234A78"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noProof/>
                <w:sz w:val="20"/>
                <w:szCs w:val="20"/>
                <w:lang w:val="en-US"/>
              </w:rPr>
              <w:t xml:space="preserve">(alcohol usage = 3-5/month) &amp; (suicidal thought = yes) </w:t>
            </w:r>
            <w:r w:rsidRPr="00670D91">
              <w:rPr>
                <w:rFonts w:ascii="Calibri" w:hAnsi="Calibri" w:cs="Calibri"/>
                <w:noProof/>
                <w:sz w:val="20"/>
                <w:szCs w:val="20"/>
                <w:lang w:val="en-US"/>
              </w:rPr>
              <w:sym w:font="Wingdings" w:char="F0E0"/>
            </w:r>
            <w:r w:rsidRPr="00670D91">
              <w:rPr>
                <w:rFonts w:ascii="Calibri" w:hAnsi="Calibri" w:cs="Calibri"/>
                <w:noProof/>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47ECB1F6"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10</w:t>
            </w:r>
          </w:p>
        </w:tc>
        <w:tc>
          <w:tcPr>
            <w:tcW w:w="130" w:type="pct"/>
            <w:tcMar>
              <w:left w:w="43" w:type="dxa"/>
              <w:right w:w="43" w:type="dxa"/>
            </w:tcMar>
            <w:vAlign w:val="center"/>
          </w:tcPr>
          <w:p w14:paraId="5E74186F"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38</w:t>
            </w:r>
          </w:p>
        </w:tc>
        <w:tc>
          <w:tcPr>
            <w:tcW w:w="199" w:type="pct"/>
            <w:tcMar>
              <w:left w:w="43" w:type="dxa"/>
              <w:right w:w="43" w:type="dxa"/>
            </w:tcMar>
            <w:vAlign w:val="center"/>
          </w:tcPr>
          <w:p w14:paraId="26DA5402"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7</w:t>
            </w:r>
          </w:p>
        </w:tc>
        <w:tc>
          <w:tcPr>
            <w:tcW w:w="321" w:type="pct"/>
            <w:tcMar>
              <w:left w:w="43" w:type="dxa"/>
              <w:right w:w="43" w:type="dxa"/>
            </w:tcMar>
            <w:vAlign w:val="center"/>
          </w:tcPr>
          <w:p w14:paraId="20D5A9F8"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3.80%</w:t>
            </w:r>
          </w:p>
        </w:tc>
        <w:tc>
          <w:tcPr>
            <w:tcW w:w="448" w:type="pct"/>
            <w:tcMar>
              <w:left w:w="43" w:type="dxa"/>
              <w:right w:w="43" w:type="dxa"/>
            </w:tcMar>
            <w:vAlign w:val="center"/>
          </w:tcPr>
          <w:p w14:paraId="3FE64F62"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70.00%</w:t>
            </w:r>
          </w:p>
        </w:tc>
        <w:tc>
          <w:tcPr>
            <w:tcW w:w="362" w:type="pct"/>
            <w:tcMar>
              <w:left w:w="43" w:type="dxa"/>
              <w:right w:w="43" w:type="dxa"/>
            </w:tcMar>
            <w:vAlign w:val="center"/>
          </w:tcPr>
          <w:p w14:paraId="0180369A"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4.84</w:t>
            </w:r>
          </w:p>
        </w:tc>
      </w:tr>
      <w:tr w:rsidR="00FF6F43" w:rsidRPr="00670D91" w14:paraId="5EB07337" w14:textId="77777777" w:rsidTr="002053E6">
        <w:trPr>
          <w:trHeight w:val="317"/>
        </w:trPr>
        <w:tc>
          <w:tcPr>
            <w:tcW w:w="102" w:type="pct"/>
            <w:tcBorders>
              <w:bottom w:val="single" w:sz="4" w:space="0" w:color="auto"/>
            </w:tcBorders>
            <w:tcMar>
              <w:left w:w="43" w:type="dxa"/>
              <w:right w:w="43" w:type="dxa"/>
            </w:tcMar>
            <w:vAlign w:val="center"/>
          </w:tcPr>
          <w:p w14:paraId="63FE2B20" w14:textId="77777777" w:rsidR="00FF6F43" w:rsidRPr="00670D91" w:rsidRDefault="00FF6F43" w:rsidP="002053E6">
            <w:pPr>
              <w:jc w:val="right"/>
              <w:rPr>
                <w:rFonts w:ascii="Calibri" w:hAnsi="Calibri" w:cs="Calibri"/>
                <w:sz w:val="20"/>
                <w:szCs w:val="20"/>
                <w:lang w:val="en-US"/>
              </w:rPr>
            </w:pPr>
            <w:r w:rsidRPr="00670D91">
              <w:rPr>
                <w:rFonts w:ascii="Calibri" w:hAnsi="Calibri" w:cs="Calibri"/>
                <w:sz w:val="20"/>
                <w:szCs w:val="20"/>
                <w:lang w:val="en-US"/>
              </w:rPr>
              <w:t>5</w:t>
            </w:r>
          </w:p>
        </w:tc>
        <w:tc>
          <w:tcPr>
            <w:tcW w:w="3070" w:type="pct"/>
            <w:tcBorders>
              <w:bottom w:val="single" w:sz="4" w:space="0" w:color="auto"/>
            </w:tcBorders>
            <w:tcMar>
              <w:left w:w="43" w:type="dxa"/>
              <w:right w:w="43" w:type="dxa"/>
            </w:tcMar>
            <w:vAlign w:val="center"/>
          </w:tcPr>
          <w:p w14:paraId="28C94D7F"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noProof/>
                <w:sz w:val="20"/>
                <w:szCs w:val="20"/>
                <w:lang w:val="en-US"/>
              </w:rPr>
              <w:t xml:space="preserve">(suicidal thought = yes) </w:t>
            </w:r>
            <w:r w:rsidRPr="00670D91">
              <w:rPr>
                <w:rFonts w:ascii="Calibri" w:hAnsi="Calibri" w:cs="Calibri"/>
                <w:noProof/>
                <w:sz w:val="20"/>
                <w:szCs w:val="20"/>
                <w:lang w:val="en-US"/>
              </w:rPr>
              <w:sym w:font="Wingdings" w:char="F0E0"/>
            </w:r>
            <w:r w:rsidRPr="00670D91">
              <w:rPr>
                <w:rFonts w:ascii="Calibri" w:hAnsi="Calibri" w:cs="Calibri"/>
                <w:noProof/>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Borders>
              <w:bottom w:val="single" w:sz="4" w:space="0" w:color="auto"/>
            </w:tcBorders>
            <w:tcMar>
              <w:left w:w="43" w:type="dxa"/>
              <w:right w:w="43" w:type="dxa"/>
            </w:tcMar>
            <w:vAlign w:val="center"/>
          </w:tcPr>
          <w:p w14:paraId="4DAEBB48"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41</w:t>
            </w:r>
          </w:p>
        </w:tc>
        <w:tc>
          <w:tcPr>
            <w:tcW w:w="130" w:type="pct"/>
            <w:tcBorders>
              <w:bottom w:val="single" w:sz="4" w:space="0" w:color="auto"/>
            </w:tcBorders>
            <w:tcMar>
              <w:left w:w="43" w:type="dxa"/>
              <w:right w:w="43" w:type="dxa"/>
            </w:tcMar>
            <w:vAlign w:val="center"/>
          </w:tcPr>
          <w:p w14:paraId="43539132"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38</w:t>
            </w:r>
          </w:p>
        </w:tc>
        <w:tc>
          <w:tcPr>
            <w:tcW w:w="199" w:type="pct"/>
            <w:tcBorders>
              <w:bottom w:val="single" w:sz="4" w:space="0" w:color="auto"/>
            </w:tcBorders>
            <w:tcMar>
              <w:left w:w="43" w:type="dxa"/>
              <w:right w:w="43" w:type="dxa"/>
            </w:tcMar>
            <w:vAlign w:val="center"/>
          </w:tcPr>
          <w:p w14:paraId="77F61569"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21</w:t>
            </w:r>
          </w:p>
        </w:tc>
        <w:tc>
          <w:tcPr>
            <w:tcW w:w="321" w:type="pct"/>
            <w:tcBorders>
              <w:bottom w:val="single" w:sz="4" w:space="0" w:color="auto"/>
            </w:tcBorders>
            <w:tcMar>
              <w:left w:w="43" w:type="dxa"/>
              <w:right w:w="43" w:type="dxa"/>
            </w:tcMar>
            <w:vAlign w:val="center"/>
          </w:tcPr>
          <w:p w14:paraId="36A04CB7"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15.59%</w:t>
            </w:r>
          </w:p>
        </w:tc>
        <w:tc>
          <w:tcPr>
            <w:tcW w:w="448" w:type="pct"/>
            <w:tcBorders>
              <w:bottom w:val="single" w:sz="4" w:space="0" w:color="auto"/>
            </w:tcBorders>
            <w:tcMar>
              <w:left w:w="43" w:type="dxa"/>
              <w:right w:w="43" w:type="dxa"/>
            </w:tcMar>
            <w:vAlign w:val="center"/>
          </w:tcPr>
          <w:p w14:paraId="3EABCDCA"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51.22%</w:t>
            </w:r>
          </w:p>
        </w:tc>
        <w:tc>
          <w:tcPr>
            <w:tcW w:w="362" w:type="pct"/>
            <w:tcBorders>
              <w:bottom w:val="single" w:sz="4" w:space="0" w:color="auto"/>
            </w:tcBorders>
            <w:tcMar>
              <w:left w:w="43" w:type="dxa"/>
              <w:right w:w="43" w:type="dxa"/>
            </w:tcMar>
            <w:vAlign w:val="center"/>
          </w:tcPr>
          <w:p w14:paraId="600298E5"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sz w:val="20"/>
                <w:szCs w:val="20"/>
                <w:lang w:val="en-US"/>
              </w:rPr>
              <w:t>3.54</w:t>
            </w:r>
          </w:p>
        </w:tc>
      </w:tr>
      <w:tr w:rsidR="00FF6F43" w:rsidRPr="00670D91" w14:paraId="7DD08E89" w14:textId="77777777" w:rsidTr="002053E6">
        <w:trPr>
          <w:trHeight w:val="368"/>
        </w:trPr>
        <w:tc>
          <w:tcPr>
            <w:tcW w:w="5000" w:type="pct"/>
            <w:gridSpan w:val="8"/>
            <w:tcBorders>
              <w:top w:val="single" w:sz="4" w:space="0" w:color="auto"/>
              <w:bottom w:val="single" w:sz="4" w:space="0" w:color="auto"/>
            </w:tcBorders>
            <w:tcMar>
              <w:left w:w="43" w:type="dxa"/>
              <w:right w:w="43" w:type="dxa"/>
            </w:tcMar>
            <w:vAlign w:val="center"/>
          </w:tcPr>
          <w:p w14:paraId="3240DFA5"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noProof/>
                <w:color w:val="000000"/>
                <w:sz w:val="20"/>
                <w:szCs w:val="20"/>
                <w:lang w:val="en-US"/>
              </w:rPr>
              <w:t>NIGERIA</w:t>
            </w:r>
          </w:p>
        </w:tc>
      </w:tr>
      <w:tr w:rsidR="00FF6F43" w:rsidRPr="00670D91" w14:paraId="2D45AF68" w14:textId="77777777" w:rsidTr="002053E6">
        <w:trPr>
          <w:trHeight w:val="317"/>
        </w:trPr>
        <w:tc>
          <w:tcPr>
            <w:tcW w:w="102" w:type="pct"/>
            <w:tcBorders>
              <w:top w:val="single" w:sz="4" w:space="0" w:color="auto"/>
            </w:tcBorders>
            <w:tcMar>
              <w:left w:w="43" w:type="dxa"/>
              <w:right w:w="43" w:type="dxa"/>
            </w:tcMar>
            <w:vAlign w:val="center"/>
          </w:tcPr>
          <w:p w14:paraId="44F9168E" w14:textId="77777777" w:rsidR="00FF6F43" w:rsidRPr="00670D91" w:rsidRDefault="00FF6F43" w:rsidP="002053E6">
            <w:pPr>
              <w:jc w:val="right"/>
              <w:rPr>
                <w:rFonts w:ascii="Calibri" w:hAnsi="Calibri" w:cs="Calibri"/>
                <w:color w:val="000000"/>
                <w:sz w:val="20"/>
                <w:szCs w:val="20"/>
                <w:lang w:val="en-US"/>
              </w:rPr>
            </w:pPr>
          </w:p>
        </w:tc>
        <w:tc>
          <w:tcPr>
            <w:tcW w:w="3070" w:type="pct"/>
            <w:tcBorders>
              <w:top w:val="single" w:sz="4" w:space="0" w:color="auto"/>
            </w:tcBorders>
            <w:tcMar>
              <w:left w:w="43" w:type="dxa"/>
              <w:right w:w="43" w:type="dxa"/>
            </w:tcMar>
            <w:vAlign w:val="center"/>
          </w:tcPr>
          <w:p w14:paraId="22E317EF"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b/>
                <w:bCs/>
                <w:color w:val="000000"/>
                <w:sz w:val="20"/>
                <w:szCs w:val="20"/>
                <w:lang w:val="en-US"/>
              </w:rPr>
              <w:t>Association Rule (X</w:t>
            </w:r>
            <w:r w:rsidRPr="00670D91">
              <w:rPr>
                <w:rFonts w:ascii="Calibri" w:hAnsi="Calibri" w:cs="Calibri"/>
                <w:b/>
                <w:bCs/>
                <w:color w:val="000000"/>
                <w:sz w:val="20"/>
                <w:szCs w:val="20"/>
                <w:lang w:val="en-US"/>
              </w:rPr>
              <w:sym w:font="Wingdings" w:char="F0E0"/>
            </w:r>
            <w:r w:rsidRPr="00670D91">
              <w:rPr>
                <w:rFonts w:ascii="Calibri" w:hAnsi="Calibri" w:cs="Calibri"/>
                <w:b/>
                <w:bCs/>
                <w:color w:val="000000"/>
                <w:sz w:val="20"/>
                <w:szCs w:val="20"/>
                <w:lang w:val="en-US"/>
              </w:rPr>
              <w:t>Y)</w:t>
            </w:r>
          </w:p>
        </w:tc>
        <w:tc>
          <w:tcPr>
            <w:tcW w:w="368" w:type="pct"/>
            <w:tcBorders>
              <w:top w:val="single" w:sz="4" w:space="0" w:color="auto"/>
            </w:tcBorders>
            <w:tcMar>
              <w:left w:w="43" w:type="dxa"/>
              <w:right w:w="43" w:type="dxa"/>
            </w:tcMar>
            <w:vAlign w:val="center"/>
          </w:tcPr>
          <w:p w14:paraId="7D19F73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{X}</w:t>
            </w:r>
          </w:p>
        </w:tc>
        <w:tc>
          <w:tcPr>
            <w:tcW w:w="130" w:type="pct"/>
            <w:tcBorders>
              <w:top w:val="single" w:sz="4" w:space="0" w:color="auto"/>
            </w:tcBorders>
            <w:tcMar>
              <w:left w:w="43" w:type="dxa"/>
              <w:right w:w="43" w:type="dxa"/>
            </w:tcMar>
            <w:vAlign w:val="center"/>
          </w:tcPr>
          <w:p w14:paraId="682D556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{Y}</w:t>
            </w:r>
          </w:p>
        </w:tc>
        <w:tc>
          <w:tcPr>
            <w:tcW w:w="199" w:type="pct"/>
            <w:tcBorders>
              <w:top w:val="single" w:sz="4" w:space="0" w:color="auto"/>
            </w:tcBorders>
            <w:tcMar>
              <w:left w:w="43" w:type="dxa"/>
              <w:right w:w="43" w:type="dxa"/>
            </w:tcMar>
            <w:vAlign w:val="center"/>
          </w:tcPr>
          <w:p w14:paraId="2E31AC8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{XY}</w:t>
            </w:r>
          </w:p>
        </w:tc>
        <w:tc>
          <w:tcPr>
            <w:tcW w:w="321" w:type="pct"/>
            <w:tcBorders>
              <w:top w:val="single" w:sz="4" w:space="0" w:color="auto"/>
            </w:tcBorders>
            <w:tcMar>
              <w:left w:w="43" w:type="dxa"/>
              <w:right w:w="43" w:type="dxa"/>
            </w:tcMar>
            <w:vAlign w:val="center"/>
          </w:tcPr>
          <w:p w14:paraId="42B490A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Support</w:t>
            </w:r>
          </w:p>
        </w:tc>
        <w:tc>
          <w:tcPr>
            <w:tcW w:w="448" w:type="pct"/>
            <w:tcBorders>
              <w:top w:val="single" w:sz="4" w:space="0" w:color="auto"/>
            </w:tcBorders>
            <w:tcMar>
              <w:left w:w="43" w:type="dxa"/>
              <w:right w:w="43" w:type="dxa"/>
            </w:tcMar>
            <w:vAlign w:val="center"/>
          </w:tcPr>
          <w:p w14:paraId="241E602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Confidence</w:t>
            </w:r>
          </w:p>
        </w:tc>
        <w:tc>
          <w:tcPr>
            <w:tcW w:w="362" w:type="pct"/>
            <w:tcBorders>
              <w:top w:val="single" w:sz="4" w:space="0" w:color="auto"/>
            </w:tcBorders>
            <w:tcMar>
              <w:left w:w="43" w:type="dxa"/>
              <w:right w:w="43" w:type="dxa"/>
            </w:tcMar>
            <w:vAlign w:val="center"/>
          </w:tcPr>
          <w:p w14:paraId="3C5BEAA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Lift</w:t>
            </w:r>
          </w:p>
        </w:tc>
      </w:tr>
      <w:tr w:rsidR="00FF6F43" w:rsidRPr="00670D91" w14:paraId="4F4261EC" w14:textId="77777777" w:rsidTr="002053E6">
        <w:trPr>
          <w:trHeight w:val="317"/>
        </w:trPr>
        <w:tc>
          <w:tcPr>
            <w:tcW w:w="102" w:type="pct"/>
            <w:tcBorders>
              <w:top w:val="single" w:sz="4" w:space="0" w:color="auto"/>
            </w:tcBorders>
            <w:tcMar>
              <w:left w:w="43" w:type="dxa"/>
              <w:right w:w="43" w:type="dxa"/>
            </w:tcMar>
            <w:vAlign w:val="center"/>
          </w:tcPr>
          <w:p w14:paraId="6566FF19"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1</w:t>
            </w:r>
          </w:p>
        </w:tc>
        <w:tc>
          <w:tcPr>
            <w:tcW w:w="3070" w:type="pct"/>
            <w:tcBorders>
              <w:top w:val="single" w:sz="4" w:space="0" w:color="auto"/>
            </w:tcBorders>
            <w:tcMar>
              <w:left w:w="43" w:type="dxa"/>
              <w:right w:w="43" w:type="dxa"/>
            </w:tcMar>
            <w:vAlign w:val="center"/>
          </w:tcPr>
          <w:p w14:paraId="3B554583"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p>
        </w:tc>
        <w:tc>
          <w:tcPr>
            <w:tcW w:w="368" w:type="pct"/>
            <w:tcBorders>
              <w:top w:val="single" w:sz="4" w:space="0" w:color="auto"/>
            </w:tcBorders>
            <w:tcMar>
              <w:left w:w="43" w:type="dxa"/>
              <w:right w:w="43" w:type="dxa"/>
            </w:tcMar>
            <w:vAlign w:val="center"/>
          </w:tcPr>
          <w:p w14:paraId="51588DD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w:t>
            </w:r>
          </w:p>
        </w:tc>
        <w:tc>
          <w:tcPr>
            <w:tcW w:w="130" w:type="pct"/>
            <w:tcBorders>
              <w:top w:val="single" w:sz="4" w:space="0" w:color="auto"/>
            </w:tcBorders>
            <w:tcMar>
              <w:left w:w="43" w:type="dxa"/>
              <w:right w:w="43" w:type="dxa"/>
            </w:tcMar>
            <w:vAlign w:val="center"/>
          </w:tcPr>
          <w:p w14:paraId="4D46C72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8</w:t>
            </w:r>
          </w:p>
        </w:tc>
        <w:tc>
          <w:tcPr>
            <w:tcW w:w="199" w:type="pct"/>
            <w:tcBorders>
              <w:top w:val="single" w:sz="4" w:space="0" w:color="auto"/>
            </w:tcBorders>
            <w:tcMar>
              <w:left w:w="43" w:type="dxa"/>
              <w:right w:w="43" w:type="dxa"/>
            </w:tcMar>
            <w:vAlign w:val="center"/>
          </w:tcPr>
          <w:p w14:paraId="2F53E12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Borders>
              <w:top w:val="single" w:sz="4" w:space="0" w:color="auto"/>
            </w:tcBorders>
            <w:tcMar>
              <w:left w:w="43" w:type="dxa"/>
              <w:right w:w="43" w:type="dxa"/>
            </w:tcMar>
            <w:vAlign w:val="center"/>
          </w:tcPr>
          <w:p w14:paraId="3FF1DD9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6.19%</w:t>
            </w:r>
          </w:p>
        </w:tc>
        <w:tc>
          <w:tcPr>
            <w:tcW w:w="448" w:type="pct"/>
            <w:tcBorders>
              <w:top w:val="single" w:sz="4" w:space="0" w:color="auto"/>
            </w:tcBorders>
            <w:tcMar>
              <w:left w:w="43" w:type="dxa"/>
              <w:right w:w="43" w:type="dxa"/>
            </w:tcMar>
            <w:vAlign w:val="center"/>
          </w:tcPr>
          <w:p w14:paraId="3CCF328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50.00%</w:t>
            </w:r>
          </w:p>
        </w:tc>
        <w:tc>
          <w:tcPr>
            <w:tcW w:w="362" w:type="pct"/>
            <w:tcBorders>
              <w:top w:val="single" w:sz="4" w:space="0" w:color="auto"/>
            </w:tcBorders>
            <w:tcMar>
              <w:left w:w="43" w:type="dxa"/>
              <w:right w:w="43" w:type="dxa"/>
            </w:tcMar>
            <w:vAlign w:val="center"/>
          </w:tcPr>
          <w:p w14:paraId="73D1B60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6.06</w:t>
            </w:r>
          </w:p>
        </w:tc>
      </w:tr>
      <w:tr w:rsidR="00FF6F43" w:rsidRPr="00670D91" w14:paraId="37819E30" w14:textId="77777777" w:rsidTr="002053E6">
        <w:trPr>
          <w:trHeight w:val="317"/>
        </w:trPr>
        <w:tc>
          <w:tcPr>
            <w:tcW w:w="102" w:type="pct"/>
            <w:tcMar>
              <w:left w:w="43" w:type="dxa"/>
              <w:right w:w="43" w:type="dxa"/>
            </w:tcMar>
            <w:vAlign w:val="center"/>
          </w:tcPr>
          <w:p w14:paraId="40B379F8"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2</w:t>
            </w:r>
          </w:p>
        </w:tc>
        <w:tc>
          <w:tcPr>
            <w:tcW w:w="3070" w:type="pct"/>
            <w:tcMar>
              <w:left w:w="43" w:type="dxa"/>
              <w:right w:w="43" w:type="dxa"/>
            </w:tcMar>
            <w:vAlign w:val="center"/>
          </w:tcPr>
          <w:p w14:paraId="405AF3C3"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 xml:space="preserve">(gender = male)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7C46636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130" w:type="pct"/>
            <w:tcMar>
              <w:left w:w="43" w:type="dxa"/>
              <w:right w:w="43" w:type="dxa"/>
            </w:tcMar>
            <w:vAlign w:val="center"/>
          </w:tcPr>
          <w:p w14:paraId="3360E91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199" w:type="pct"/>
            <w:tcMar>
              <w:left w:w="43" w:type="dxa"/>
              <w:right w:w="43" w:type="dxa"/>
            </w:tcMar>
            <w:vAlign w:val="center"/>
          </w:tcPr>
          <w:p w14:paraId="27DA324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78C7A65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5.15%</w:t>
            </w:r>
          </w:p>
        </w:tc>
        <w:tc>
          <w:tcPr>
            <w:tcW w:w="448" w:type="pct"/>
            <w:tcMar>
              <w:left w:w="43" w:type="dxa"/>
              <w:right w:w="43" w:type="dxa"/>
            </w:tcMar>
            <w:vAlign w:val="center"/>
          </w:tcPr>
          <w:p w14:paraId="1E45E5B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60.00%</w:t>
            </w:r>
          </w:p>
        </w:tc>
        <w:tc>
          <w:tcPr>
            <w:tcW w:w="362" w:type="pct"/>
            <w:tcMar>
              <w:left w:w="43" w:type="dxa"/>
              <w:right w:w="43" w:type="dxa"/>
            </w:tcMar>
            <w:vAlign w:val="center"/>
          </w:tcPr>
          <w:p w14:paraId="7A8ABD0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5.82</w:t>
            </w:r>
          </w:p>
        </w:tc>
      </w:tr>
      <w:tr w:rsidR="00FF6F43" w:rsidRPr="00670D91" w14:paraId="472545DD" w14:textId="77777777" w:rsidTr="002053E6">
        <w:trPr>
          <w:trHeight w:val="317"/>
        </w:trPr>
        <w:tc>
          <w:tcPr>
            <w:tcW w:w="102" w:type="pct"/>
            <w:tcMar>
              <w:left w:w="43" w:type="dxa"/>
              <w:right w:w="43" w:type="dxa"/>
            </w:tcMar>
            <w:vAlign w:val="center"/>
          </w:tcPr>
          <w:p w14:paraId="029E7494"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070" w:type="pct"/>
            <w:tcMar>
              <w:left w:w="43" w:type="dxa"/>
              <w:right w:w="43" w:type="dxa"/>
            </w:tcMar>
            <w:vAlign w:val="center"/>
          </w:tcPr>
          <w:p w14:paraId="13EAFCC7"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38F01BD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130" w:type="pct"/>
            <w:tcMar>
              <w:left w:w="43" w:type="dxa"/>
              <w:right w:w="43" w:type="dxa"/>
            </w:tcMar>
            <w:vAlign w:val="center"/>
          </w:tcPr>
          <w:p w14:paraId="6E67C9E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199" w:type="pct"/>
            <w:tcMar>
              <w:left w:w="43" w:type="dxa"/>
              <w:right w:w="43" w:type="dxa"/>
            </w:tcMar>
            <w:vAlign w:val="center"/>
          </w:tcPr>
          <w:p w14:paraId="1EB9D73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5A81743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5.15%</w:t>
            </w:r>
          </w:p>
        </w:tc>
        <w:tc>
          <w:tcPr>
            <w:tcW w:w="448" w:type="pct"/>
            <w:tcMar>
              <w:left w:w="43" w:type="dxa"/>
              <w:right w:w="43" w:type="dxa"/>
            </w:tcMar>
            <w:vAlign w:val="center"/>
          </w:tcPr>
          <w:p w14:paraId="3353BCF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60.00%</w:t>
            </w:r>
          </w:p>
        </w:tc>
        <w:tc>
          <w:tcPr>
            <w:tcW w:w="362" w:type="pct"/>
            <w:tcMar>
              <w:left w:w="43" w:type="dxa"/>
              <w:right w:w="43" w:type="dxa"/>
            </w:tcMar>
            <w:vAlign w:val="center"/>
          </w:tcPr>
          <w:p w14:paraId="2E8533E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5.82</w:t>
            </w:r>
          </w:p>
        </w:tc>
      </w:tr>
      <w:tr w:rsidR="00FF6F43" w:rsidRPr="00670D91" w14:paraId="0980179E" w14:textId="77777777" w:rsidTr="002053E6">
        <w:trPr>
          <w:trHeight w:val="317"/>
        </w:trPr>
        <w:tc>
          <w:tcPr>
            <w:tcW w:w="102" w:type="pct"/>
            <w:tcMar>
              <w:left w:w="43" w:type="dxa"/>
              <w:right w:w="43" w:type="dxa"/>
            </w:tcMar>
            <w:vAlign w:val="center"/>
          </w:tcPr>
          <w:p w14:paraId="7BF60F6A"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4</w:t>
            </w:r>
          </w:p>
        </w:tc>
        <w:tc>
          <w:tcPr>
            <w:tcW w:w="3070" w:type="pct"/>
            <w:tcMar>
              <w:left w:w="43" w:type="dxa"/>
              <w:right w:w="43" w:type="dxa"/>
            </w:tcMar>
            <w:vAlign w:val="center"/>
          </w:tcPr>
          <w:p w14:paraId="29BA576F"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6CB915F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w:t>
            </w:r>
          </w:p>
        </w:tc>
        <w:tc>
          <w:tcPr>
            <w:tcW w:w="130" w:type="pct"/>
            <w:tcMar>
              <w:left w:w="43" w:type="dxa"/>
              <w:right w:w="43" w:type="dxa"/>
            </w:tcMar>
            <w:vAlign w:val="center"/>
          </w:tcPr>
          <w:p w14:paraId="138C7A0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199" w:type="pct"/>
            <w:tcMar>
              <w:left w:w="43" w:type="dxa"/>
              <w:right w:w="43" w:type="dxa"/>
            </w:tcMar>
            <w:vAlign w:val="center"/>
          </w:tcPr>
          <w:p w14:paraId="0F3120C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6AC23BE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6.19%</w:t>
            </w:r>
          </w:p>
        </w:tc>
        <w:tc>
          <w:tcPr>
            <w:tcW w:w="448" w:type="pct"/>
            <w:tcMar>
              <w:left w:w="43" w:type="dxa"/>
              <w:right w:w="43" w:type="dxa"/>
            </w:tcMar>
            <w:vAlign w:val="center"/>
          </w:tcPr>
          <w:p w14:paraId="38817BD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50.00%</w:t>
            </w:r>
          </w:p>
        </w:tc>
        <w:tc>
          <w:tcPr>
            <w:tcW w:w="362" w:type="pct"/>
            <w:tcMar>
              <w:left w:w="43" w:type="dxa"/>
              <w:right w:w="43" w:type="dxa"/>
            </w:tcMar>
            <w:vAlign w:val="center"/>
          </w:tcPr>
          <w:p w14:paraId="5A79B0C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4.85</w:t>
            </w:r>
          </w:p>
        </w:tc>
      </w:tr>
      <w:tr w:rsidR="00FF6F43" w:rsidRPr="00670D91" w14:paraId="4E0C10C1" w14:textId="77777777" w:rsidTr="002053E6">
        <w:trPr>
          <w:trHeight w:val="317"/>
        </w:trPr>
        <w:tc>
          <w:tcPr>
            <w:tcW w:w="102" w:type="pct"/>
            <w:tcMar>
              <w:left w:w="43" w:type="dxa"/>
              <w:right w:w="43" w:type="dxa"/>
            </w:tcMar>
            <w:vAlign w:val="center"/>
          </w:tcPr>
          <w:p w14:paraId="1216C0E6"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3070" w:type="pct"/>
            <w:tcMar>
              <w:left w:w="43" w:type="dxa"/>
              <w:right w:w="43" w:type="dxa"/>
            </w:tcMar>
            <w:vAlign w:val="center"/>
          </w:tcPr>
          <w:p w14:paraId="0DF2E963"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sz w:val="20"/>
                <w:szCs w:val="20"/>
                <w:lang w:val="en-US"/>
              </w:rPr>
              <w:t>(psychiatric disorder = yes)</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3AF0266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9</w:t>
            </w:r>
          </w:p>
        </w:tc>
        <w:tc>
          <w:tcPr>
            <w:tcW w:w="130" w:type="pct"/>
            <w:tcMar>
              <w:left w:w="43" w:type="dxa"/>
              <w:right w:w="43" w:type="dxa"/>
            </w:tcMar>
            <w:vAlign w:val="center"/>
          </w:tcPr>
          <w:p w14:paraId="29FEE49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199" w:type="pct"/>
            <w:tcMar>
              <w:left w:w="43" w:type="dxa"/>
              <w:right w:w="43" w:type="dxa"/>
            </w:tcMar>
            <w:vAlign w:val="center"/>
          </w:tcPr>
          <w:p w14:paraId="32932E4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w:t>
            </w:r>
          </w:p>
        </w:tc>
        <w:tc>
          <w:tcPr>
            <w:tcW w:w="321" w:type="pct"/>
            <w:tcMar>
              <w:left w:w="43" w:type="dxa"/>
              <w:right w:w="43" w:type="dxa"/>
            </w:tcMar>
            <w:vAlign w:val="center"/>
          </w:tcPr>
          <w:p w14:paraId="5363E61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9.28%</w:t>
            </w:r>
          </w:p>
        </w:tc>
        <w:tc>
          <w:tcPr>
            <w:tcW w:w="448" w:type="pct"/>
            <w:tcMar>
              <w:left w:w="43" w:type="dxa"/>
              <w:right w:w="43" w:type="dxa"/>
            </w:tcMar>
            <w:vAlign w:val="center"/>
          </w:tcPr>
          <w:p w14:paraId="3A7FAB7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44.44%</w:t>
            </w:r>
          </w:p>
        </w:tc>
        <w:tc>
          <w:tcPr>
            <w:tcW w:w="362" w:type="pct"/>
            <w:tcMar>
              <w:left w:w="43" w:type="dxa"/>
              <w:right w:w="43" w:type="dxa"/>
            </w:tcMar>
            <w:vAlign w:val="center"/>
          </w:tcPr>
          <w:p w14:paraId="4EE1F8A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4.31</w:t>
            </w:r>
          </w:p>
        </w:tc>
      </w:tr>
      <w:tr w:rsidR="00FF6F43" w:rsidRPr="00670D91" w14:paraId="43C5B1FC" w14:textId="77777777" w:rsidTr="002053E6">
        <w:trPr>
          <w:trHeight w:val="317"/>
        </w:trPr>
        <w:tc>
          <w:tcPr>
            <w:tcW w:w="102" w:type="pct"/>
            <w:tcBorders>
              <w:bottom w:val="single" w:sz="4" w:space="0" w:color="auto"/>
            </w:tcBorders>
            <w:tcMar>
              <w:left w:w="43" w:type="dxa"/>
              <w:right w:w="43" w:type="dxa"/>
            </w:tcMar>
            <w:vAlign w:val="center"/>
          </w:tcPr>
          <w:p w14:paraId="3FEB94E7"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6</w:t>
            </w:r>
          </w:p>
        </w:tc>
        <w:tc>
          <w:tcPr>
            <w:tcW w:w="3070" w:type="pct"/>
            <w:tcBorders>
              <w:bottom w:val="single" w:sz="4" w:space="0" w:color="auto"/>
            </w:tcBorders>
            <w:tcMar>
              <w:left w:w="43" w:type="dxa"/>
              <w:right w:w="43" w:type="dxa"/>
            </w:tcMar>
            <w:vAlign w:val="center"/>
          </w:tcPr>
          <w:p w14:paraId="4BBC451F"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sz w:val="20"/>
                <w:szCs w:val="20"/>
                <w:lang w:val="en-US"/>
              </w:rPr>
              <w:t>(psychiatric disorder = yes)</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Borders>
              <w:bottom w:val="single" w:sz="4" w:space="0" w:color="auto"/>
            </w:tcBorders>
            <w:tcMar>
              <w:left w:w="43" w:type="dxa"/>
              <w:right w:w="43" w:type="dxa"/>
            </w:tcMar>
            <w:vAlign w:val="center"/>
          </w:tcPr>
          <w:p w14:paraId="10B4A2F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14</w:t>
            </w:r>
          </w:p>
        </w:tc>
        <w:tc>
          <w:tcPr>
            <w:tcW w:w="130" w:type="pct"/>
            <w:tcBorders>
              <w:bottom w:val="single" w:sz="4" w:space="0" w:color="auto"/>
            </w:tcBorders>
            <w:tcMar>
              <w:left w:w="43" w:type="dxa"/>
              <w:right w:w="43" w:type="dxa"/>
            </w:tcMar>
            <w:vAlign w:val="center"/>
          </w:tcPr>
          <w:p w14:paraId="7CDD668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199" w:type="pct"/>
            <w:tcBorders>
              <w:bottom w:val="single" w:sz="4" w:space="0" w:color="auto"/>
            </w:tcBorders>
            <w:tcMar>
              <w:left w:w="43" w:type="dxa"/>
              <w:right w:w="43" w:type="dxa"/>
            </w:tcMar>
            <w:vAlign w:val="center"/>
          </w:tcPr>
          <w:p w14:paraId="54B31FB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w:t>
            </w:r>
          </w:p>
        </w:tc>
        <w:tc>
          <w:tcPr>
            <w:tcW w:w="321" w:type="pct"/>
            <w:tcBorders>
              <w:bottom w:val="single" w:sz="4" w:space="0" w:color="auto"/>
            </w:tcBorders>
            <w:tcMar>
              <w:left w:w="43" w:type="dxa"/>
              <w:right w:w="43" w:type="dxa"/>
            </w:tcMar>
            <w:vAlign w:val="center"/>
          </w:tcPr>
          <w:p w14:paraId="76D54F4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14.43%</w:t>
            </w:r>
          </w:p>
        </w:tc>
        <w:tc>
          <w:tcPr>
            <w:tcW w:w="448" w:type="pct"/>
            <w:tcBorders>
              <w:bottom w:val="single" w:sz="4" w:space="0" w:color="auto"/>
            </w:tcBorders>
            <w:tcMar>
              <w:left w:w="43" w:type="dxa"/>
              <w:right w:w="43" w:type="dxa"/>
            </w:tcMar>
            <w:vAlign w:val="center"/>
          </w:tcPr>
          <w:p w14:paraId="704F4AC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42.86%</w:t>
            </w:r>
          </w:p>
        </w:tc>
        <w:tc>
          <w:tcPr>
            <w:tcW w:w="362" w:type="pct"/>
            <w:tcBorders>
              <w:bottom w:val="single" w:sz="4" w:space="0" w:color="auto"/>
            </w:tcBorders>
            <w:tcMar>
              <w:left w:w="43" w:type="dxa"/>
              <w:right w:w="43" w:type="dxa"/>
            </w:tcMar>
            <w:vAlign w:val="center"/>
          </w:tcPr>
          <w:p w14:paraId="2CF4BB6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4.16</w:t>
            </w:r>
          </w:p>
        </w:tc>
      </w:tr>
      <w:tr w:rsidR="00FF6F43" w:rsidRPr="00670D91" w14:paraId="3A5836A0" w14:textId="77777777" w:rsidTr="002053E6">
        <w:trPr>
          <w:trHeight w:val="409"/>
        </w:trPr>
        <w:tc>
          <w:tcPr>
            <w:tcW w:w="5000" w:type="pct"/>
            <w:gridSpan w:val="8"/>
            <w:tcBorders>
              <w:top w:val="single" w:sz="4" w:space="0" w:color="auto"/>
              <w:bottom w:val="single" w:sz="4" w:space="0" w:color="auto"/>
            </w:tcBorders>
            <w:tcMar>
              <w:left w:w="43" w:type="dxa"/>
              <w:right w:w="43" w:type="dxa"/>
            </w:tcMar>
            <w:vAlign w:val="center"/>
          </w:tcPr>
          <w:p w14:paraId="1249F567" w14:textId="77777777" w:rsidR="00FF6F43" w:rsidRPr="00670D91" w:rsidRDefault="00FF6F43" w:rsidP="002053E6">
            <w:pPr>
              <w:jc w:val="center"/>
              <w:rPr>
                <w:rFonts w:ascii="Calibri" w:hAnsi="Calibri" w:cs="Calibri"/>
                <w:b/>
                <w:bCs/>
                <w:sz w:val="20"/>
                <w:szCs w:val="20"/>
                <w:lang w:val="en-US"/>
              </w:rPr>
            </w:pPr>
            <w:r w:rsidRPr="00670D91">
              <w:rPr>
                <w:rFonts w:ascii="Calibri" w:hAnsi="Calibri" w:cs="Calibri"/>
                <w:b/>
                <w:bCs/>
                <w:noProof/>
                <w:sz w:val="20"/>
                <w:szCs w:val="20"/>
                <w:lang w:val="en-US"/>
              </w:rPr>
              <w:t>INDIA</w:t>
            </w:r>
          </w:p>
        </w:tc>
      </w:tr>
      <w:tr w:rsidR="00FF6F43" w:rsidRPr="00670D91" w14:paraId="78B48257" w14:textId="77777777" w:rsidTr="002053E6">
        <w:trPr>
          <w:trHeight w:val="317"/>
        </w:trPr>
        <w:tc>
          <w:tcPr>
            <w:tcW w:w="102" w:type="pct"/>
            <w:tcBorders>
              <w:top w:val="single" w:sz="4" w:space="0" w:color="auto"/>
            </w:tcBorders>
            <w:tcMar>
              <w:left w:w="43" w:type="dxa"/>
              <w:right w:w="43" w:type="dxa"/>
            </w:tcMar>
            <w:vAlign w:val="center"/>
          </w:tcPr>
          <w:p w14:paraId="65347988" w14:textId="77777777" w:rsidR="00FF6F43" w:rsidRPr="00670D91" w:rsidRDefault="00FF6F43" w:rsidP="002053E6">
            <w:pPr>
              <w:jc w:val="right"/>
              <w:rPr>
                <w:rFonts w:ascii="Calibri" w:hAnsi="Calibri" w:cs="Calibri"/>
                <w:color w:val="000000"/>
                <w:sz w:val="20"/>
                <w:szCs w:val="20"/>
                <w:lang w:val="en-US"/>
              </w:rPr>
            </w:pPr>
          </w:p>
        </w:tc>
        <w:tc>
          <w:tcPr>
            <w:tcW w:w="3070" w:type="pct"/>
            <w:tcBorders>
              <w:top w:val="single" w:sz="4" w:space="0" w:color="auto"/>
            </w:tcBorders>
            <w:tcMar>
              <w:left w:w="43" w:type="dxa"/>
              <w:right w:w="43" w:type="dxa"/>
            </w:tcMar>
            <w:vAlign w:val="center"/>
          </w:tcPr>
          <w:p w14:paraId="29273558"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b/>
                <w:bCs/>
                <w:color w:val="000000"/>
                <w:sz w:val="20"/>
                <w:szCs w:val="20"/>
                <w:lang w:val="en-US"/>
              </w:rPr>
              <w:t>Association Rule (X</w:t>
            </w:r>
            <w:r w:rsidRPr="00670D91">
              <w:rPr>
                <w:rFonts w:ascii="Calibri" w:hAnsi="Calibri" w:cs="Calibri"/>
                <w:b/>
                <w:bCs/>
                <w:color w:val="000000"/>
                <w:sz w:val="20"/>
                <w:szCs w:val="20"/>
                <w:lang w:val="en-US"/>
              </w:rPr>
              <w:sym w:font="Wingdings" w:char="F0E0"/>
            </w:r>
            <w:r w:rsidRPr="00670D91">
              <w:rPr>
                <w:rFonts w:ascii="Calibri" w:hAnsi="Calibri" w:cs="Calibri"/>
                <w:b/>
                <w:bCs/>
                <w:color w:val="000000"/>
                <w:sz w:val="20"/>
                <w:szCs w:val="20"/>
                <w:lang w:val="en-US"/>
              </w:rPr>
              <w:t>Y)</w:t>
            </w:r>
          </w:p>
        </w:tc>
        <w:tc>
          <w:tcPr>
            <w:tcW w:w="368" w:type="pct"/>
            <w:tcBorders>
              <w:top w:val="single" w:sz="4" w:space="0" w:color="auto"/>
            </w:tcBorders>
            <w:tcMar>
              <w:left w:w="43" w:type="dxa"/>
              <w:right w:w="43" w:type="dxa"/>
            </w:tcMar>
            <w:vAlign w:val="center"/>
          </w:tcPr>
          <w:p w14:paraId="603629C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{X}</w:t>
            </w:r>
          </w:p>
        </w:tc>
        <w:tc>
          <w:tcPr>
            <w:tcW w:w="130" w:type="pct"/>
            <w:tcBorders>
              <w:top w:val="single" w:sz="4" w:space="0" w:color="auto"/>
            </w:tcBorders>
            <w:tcMar>
              <w:left w:w="43" w:type="dxa"/>
              <w:right w:w="43" w:type="dxa"/>
            </w:tcMar>
            <w:vAlign w:val="center"/>
          </w:tcPr>
          <w:p w14:paraId="18ED11E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{Y}</w:t>
            </w:r>
          </w:p>
        </w:tc>
        <w:tc>
          <w:tcPr>
            <w:tcW w:w="199" w:type="pct"/>
            <w:tcBorders>
              <w:top w:val="single" w:sz="4" w:space="0" w:color="auto"/>
            </w:tcBorders>
            <w:tcMar>
              <w:left w:w="43" w:type="dxa"/>
              <w:right w:w="43" w:type="dxa"/>
            </w:tcMar>
            <w:vAlign w:val="center"/>
          </w:tcPr>
          <w:p w14:paraId="59D4B29E"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{XY}</w:t>
            </w:r>
          </w:p>
        </w:tc>
        <w:tc>
          <w:tcPr>
            <w:tcW w:w="321" w:type="pct"/>
            <w:tcBorders>
              <w:top w:val="single" w:sz="4" w:space="0" w:color="auto"/>
            </w:tcBorders>
            <w:tcMar>
              <w:left w:w="43" w:type="dxa"/>
              <w:right w:w="43" w:type="dxa"/>
            </w:tcMar>
            <w:vAlign w:val="center"/>
          </w:tcPr>
          <w:p w14:paraId="4FD5403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Support</w:t>
            </w:r>
          </w:p>
        </w:tc>
        <w:tc>
          <w:tcPr>
            <w:tcW w:w="448" w:type="pct"/>
            <w:tcBorders>
              <w:top w:val="single" w:sz="4" w:space="0" w:color="auto"/>
            </w:tcBorders>
            <w:tcMar>
              <w:left w:w="43" w:type="dxa"/>
              <w:right w:w="43" w:type="dxa"/>
            </w:tcMar>
            <w:vAlign w:val="center"/>
          </w:tcPr>
          <w:p w14:paraId="430DA8F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Confidence</w:t>
            </w:r>
          </w:p>
        </w:tc>
        <w:tc>
          <w:tcPr>
            <w:tcW w:w="362" w:type="pct"/>
            <w:tcBorders>
              <w:top w:val="single" w:sz="4" w:space="0" w:color="auto"/>
            </w:tcBorders>
            <w:tcMar>
              <w:left w:w="43" w:type="dxa"/>
              <w:right w:w="43" w:type="dxa"/>
            </w:tcMar>
            <w:vAlign w:val="center"/>
          </w:tcPr>
          <w:p w14:paraId="7E17F8E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Lift</w:t>
            </w:r>
          </w:p>
        </w:tc>
      </w:tr>
      <w:tr w:rsidR="00FF6F43" w:rsidRPr="00670D91" w14:paraId="3CD96A3A" w14:textId="77777777" w:rsidTr="002053E6">
        <w:trPr>
          <w:trHeight w:val="317"/>
        </w:trPr>
        <w:tc>
          <w:tcPr>
            <w:tcW w:w="102" w:type="pct"/>
            <w:tcBorders>
              <w:top w:val="single" w:sz="4" w:space="0" w:color="auto"/>
            </w:tcBorders>
            <w:tcMar>
              <w:left w:w="43" w:type="dxa"/>
              <w:right w:w="43" w:type="dxa"/>
            </w:tcMar>
            <w:vAlign w:val="center"/>
          </w:tcPr>
          <w:p w14:paraId="3FF94E4C" w14:textId="77777777" w:rsidR="00FF6F43" w:rsidRPr="00670D91" w:rsidRDefault="00FF6F43" w:rsidP="002053E6">
            <w:pPr>
              <w:jc w:val="right"/>
              <w:rPr>
                <w:rFonts w:ascii="Calibri" w:hAnsi="Calibri" w:cs="Calibri"/>
                <w:sz w:val="20"/>
                <w:szCs w:val="20"/>
                <w:lang w:val="en-US"/>
              </w:rPr>
            </w:pPr>
            <w:r w:rsidRPr="00670D91">
              <w:rPr>
                <w:rFonts w:ascii="Calibri" w:hAnsi="Calibri" w:cs="Calibri"/>
                <w:color w:val="000000"/>
                <w:sz w:val="20"/>
                <w:szCs w:val="20"/>
                <w:lang w:val="en-US"/>
              </w:rPr>
              <w:t>1</w:t>
            </w:r>
          </w:p>
        </w:tc>
        <w:tc>
          <w:tcPr>
            <w:tcW w:w="3070" w:type="pct"/>
            <w:tcBorders>
              <w:top w:val="single" w:sz="4" w:space="0" w:color="auto"/>
            </w:tcBorders>
            <w:tcMar>
              <w:left w:w="43" w:type="dxa"/>
              <w:right w:w="43" w:type="dxa"/>
            </w:tcMar>
            <w:vAlign w:val="center"/>
          </w:tcPr>
          <w:p w14:paraId="5A3D9BD7" w14:textId="77777777" w:rsidR="00FF6F43" w:rsidRPr="00670D91" w:rsidRDefault="00FF6F43" w:rsidP="002053E6">
            <w:pPr>
              <w:jc w:val="center"/>
              <w:rPr>
                <w:rFonts w:ascii="Calibri" w:hAnsi="Calibri" w:cs="Calibri"/>
                <w:noProof/>
                <w:sz w:val="20"/>
                <w:szCs w:val="20"/>
                <w:lang w:val="en-US"/>
              </w:rPr>
            </w:pPr>
            <w:r w:rsidRPr="00670D91">
              <w:rPr>
                <w:rFonts w:ascii="Calibri" w:hAnsi="Calibri" w:cs="Calibri"/>
                <w:noProof/>
                <w:sz w:val="20"/>
                <w:szCs w:val="20"/>
                <w:lang w:val="en-US"/>
              </w:rPr>
              <w:t>(psychiatric disorder = yes)</w:t>
            </w:r>
            <w:r w:rsidRPr="00670D91">
              <w:rPr>
                <w:rFonts w:ascii="Calibri" w:hAnsi="Calibri" w:cs="Calibri"/>
                <w:noProof/>
                <w:color w:val="000000"/>
                <w:sz w:val="20"/>
                <w:szCs w:val="20"/>
                <w:lang w:val="en-US"/>
              </w:rPr>
              <w:t xml:space="preserve"> &amp; (suicidal thought = yes) &amp; </w:t>
            </w: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Borders>
              <w:top w:val="single" w:sz="4" w:space="0" w:color="auto"/>
            </w:tcBorders>
            <w:tcMar>
              <w:left w:w="43" w:type="dxa"/>
              <w:right w:w="43" w:type="dxa"/>
            </w:tcMar>
            <w:vAlign w:val="center"/>
          </w:tcPr>
          <w:p w14:paraId="089065F8"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color w:val="000000"/>
                <w:sz w:val="20"/>
                <w:szCs w:val="20"/>
                <w:lang w:val="en-US"/>
              </w:rPr>
              <w:t>11</w:t>
            </w:r>
          </w:p>
        </w:tc>
        <w:tc>
          <w:tcPr>
            <w:tcW w:w="130" w:type="pct"/>
            <w:tcBorders>
              <w:top w:val="single" w:sz="4" w:space="0" w:color="auto"/>
            </w:tcBorders>
            <w:tcMar>
              <w:left w:w="43" w:type="dxa"/>
              <w:right w:w="43" w:type="dxa"/>
            </w:tcMar>
            <w:vAlign w:val="center"/>
          </w:tcPr>
          <w:p w14:paraId="26A48CEC"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color w:val="000000"/>
                <w:sz w:val="20"/>
                <w:szCs w:val="20"/>
                <w:lang w:val="en-US"/>
              </w:rPr>
              <w:t>56</w:t>
            </w:r>
          </w:p>
        </w:tc>
        <w:tc>
          <w:tcPr>
            <w:tcW w:w="199" w:type="pct"/>
            <w:tcBorders>
              <w:top w:val="single" w:sz="4" w:space="0" w:color="auto"/>
            </w:tcBorders>
            <w:tcMar>
              <w:left w:w="43" w:type="dxa"/>
              <w:right w:w="43" w:type="dxa"/>
            </w:tcMar>
            <w:vAlign w:val="center"/>
          </w:tcPr>
          <w:p w14:paraId="11BF0B8F"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color w:val="000000"/>
                <w:sz w:val="20"/>
                <w:szCs w:val="20"/>
                <w:lang w:val="en-US"/>
              </w:rPr>
              <w:t>9</w:t>
            </w:r>
          </w:p>
        </w:tc>
        <w:tc>
          <w:tcPr>
            <w:tcW w:w="321" w:type="pct"/>
            <w:tcBorders>
              <w:top w:val="single" w:sz="4" w:space="0" w:color="auto"/>
            </w:tcBorders>
            <w:tcMar>
              <w:left w:w="43" w:type="dxa"/>
              <w:right w:w="43" w:type="dxa"/>
            </w:tcMar>
            <w:vAlign w:val="center"/>
          </w:tcPr>
          <w:p w14:paraId="692B2DE9"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color w:val="000000"/>
                <w:sz w:val="20"/>
                <w:szCs w:val="20"/>
                <w:lang w:val="en-US"/>
              </w:rPr>
              <w:t>3.12%</w:t>
            </w:r>
          </w:p>
        </w:tc>
        <w:tc>
          <w:tcPr>
            <w:tcW w:w="448" w:type="pct"/>
            <w:tcBorders>
              <w:top w:val="single" w:sz="4" w:space="0" w:color="auto"/>
            </w:tcBorders>
            <w:tcMar>
              <w:left w:w="43" w:type="dxa"/>
              <w:right w:w="43" w:type="dxa"/>
            </w:tcMar>
            <w:vAlign w:val="center"/>
          </w:tcPr>
          <w:p w14:paraId="388D2FFE"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color w:val="000000"/>
                <w:sz w:val="20"/>
                <w:szCs w:val="20"/>
                <w:lang w:val="en-US"/>
              </w:rPr>
              <w:t>81.82%</w:t>
            </w:r>
          </w:p>
        </w:tc>
        <w:tc>
          <w:tcPr>
            <w:tcW w:w="362" w:type="pct"/>
            <w:tcBorders>
              <w:top w:val="single" w:sz="4" w:space="0" w:color="auto"/>
            </w:tcBorders>
            <w:tcMar>
              <w:left w:w="43" w:type="dxa"/>
              <w:right w:w="43" w:type="dxa"/>
            </w:tcMar>
            <w:vAlign w:val="center"/>
          </w:tcPr>
          <w:p w14:paraId="1B76EFC7" w14:textId="77777777" w:rsidR="00FF6F43" w:rsidRPr="00670D91" w:rsidRDefault="00FF6F43" w:rsidP="002053E6">
            <w:pPr>
              <w:jc w:val="center"/>
              <w:rPr>
                <w:rFonts w:ascii="Calibri" w:hAnsi="Calibri" w:cs="Calibri"/>
                <w:sz w:val="20"/>
                <w:szCs w:val="20"/>
                <w:lang w:val="en-US"/>
              </w:rPr>
            </w:pPr>
            <w:r w:rsidRPr="00670D91">
              <w:rPr>
                <w:rFonts w:ascii="Calibri" w:hAnsi="Calibri" w:cs="Calibri"/>
                <w:color w:val="000000"/>
                <w:sz w:val="20"/>
                <w:szCs w:val="20"/>
                <w:lang w:val="en-US"/>
              </w:rPr>
              <w:t>5.16</w:t>
            </w:r>
          </w:p>
        </w:tc>
      </w:tr>
      <w:tr w:rsidR="00FF6F43" w:rsidRPr="00670D91" w14:paraId="4B613FF2" w14:textId="77777777" w:rsidTr="002053E6">
        <w:trPr>
          <w:trHeight w:val="317"/>
        </w:trPr>
        <w:tc>
          <w:tcPr>
            <w:tcW w:w="102" w:type="pct"/>
            <w:tcMar>
              <w:left w:w="43" w:type="dxa"/>
              <w:right w:w="43" w:type="dxa"/>
            </w:tcMar>
            <w:vAlign w:val="center"/>
          </w:tcPr>
          <w:p w14:paraId="7BCD111A"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2</w:t>
            </w:r>
          </w:p>
        </w:tc>
        <w:tc>
          <w:tcPr>
            <w:tcW w:w="3070" w:type="pct"/>
            <w:tcMar>
              <w:left w:w="43" w:type="dxa"/>
              <w:right w:w="43" w:type="dxa"/>
            </w:tcMar>
            <w:vAlign w:val="center"/>
          </w:tcPr>
          <w:p w14:paraId="05161114"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 xml:space="preserve">(suicidal thought = yes) &amp; </w:t>
            </w: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3A99DED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23</w:t>
            </w:r>
          </w:p>
        </w:tc>
        <w:tc>
          <w:tcPr>
            <w:tcW w:w="130" w:type="pct"/>
            <w:tcMar>
              <w:left w:w="43" w:type="dxa"/>
              <w:right w:w="43" w:type="dxa"/>
            </w:tcMar>
            <w:vAlign w:val="center"/>
          </w:tcPr>
          <w:p w14:paraId="3C06CF3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56</w:t>
            </w:r>
          </w:p>
        </w:tc>
        <w:tc>
          <w:tcPr>
            <w:tcW w:w="199" w:type="pct"/>
            <w:tcMar>
              <w:left w:w="43" w:type="dxa"/>
              <w:right w:w="43" w:type="dxa"/>
            </w:tcMar>
            <w:vAlign w:val="center"/>
          </w:tcPr>
          <w:p w14:paraId="6C49885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15</w:t>
            </w:r>
          </w:p>
        </w:tc>
        <w:tc>
          <w:tcPr>
            <w:tcW w:w="321" w:type="pct"/>
            <w:tcMar>
              <w:left w:w="43" w:type="dxa"/>
              <w:right w:w="43" w:type="dxa"/>
            </w:tcMar>
            <w:vAlign w:val="center"/>
          </w:tcPr>
          <w:p w14:paraId="5C0147E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6.52%</w:t>
            </w:r>
          </w:p>
        </w:tc>
        <w:tc>
          <w:tcPr>
            <w:tcW w:w="448" w:type="pct"/>
            <w:tcMar>
              <w:left w:w="43" w:type="dxa"/>
              <w:right w:w="43" w:type="dxa"/>
            </w:tcMar>
            <w:vAlign w:val="center"/>
          </w:tcPr>
          <w:p w14:paraId="382F526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65.22%</w:t>
            </w:r>
          </w:p>
        </w:tc>
        <w:tc>
          <w:tcPr>
            <w:tcW w:w="362" w:type="pct"/>
            <w:tcMar>
              <w:left w:w="43" w:type="dxa"/>
              <w:right w:w="43" w:type="dxa"/>
            </w:tcMar>
            <w:vAlign w:val="center"/>
          </w:tcPr>
          <w:p w14:paraId="0A787D0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4.11</w:t>
            </w:r>
          </w:p>
        </w:tc>
      </w:tr>
      <w:tr w:rsidR="00FF6F43" w:rsidRPr="00670D91" w14:paraId="28B07DC0" w14:textId="77777777" w:rsidTr="002053E6">
        <w:trPr>
          <w:trHeight w:val="317"/>
        </w:trPr>
        <w:tc>
          <w:tcPr>
            <w:tcW w:w="102" w:type="pct"/>
            <w:tcMar>
              <w:left w:w="43" w:type="dxa"/>
              <w:right w:w="43" w:type="dxa"/>
            </w:tcMar>
            <w:vAlign w:val="center"/>
          </w:tcPr>
          <w:p w14:paraId="6CDF0EEA"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070" w:type="pct"/>
            <w:tcMar>
              <w:left w:w="43" w:type="dxa"/>
              <w:right w:w="43" w:type="dxa"/>
            </w:tcMar>
            <w:vAlign w:val="center"/>
          </w:tcPr>
          <w:p w14:paraId="444C0558"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sz w:val="20"/>
                <w:szCs w:val="20"/>
                <w:lang w:val="en-US"/>
              </w:rPr>
              <w:t>(suicide attempt = yes)</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3375CED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16</w:t>
            </w:r>
          </w:p>
        </w:tc>
        <w:tc>
          <w:tcPr>
            <w:tcW w:w="130" w:type="pct"/>
            <w:tcMar>
              <w:left w:w="43" w:type="dxa"/>
              <w:right w:w="43" w:type="dxa"/>
            </w:tcMar>
            <w:vAlign w:val="center"/>
          </w:tcPr>
          <w:p w14:paraId="498C1D9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56</w:t>
            </w:r>
          </w:p>
        </w:tc>
        <w:tc>
          <w:tcPr>
            <w:tcW w:w="199" w:type="pct"/>
            <w:tcMar>
              <w:left w:w="43" w:type="dxa"/>
              <w:right w:w="43" w:type="dxa"/>
            </w:tcMar>
            <w:vAlign w:val="center"/>
          </w:tcPr>
          <w:p w14:paraId="1F56FDE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9</w:t>
            </w:r>
          </w:p>
        </w:tc>
        <w:tc>
          <w:tcPr>
            <w:tcW w:w="321" w:type="pct"/>
            <w:tcMar>
              <w:left w:w="43" w:type="dxa"/>
              <w:right w:w="43" w:type="dxa"/>
            </w:tcMar>
            <w:vAlign w:val="center"/>
          </w:tcPr>
          <w:p w14:paraId="6757193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4.53%</w:t>
            </w:r>
          </w:p>
        </w:tc>
        <w:tc>
          <w:tcPr>
            <w:tcW w:w="448" w:type="pct"/>
            <w:tcMar>
              <w:left w:w="43" w:type="dxa"/>
              <w:right w:w="43" w:type="dxa"/>
            </w:tcMar>
            <w:vAlign w:val="center"/>
          </w:tcPr>
          <w:p w14:paraId="136E9FA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56.25%</w:t>
            </w:r>
          </w:p>
        </w:tc>
        <w:tc>
          <w:tcPr>
            <w:tcW w:w="362" w:type="pct"/>
            <w:tcMar>
              <w:left w:w="43" w:type="dxa"/>
              <w:right w:w="43" w:type="dxa"/>
            </w:tcMar>
            <w:vAlign w:val="center"/>
          </w:tcPr>
          <w:p w14:paraId="15EFB99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3.55</w:t>
            </w:r>
          </w:p>
        </w:tc>
      </w:tr>
      <w:tr w:rsidR="00FF6F43" w:rsidRPr="00670D91" w14:paraId="0A1E2958" w14:textId="77777777" w:rsidTr="002053E6">
        <w:trPr>
          <w:trHeight w:val="317"/>
        </w:trPr>
        <w:tc>
          <w:tcPr>
            <w:tcW w:w="102" w:type="pct"/>
            <w:tcMar>
              <w:left w:w="43" w:type="dxa"/>
              <w:right w:w="43" w:type="dxa"/>
            </w:tcMar>
            <w:vAlign w:val="center"/>
          </w:tcPr>
          <w:p w14:paraId="15D4EDB1"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4</w:t>
            </w:r>
          </w:p>
        </w:tc>
        <w:tc>
          <w:tcPr>
            <w:tcW w:w="3070" w:type="pct"/>
            <w:tcMar>
              <w:left w:w="43" w:type="dxa"/>
              <w:right w:w="43" w:type="dxa"/>
            </w:tcMar>
            <w:vAlign w:val="center"/>
          </w:tcPr>
          <w:p w14:paraId="24AF68F5"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sz w:val="20"/>
                <w:szCs w:val="20"/>
                <w:lang w:val="en-US"/>
              </w:rPr>
              <w:t>(psychiatric disorder = yes)</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785A47AE"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25</w:t>
            </w:r>
          </w:p>
        </w:tc>
        <w:tc>
          <w:tcPr>
            <w:tcW w:w="130" w:type="pct"/>
            <w:tcMar>
              <w:left w:w="43" w:type="dxa"/>
              <w:right w:w="43" w:type="dxa"/>
            </w:tcMar>
            <w:vAlign w:val="center"/>
          </w:tcPr>
          <w:p w14:paraId="3A7CE5C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56</w:t>
            </w:r>
          </w:p>
        </w:tc>
        <w:tc>
          <w:tcPr>
            <w:tcW w:w="199" w:type="pct"/>
            <w:tcMar>
              <w:left w:w="43" w:type="dxa"/>
              <w:right w:w="43" w:type="dxa"/>
            </w:tcMar>
            <w:vAlign w:val="center"/>
          </w:tcPr>
          <w:p w14:paraId="64870D9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13</w:t>
            </w:r>
          </w:p>
        </w:tc>
        <w:tc>
          <w:tcPr>
            <w:tcW w:w="321" w:type="pct"/>
            <w:tcMar>
              <w:left w:w="43" w:type="dxa"/>
              <w:right w:w="43" w:type="dxa"/>
            </w:tcMar>
            <w:vAlign w:val="center"/>
          </w:tcPr>
          <w:p w14:paraId="2C20D94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7.08%</w:t>
            </w:r>
          </w:p>
        </w:tc>
        <w:tc>
          <w:tcPr>
            <w:tcW w:w="448" w:type="pct"/>
            <w:tcMar>
              <w:left w:w="43" w:type="dxa"/>
              <w:right w:w="43" w:type="dxa"/>
            </w:tcMar>
            <w:vAlign w:val="center"/>
          </w:tcPr>
          <w:p w14:paraId="033B817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52.00%</w:t>
            </w:r>
          </w:p>
        </w:tc>
        <w:tc>
          <w:tcPr>
            <w:tcW w:w="362" w:type="pct"/>
            <w:tcMar>
              <w:left w:w="43" w:type="dxa"/>
              <w:right w:w="43" w:type="dxa"/>
            </w:tcMar>
            <w:vAlign w:val="center"/>
          </w:tcPr>
          <w:p w14:paraId="1CE14B9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3.28</w:t>
            </w:r>
          </w:p>
        </w:tc>
      </w:tr>
      <w:tr w:rsidR="00FF6F43" w:rsidRPr="00670D91" w14:paraId="13BD60E3" w14:textId="77777777" w:rsidTr="002053E6">
        <w:trPr>
          <w:trHeight w:val="317"/>
        </w:trPr>
        <w:tc>
          <w:tcPr>
            <w:tcW w:w="102" w:type="pct"/>
            <w:tcBorders>
              <w:bottom w:val="single" w:sz="4" w:space="0" w:color="auto"/>
            </w:tcBorders>
            <w:tcMar>
              <w:left w:w="43" w:type="dxa"/>
              <w:right w:w="43" w:type="dxa"/>
            </w:tcMar>
            <w:vAlign w:val="center"/>
          </w:tcPr>
          <w:p w14:paraId="4224C9A5"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3070" w:type="pct"/>
            <w:tcBorders>
              <w:bottom w:val="single" w:sz="4" w:space="0" w:color="auto"/>
            </w:tcBorders>
            <w:tcMar>
              <w:left w:w="43" w:type="dxa"/>
              <w:right w:w="43" w:type="dxa"/>
            </w:tcMar>
            <w:vAlign w:val="center"/>
          </w:tcPr>
          <w:p w14:paraId="18588D05"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Borders>
              <w:bottom w:val="single" w:sz="4" w:space="0" w:color="auto"/>
            </w:tcBorders>
            <w:tcMar>
              <w:left w:w="43" w:type="dxa"/>
              <w:right w:w="43" w:type="dxa"/>
            </w:tcMar>
            <w:vAlign w:val="center"/>
          </w:tcPr>
          <w:p w14:paraId="1826B6A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46</w:t>
            </w:r>
          </w:p>
        </w:tc>
        <w:tc>
          <w:tcPr>
            <w:tcW w:w="130" w:type="pct"/>
            <w:tcBorders>
              <w:bottom w:val="single" w:sz="4" w:space="0" w:color="auto"/>
            </w:tcBorders>
            <w:tcMar>
              <w:left w:w="43" w:type="dxa"/>
              <w:right w:w="43" w:type="dxa"/>
            </w:tcMar>
            <w:vAlign w:val="center"/>
          </w:tcPr>
          <w:p w14:paraId="2039391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56</w:t>
            </w:r>
          </w:p>
        </w:tc>
        <w:tc>
          <w:tcPr>
            <w:tcW w:w="199" w:type="pct"/>
            <w:tcBorders>
              <w:bottom w:val="single" w:sz="4" w:space="0" w:color="auto"/>
            </w:tcBorders>
            <w:tcMar>
              <w:left w:w="43" w:type="dxa"/>
              <w:right w:w="43" w:type="dxa"/>
            </w:tcMar>
            <w:vAlign w:val="center"/>
          </w:tcPr>
          <w:p w14:paraId="4E4F47A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22</w:t>
            </w:r>
          </w:p>
        </w:tc>
        <w:tc>
          <w:tcPr>
            <w:tcW w:w="321" w:type="pct"/>
            <w:tcBorders>
              <w:bottom w:val="single" w:sz="4" w:space="0" w:color="auto"/>
            </w:tcBorders>
            <w:tcMar>
              <w:left w:w="43" w:type="dxa"/>
              <w:right w:w="43" w:type="dxa"/>
            </w:tcMar>
            <w:vAlign w:val="center"/>
          </w:tcPr>
          <w:p w14:paraId="527D6D0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13.03%</w:t>
            </w:r>
          </w:p>
        </w:tc>
        <w:tc>
          <w:tcPr>
            <w:tcW w:w="448" w:type="pct"/>
            <w:tcBorders>
              <w:bottom w:val="single" w:sz="4" w:space="0" w:color="auto"/>
            </w:tcBorders>
            <w:tcMar>
              <w:left w:w="43" w:type="dxa"/>
              <w:right w:w="43" w:type="dxa"/>
            </w:tcMar>
            <w:vAlign w:val="center"/>
          </w:tcPr>
          <w:p w14:paraId="30CD3DD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47.83%</w:t>
            </w:r>
          </w:p>
        </w:tc>
        <w:tc>
          <w:tcPr>
            <w:tcW w:w="362" w:type="pct"/>
            <w:tcBorders>
              <w:bottom w:val="single" w:sz="4" w:space="0" w:color="auto"/>
            </w:tcBorders>
            <w:tcMar>
              <w:left w:w="43" w:type="dxa"/>
              <w:right w:w="43" w:type="dxa"/>
            </w:tcMar>
            <w:vAlign w:val="center"/>
          </w:tcPr>
          <w:p w14:paraId="4CCA9B8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3.01</w:t>
            </w:r>
          </w:p>
        </w:tc>
      </w:tr>
      <w:tr w:rsidR="00FF6F43" w:rsidRPr="00670D91" w14:paraId="5CE347B1" w14:textId="77777777" w:rsidTr="002053E6">
        <w:trPr>
          <w:trHeight w:val="458"/>
        </w:trPr>
        <w:tc>
          <w:tcPr>
            <w:tcW w:w="5000" w:type="pct"/>
            <w:gridSpan w:val="8"/>
            <w:tcBorders>
              <w:top w:val="single" w:sz="4" w:space="0" w:color="auto"/>
              <w:bottom w:val="single" w:sz="4" w:space="0" w:color="auto"/>
            </w:tcBorders>
            <w:tcMar>
              <w:left w:w="43" w:type="dxa"/>
              <w:right w:w="43" w:type="dxa"/>
            </w:tcMar>
            <w:vAlign w:val="center"/>
          </w:tcPr>
          <w:p w14:paraId="633AABF2" w14:textId="77777777" w:rsidR="00FF6F43" w:rsidRPr="00670D91" w:rsidRDefault="00FF6F43" w:rsidP="002053E6">
            <w:pPr>
              <w:jc w:val="center"/>
              <w:rPr>
                <w:rFonts w:ascii="Calibri" w:hAnsi="Calibri" w:cs="Calibri"/>
                <w:b/>
                <w:bCs/>
                <w:color w:val="000000"/>
                <w:sz w:val="20"/>
                <w:szCs w:val="20"/>
                <w:lang w:val="en-US"/>
              </w:rPr>
            </w:pPr>
            <w:r w:rsidRPr="00670D91">
              <w:rPr>
                <w:rFonts w:ascii="Calibri" w:hAnsi="Calibri" w:cs="Calibri"/>
                <w:b/>
                <w:bCs/>
                <w:noProof/>
                <w:color w:val="000000"/>
                <w:sz w:val="20"/>
                <w:szCs w:val="20"/>
                <w:lang w:val="en-US"/>
              </w:rPr>
              <w:t>SPAIN</w:t>
            </w:r>
          </w:p>
        </w:tc>
      </w:tr>
      <w:tr w:rsidR="00FF6F43" w:rsidRPr="00670D91" w14:paraId="0E90F412" w14:textId="77777777" w:rsidTr="002053E6">
        <w:trPr>
          <w:trHeight w:val="317"/>
        </w:trPr>
        <w:tc>
          <w:tcPr>
            <w:tcW w:w="102" w:type="pct"/>
            <w:tcBorders>
              <w:top w:val="single" w:sz="4" w:space="0" w:color="auto"/>
            </w:tcBorders>
            <w:tcMar>
              <w:left w:w="43" w:type="dxa"/>
              <w:right w:w="43" w:type="dxa"/>
            </w:tcMar>
            <w:vAlign w:val="center"/>
          </w:tcPr>
          <w:p w14:paraId="164236E8" w14:textId="77777777" w:rsidR="00FF6F43" w:rsidRPr="00670D91" w:rsidRDefault="00FF6F43" w:rsidP="002053E6">
            <w:pPr>
              <w:jc w:val="right"/>
              <w:rPr>
                <w:rFonts w:ascii="Calibri" w:hAnsi="Calibri" w:cs="Calibri"/>
                <w:color w:val="000000"/>
                <w:sz w:val="20"/>
                <w:szCs w:val="20"/>
                <w:lang w:val="en-US"/>
              </w:rPr>
            </w:pPr>
          </w:p>
        </w:tc>
        <w:tc>
          <w:tcPr>
            <w:tcW w:w="3070" w:type="pct"/>
            <w:tcBorders>
              <w:top w:val="single" w:sz="4" w:space="0" w:color="auto"/>
            </w:tcBorders>
            <w:tcMar>
              <w:left w:w="43" w:type="dxa"/>
              <w:right w:w="43" w:type="dxa"/>
            </w:tcMar>
            <w:vAlign w:val="center"/>
          </w:tcPr>
          <w:p w14:paraId="05412173"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b/>
                <w:bCs/>
                <w:color w:val="000000"/>
                <w:sz w:val="20"/>
                <w:szCs w:val="20"/>
                <w:lang w:val="en-US"/>
              </w:rPr>
              <w:t>Association Rule (X</w:t>
            </w:r>
            <w:r w:rsidRPr="00670D91">
              <w:rPr>
                <w:rFonts w:ascii="Calibri" w:hAnsi="Calibri" w:cs="Calibri"/>
                <w:b/>
                <w:bCs/>
                <w:color w:val="000000"/>
                <w:sz w:val="20"/>
                <w:szCs w:val="20"/>
                <w:lang w:val="en-US"/>
              </w:rPr>
              <w:sym w:font="Wingdings" w:char="F0E0"/>
            </w:r>
            <w:r w:rsidRPr="00670D91">
              <w:rPr>
                <w:rFonts w:ascii="Calibri" w:hAnsi="Calibri" w:cs="Calibri"/>
                <w:b/>
                <w:bCs/>
                <w:color w:val="000000"/>
                <w:sz w:val="20"/>
                <w:szCs w:val="20"/>
                <w:lang w:val="en-US"/>
              </w:rPr>
              <w:t>Y)</w:t>
            </w:r>
          </w:p>
        </w:tc>
        <w:tc>
          <w:tcPr>
            <w:tcW w:w="368" w:type="pct"/>
            <w:tcBorders>
              <w:top w:val="single" w:sz="4" w:space="0" w:color="auto"/>
            </w:tcBorders>
            <w:tcMar>
              <w:left w:w="43" w:type="dxa"/>
              <w:right w:w="43" w:type="dxa"/>
            </w:tcMar>
            <w:vAlign w:val="center"/>
          </w:tcPr>
          <w:p w14:paraId="2EACF0F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{X}</w:t>
            </w:r>
          </w:p>
        </w:tc>
        <w:tc>
          <w:tcPr>
            <w:tcW w:w="130" w:type="pct"/>
            <w:tcBorders>
              <w:top w:val="single" w:sz="4" w:space="0" w:color="auto"/>
            </w:tcBorders>
            <w:tcMar>
              <w:left w:w="43" w:type="dxa"/>
              <w:right w:w="43" w:type="dxa"/>
            </w:tcMar>
            <w:vAlign w:val="center"/>
          </w:tcPr>
          <w:p w14:paraId="3BA5632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{Y}</w:t>
            </w:r>
          </w:p>
        </w:tc>
        <w:tc>
          <w:tcPr>
            <w:tcW w:w="199" w:type="pct"/>
            <w:tcBorders>
              <w:top w:val="single" w:sz="4" w:space="0" w:color="auto"/>
            </w:tcBorders>
            <w:tcMar>
              <w:left w:w="43" w:type="dxa"/>
              <w:right w:w="43" w:type="dxa"/>
            </w:tcMar>
            <w:vAlign w:val="center"/>
          </w:tcPr>
          <w:p w14:paraId="52D91805"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{XY}</w:t>
            </w:r>
          </w:p>
        </w:tc>
        <w:tc>
          <w:tcPr>
            <w:tcW w:w="321" w:type="pct"/>
            <w:tcBorders>
              <w:top w:val="single" w:sz="4" w:space="0" w:color="auto"/>
            </w:tcBorders>
            <w:tcMar>
              <w:left w:w="43" w:type="dxa"/>
              <w:right w:w="43" w:type="dxa"/>
            </w:tcMar>
            <w:vAlign w:val="center"/>
          </w:tcPr>
          <w:p w14:paraId="6D7B5DA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Support</w:t>
            </w:r>
          </w:p>
        </w:tc>
        <w:tc>
          <w:tcPr>
            <w:tcW w:w="448" w:type="pct"/>
            <w:tcBorders>
              <w:top w:val="single" w:sz="4" w:space="0" w:color="auto"/>
            </w:tcBorders>
            <w:tcMar>
              <w:left w:w="43" w:type="dxa"/>
              <w:right w:w="43" w:type="dxa"/>
            </w:tcMar>
            <w:vAlign w:val="center"/>
          </w:tcPr>
          <w:p w14:paraId="30C4570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Confidence</w:t>
            </w:r>
          </w:p>
        </w:tc>
        <w:tc>
          <w:tcPr>
            <w:tcW w:w="362" w:type="pct"/>
            <w:tcBorders>
              <w:top w:val="single" w:sz="4" w:space="0" w:color="auto"/>
            </w:tcBorders>
            <w:tcMar>
              <w:left w:w="43" w:type="dxa"/>
              <w:right w:w="43" w:type="dxa"/>
            </w:tcMar>
            <w:vAlign w:val="center"/>
          </w:tcPr>
          <w:p w14:paraId="774AE06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b/>
                <w:bCs/>
                <w:color w:val="000000"/>
                <w:sz w:val="20"/>
                <w:szCs w:val="20"/>
                <w:lang w:val="en-US"/>
              </w:rPr>
              <w:t>Lift</w:t>
            </w:r>
          </w:p>
        </w:tc>
      </w:tr>
      <w:tr w:rsidR="00FF6F43" w:rsidRPr="00670D91" w14:paraId="1C7E5C70" w14:textId="77777777" w:rsidTr="002053E6">
        <w:trPr>
          <w:trHeight w:val="317"/>
        </w:trPr>
        <w:tc>
          <w:tcPr>
            <w:tcW w:w="102" w:type="pct"/>
            <w:tcBorders>
              <w:top w:val="single" w:sz="4" w:space="0" w:color="auto"/>
            </w:tcBorders>
            <w:tcMar>
              <w:left w:w="43" w:type="dxa"/>
              <w:right w:w="43" w:type="dxa"/>
            </w:tcMar>
            <w:vAlign w:val="center"/>
          </w:tcPr>
          <w:p w14:paraId="69EFFFD3"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lastRenderedPageBreak/>
              <w:t>1</w:t>
            </w:r>
          </w:p>
        </w:tc>
        <w:tc>
          <w:tcPr>
            <w:tcW w:w="3070" w:type="pct"/>
            <w:tcBorders>
              <w:top w:val="single" w:sz="4" w:space="0" w:color="auto"/>
            </w:tcBorders>
            <w:tcMar>
              <w:left w:w="43" w:type="dxa"/>
              <w:right w:w="43" w:type="dxa"/>
            </w:tcMar>
            <w:vAlign w:val="center"/>
          </w:tcPr>
          <w:p w14:paraId="37361EB7"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 xml:space="preserve">(psychopharmacological treatment = yes)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Borders>
              <w:top w:val="single" w:sz="4" w:space="0" w:color="auto"/>
            </w:tcBorders>
            <w:tcMar>
              <w:left w:w="43" w:type="dxa"/>
              <w:right w:w="43" w:type="dxa"/>
            </w:tcMar>
            <w:vAlign w:val="center"/>
          </w:tcPr>
          <w:p w14:paraId="32451CE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8</w:t>
            </w:r>
          </w:p>
        </w:tc>
        <w:tc>
          <w:tcPr>
            <w:tcW w:w="130" w:type="pct"/>
            <w:tcBorders>
              <w:top w:val="single" w:sz="4" w:space="0" w:color="auto"/>
            </w:tcBorders>
            <w:tcMar>
              <w:left w:w="43" w:type="dxa"/>
              <w:right w:w="43" w:type="dxa"/>
            </w:tcMar>
            <w:vAlign w:val="center"/>
          </w:tcPr>
          <w:p w14:paraId="2071F21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199" w:type="pct"/>
            <w:tcBorders>
              <w:top w:val="single" w:sz="4" w:space="0" w:color="auto"/>
            </w:tcBorders>
            <w:tcMar>
              <w:left w:w="43" w:type="dxa"/>
              <w:right w:w="43" w:type="dxa"/>
            </w:tcMar>
            <w:vAlign w:val="center"/>
          </w:tcPr>
          <w:p w14:paraId="4E61ADC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Borders>
              <w:top w:val="single" w:sz="4" w:space="0" w:color="auto"/>
            </w:tcBorders>
            <w:tcMar>
              <w:left w:w="43" w:type="dxa"/>
              <w:right w:w="43" w:type="dxa"/>
            </w:tcMar>
            <w:vAlign w:val="center"/>
          </w:tcPr>
          <w:p w14:paraId="14549F6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6.02%</w:t>
            </w:r>
          </w:p>
        </w:tc>
        <w:tc>
          <w:tcPr>
            <w:tcW w:w="448" w:type="pct"/>
            <w:tcBorders>
              <w:top w:val="single" w:sz="4" w:space="0" w:color="auto"/>
            </w:tcBorders>
            <w:tcMar>
              <w:left w:w="43" w:type="dxa"/>
              <w:right w:w="43" w:type="dxa"/>
            </w:tcMar>
            <w:vAlign w:val="center"/>
          </w:tcPr>
          <w:p w14:paraId="0D752DA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37.50%</w:t>
            </w:r>
          </w:p>
        </w:tc>
        <w:tc>
          <w:tcPr>
            <w:tcW w:w="362" w:type="pct"/>
            <w:tcBorders>
              <w:top w:val="single" w:sz="4" w:space="0" w:color="auto"/>
            </w:tcBorders>
            <w:tcMar>
              <w:left w:w="43" w:type="dxa"/>
              <w:right w:w="43" w:type="dxa"/>
            </w:tcMar>
            <w:vAlign w:val="center"/>
          </w:tcPr>
          <w:p w14:paraId="63645E3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9.98</w:t>
            </w:r>
          </w:p>
        </w:tc>
      </w:tr>
      <w:tr w:rsidR="00FF6F43" w:rsidRPr="00670D91" w14:paraId="15D79E2F" w14:textId="77777777" w:rsidTr="002053E6">
        <w:trPr>
          <w:trHeight w:val="317"/>
        </w:trPr>
        <w:tc>
          <w:tcPr>
            <w:tcW w:w="102" w:type="pct"/>
            <w:tcMar>
              <w:left w:w="43" w:type="dxa"/>
              <w:right w:w="43" w:type="dxa"/>
            </w:tcMar>
            <w:vAlign w:val="center"/>
          </w:tcPr>
          <w:p w14:paraId="36ACF7F9"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2</w:t>
            </w:r>
          </w:p>
        </w:tc>
        <w:tc>
          <w:tcPr>
            <w:tcW w:w="3070" w:type="pct"/>
            <w:tcMar>
              <w:left w:w="43" w:type="dxa"/>
              <w:right w:w="43" w:type="dxa"/>
            </w:tcMar>
            <w:vAlign w:val="center"/>
          </w:tcPr>
          <w:p w14:paraId="24B1E9A5"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PSQI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[11,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585D1EC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130" w:type="pct"/>
            <w:tcMar>
              <w:left w:w="43" w:type="dxa"/>
              <w:right w:w="43" w:type="dxa"/>
            </w:tcMar>
            <w:vAlign w:val="center"/>
          </w:tcPr>
          <w:p w14:paraId="0772AF35"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199" w:type="pct"/>
            <w:tcMar>
              <w:left w:w="43" w:type="dxa"/>
              <w:right w:w="43" w:type="dxa"/>
            </w:tcMar>
            <w:vAlign w:val="center"/>
          </w:tcPr>
          <w:p w14:paraId="55B841D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18C2E12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7.52%</w:t>
            </w:r>
          </w:p>
        </w:tc>
        <w:tc>
          <w:tcPr>
            <w:tcW w:w="448" w:type="pct"/>
            <w:tcMar>
              <w:left w:w="43" w:type="dxa"/>
              <w:right w:w="43" w:type="dxa"/>
            </w:tcMar>
            <w:vAlign w:val="center"/>
          </w:tcPr>
          <w:p w14:paraId="074434F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30.00%</w:t>
            </w:r>
          </w:p>
        </w:tc>
        <w:tc>
          <w:tcPr>
            <w:tcW w:w="362" w:type="pct"/>
            <w:tcMar>
              <w:left w:w="43" w:type="dxa"/>
              <w:right w:w="43" w:type="dxa"/>
            </w:tcMar>
            <w:vAlign w:val="center"/>
          </w:tcPr>
          <w:p w14:paraId="5EAFB5A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7.98</w:t>
            </w:r>
          </w:p>
        </w:tc>
      </w:tr>
      <w:tr w:rsidR="00FF6F43" w:rsidRPr="00670D91" w14:paraId="324CF7C2" w14:textId="77777777" w:rsidTr="002053E6">
        <w:trPr>
          <w:trHeight w:val="317"/>
        </w:trPr>
        <w:tc>
          <w:tcPr>
            <w:tcW w:w="102" w:type="pct"/>
            <w:tcMar>
              <w:left w:w="43" w:type="dxa"/>
              <w:right w:w="43" w:type="dxa"/>
            </w:tcMar>
            <w:vAlign w:val="center"/>
          </w:tcPr>
          <w:p w14:paraId="0BDC2980"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070" w:type="pct"/>
            <w:tcMar>
              <w:left w:w="43" w:type="dxa"/>
              <w:right w:w="43" w:type="dxa"/>
            </w:tcMar>
            <w:vAlign w:val="center"/>
          </w:tcPr>
          <w:p w14:paraId="1830BE5D"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p>
        </w:tc>
        <w:tc>
          <w:tcPr>
            <w:tcW w:w="368" w:type="pct"/>
            <w:tcMar>
              <w:left w:w="43" w:type="dxa"/>
              <w:right w:w="43" w:type="dxa"/>
            </w:tcMar>
            <w:vAlign w:val="center"/>
          </w:tcPr>
          <w:p w14:paraId="2103A55E"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17</w:t>
            </w:r>
          </w:p>
        </w:tc>
        <w:tc>
          <w:tcPr>
            <w:tcW w:w="130" w:type="pct"/>
            <w:tcMar>
              <w:left w:w="43" w:type="dxa"/>
              <w:right w:w="43" w:type="dxa"/>
            </w:tcMar>
            <w:vAlign w:val="center"/>
          </w:tcPr>
          <w:p w14:paraId="23EBC7B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199" w:type="pct"/>
            <w:tcMar>
              <w:left w:w="43" w:type="dxa"/>
              <w:right w:w="43" w:type="dxa"/>
            </w:tcMar>
            <w:vAlign w:val="center"/>
          </w:tcPr>
          <w:p w14:paraId="275A672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5234975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12.78%</w:t>
            </w:r>
          </w:p>
        </w:tc>
        <w:tc>
          <w:tcPr>
            <w:tcW w:w="448" w:type="pct"/>
            <w:tcMar>
              <w:left w:w="43" w:type="dxa"/>
              <w:right w:w="43" w:type="dxa"/>
            </w:tcMar>
            <w:vAlign w:val="center"/>
          </w:tcPr>
          <w:p w14:paraId="469FB43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17.65%</w:t>
            </w:r>
          </w:p>
        </w:tc>
        <w:tc>
          <w:tcPr>
            <w:tcW w:w="362" w:type="pct"/>
            <w:tcMar>
              <w:left w:w="43" w:type="dxa"/>
              <w:right w:w="43" w:type="dxa"/>
            </w:tcMar>
            <w:vAlign w:val="center"/>
          </w:tcPr>
          <w:p w14:paraId="77D144E5"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7.82</w:t>
            </w:r>
          </w:p>
        </w:tc>
      </w:tr>
      <w:tr w:rsidR="00FF6F43" w:rsidRPr="00670D91" w14:paraId="571E7644" w14:textId="77777777" w:rsidTr="002053E6">
        <w:trPr>
          <w:trHeight w:val="317"/>
        </w:trPr>
        <w:tc>
          <w:tcPr>
            <w:tcW w:w="102" w:type="pct"/>
            <w:tcMar>
              <w:left w:w="43" w:type="dxa"/>
              <w:right w:w="43" w:type="dxa"/>
            </w:tcMar>
            <w:vAlign w:val="center"/>
          </w:tcPr>
          <w:p w14:paraId="4DC99CFA"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4</w:t>
            </w:r>
          </w:p>
        </w:tc>
        <w:tc>
          <w:tcPr>
            <w:tcW w:w="3070" w:type="pct"/>
            <w:tcMar>
              <w:left w:w="43" w:type="dxa"/>
              <w:right w:w="43" w:type="dxa"/>
            </w:tcMar>
            <w:vAlign w:val="center"/>
          </w:tcPr>
          <w:p w14:paraId="4A97F1F2"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p>
        </w:tc>
        <w:tc>
          <w:tcPr>
            <w:tcW w:w="368" w:type="pct"/>
            <w:tcMar>
              <w:left w:w="43" w:type="dxa"/>
              <w:right w:w="43" w:type="dxa"/>
            </w:tcMar>
            <w:vAlign w:val="center"/>
          </w:tcPr>
          <w:p w14:paraId="4229A38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18</w:t>
            </w:r>
          </w:p>
        </w:tc>
        <w:tc>
          <w:tcPr>
            <w:tcW w:w="130" w:type="pct"/>
            <w:tcMar>
              <w:left w:w="43" w:type="dxa"/>
              <w:right w:w="43" w:type="dxa"/>
            </w:tcMar>
            <w:vAlign w:val="center"/>
          </w:tcPr>
          <w:p w14:paraId="52748C3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199" w:type="pct"/>
            <w:tcMar>
              <w:left w:w="43" w:type="dxa"/>
              <w:right w:w="43" w:type="dxa"/>
            </w:tcMar>
            <w:vAlign w:val="center"/>
          </w:tcPr>
          <w:p w14:paraId="5C3365E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3AD945E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13.53%</w:t>
            </w:r>
          </w:p>
        </w:tc>
        <w:tc>
          <w:tcPr>
            <w:tcW w:w="448" w:type="pct"/>
            <w:tcMar>
              <w:left w:w="43" w:type="dxa"/>
              <w:right w:w="43" w:type="dxa"/>
            </w:tcMar>
            <w:vAlign w:val="center"/>
          </w:tcPr>
          <w:p w14:paraId="3C5B99D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16.67%</w:t>
            </w:r>
          </w:p>
        </w:tc>
        <w:tc>
          <w:tcPr>
            <w:tcW w:w="362" w:type="pct"/>
            <w:tcMar>
              <w:left w:w="43" w:type="dxa"/>
              <w:right w:w="43" w:type="dxa"/>
            </w:tcMar>
            <w:vAlign w:val="center"/>
          </w:tcPr>
          <w:p w14:paraId="2129AEAA"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7.39</w:t>
            </w:r>
          </w:p>
        </w:tc>
      </w:tr>
      <w:tr w:rsidR="00FF6F43" w:rsidRPr="00670D91" w14:paraId="638949BA" w14:textId="77777777" w:rsidTr="002053E6">
        <w:trPr>
          <w:trHeight w:val="317"/>
        </w:trPr>
        <w:tc>
          <w:tcPr>
            <w:tcW w:w="102" w:type="pct"/>
            <w:tcMar>
              <w:left w:w="43" w:type="dxa"/>
              <w:right w:w="43" w:type="dxa"/>
            </w:tcMar>
            <w:vAlign w:val="center"/>
          </w:tcPr>
          <w:p w14:paraId="46ABE59F"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3070" w:type="pct"/>
            <w:tcMar>
              <w:left w:w="43" w:type="dxa"/>
              <w:right w:w="43" w:type="dxa"/>
            </w:tcMar>
            <w:vAlign w:val="center"/>
          </w:tcPr>
          <w:p w14:paraId="4B94D336"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27779F4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21</w:t>
            </w:r>
          </w:p>
        </w:tc>
        <w:tc>
          <w:tcPr>
            <w:tcW w:w="130" w:type="pct"/>
            <w:tcMar>
              <w:left w:w="43" w:type="dxa"/>
              <w:right w:w="43" w:type="dxa"/>
            </w:tcMar>
            <w:vAlign w:val="center"/>
          </w:tcPr>
          <w:p w14:paraId="3326266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199" w:type="pct"/>
            <w:tcMar>
              <w:left w:w="43" w:type="dxa"/>
              <w:right w:w="43" w:type="dxa"/>
            </w:tcMar>
            <w:vAlign w:val="center"/>
          </w:tcPr>
          <w:p w14:paraId="599C45C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5B2E205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15.79%</w:t>
            </w:r>
          </w:p>
        </w:tc>
        <w:tc>
          <w:tcPr>
            <w:tcW w:w="448" w:type="pct"/>
            <w:tcMar>
              <w:left w:w="43" w:type="dxa"/>
              <w:right w:w="43" w:type="dxa"/>
            </w:tcMar>
            <w:vAlign w:val="center"/>
          </w:tcPr>
          <w:p w14:paraId="139B67C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14.29%</w:t>
            </w:r>
          </w:p>
        </w:tc>
        <w:tc>
          <w:tcPr>
            <w:tcW w:w="362" w:type="pct"/>
            <w:tcMar>
              <w:left w:w="43" w:type="dxa"/>
              <w:right w:w="43" w:type="dxa"/>
            </w:tcMar>
            <w:vAlign w:val="center"/>
          </w:tcPr>
          <w:p w14:paraId="4BE9CDC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6.33</w:t>
            </w:r>
          </w:p>
        </w:tc>
      </w:tr>
      <w:tr w:rsidR="00FF6F43" w:rsidRPr="00670D91" w14:paraId="65CAF5A9" w14:textId="77777777" w:rsidTr="002053E6">
        <w:trPr>
          <w:trHeight w:val="317"/>
        </w:trPr>
        <w:tc>
          <w:tcPr>
            <w:tcW w:w="102" w:type="pct"/>
            <w:tcMar>
              <w:left w:w="43" w:type="dxa"/>
              <w:right w:w="43" w:type="dxa"/>
            </w:tcMar>
            <w:vAlign w:val="center"/>
          </w:tcPr>
          <w:p w14:paraId="24DE4202"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6</w:t>
            </w:r>
          </w:p>
        </w:tc>
        <w:tc>
          <w:tcPr>
            <w:tcW w:w="3070" w:type="pct"/>
            <w:tcMar>
              <w:left w:w="43" w:type="dxa"/>
              <w:right w:w="43" w:type="dxa"/>
            </w:tcMar>
            <w:vAlign w:val="center"/>
          </w:tcPr>
          <w:p w14:paraId="7D970D9B"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26F1ED1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13</w:t>
            </w:r>
          </w:p>
        </w:tc>
        <w:tc>
          <w:tcPr>
            <w:tcW w:w="130" w:type="pct"/>
            <w:tcMar>
              <w:left w:w="43" w:type="dxa"/>
              <w:right w:w="43" w:type="dxa"/>
            </w:tcMar>
            <w:vAlign w:val="center"/>
          </w:tcPr>
          <w:p w14:paraId="2A20857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199" w:type="pct"/>
            <w:tcMar>
              <w:left w:w="43" w:type="dxa"/>
              <w:right w:w="43" w:type="dxa"/>
            </w:tcMar>
            <w:vAlign w:val="center"/>
          </w:tcPr>
          <w:p w14:paraId="3CACC30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4AC1CD9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9.77%</w:t>
            </w:r>
          </w:p>
        </w:tc>
        <w:tc>
          <w:tcPr>
            <w:tcW w:w="448" w:type="pct"/>
            <w:tcMar>
              <w:left w:w="43" w:type="dxa"/>
              <w:right w:w="43" w:type="dxa"/>
            </w:tcMar>
            <w:vAlign w:val="center"/>
          </w:tcPr>
          <w:p w14:paraId="07F9C81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23.08%</w:t>
            </w:r>
          </w:p>
        </w:tc>
        <w:tc>
          <w:tcPr>
            <w:tcW w:w="362" w:type="pct"/>
            <w:tcMar>
              <w:left w:w="43" w:type="dxa"/>
              <w:right w:w="43" w:type="dxa"/>
            </w:tcMar>
            <w:vAlign w:val="center"/>
          </w:tcPr>
          <w:p w14:paraId="147EF6B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6.14</w:t>
            </w:r>
          </w:p>
        </w:tc>
      </w:tr>
      <w:tr w:rsidR="00FF6F43" w:rsidRPr="00670D91" w14:paraId="35523C51" w14:textId="77777777" w:rsidTr="002053E6">
        <w:trPr>
          <w:trHeight w:val="317"/>
        </w:trPr>
        <w:tc>
          <w:tcPr>
            <w:tcW w:w="102" w:type="pct"/>
            <w:tcMar>
              <w:left w:w="43" w:type="dxa"/>
              <w:right w:w="43" w:type="dxa"/>
            </w:tcMar>
            <w:vAlign w:val="center"/>
          </w:tcPr>
          <w:p w14:paraId="363F3CEC"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7</w:t>
            </w:r>
          </w:p>
        </w:tc>
        <w:tc>
          <w:tcPr>
            <w:tcW w:w="3070" w:type="pct"/>
            <w:tcMar>
              <w:left w:w="43" w:type="dxa"/>
              <w:right w:w="43" w:type="dxa"/>
            </w:tcMar>
            <w:vAlign w:val="center"/>
          </w:tcPr>
          <w:p w14:paraId="3310EC1F"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p>
        </w:tc>
        <w:tc>
          <w:tcPr>
            <w:tcW w:w="368" w:type="pct"/>
            <w:tcMar>
              <w:left w:w="43" w:type="dxa"/>
              <w:right w:w="43" w:type="dxa"/>
            </w:tcMar>
            <w:vAlign w:val="center"/>
          </w:tcPr>
          <w:p w14:paraId="2B3F388E"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28</w:t>
            </w:r>
          </w:p>
        </w:tc>
        <w:tc>
          <w:tcPr>
            <w:tcW w:w="130" w:type="pct"/>
            <w:tcMar>
              <w:left w:w="43" w:type="dxa"/>
              <w:right w:w="43" w:type="dxa"/>
            </w:tcMar>
            <w:vAlign w:val="center"/>
          </w:tcPr>
          <w:p w14:paraId="33696A8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199" w:type="pct"/>
            <w:tcMar>
              <w:left w:w="43" w:type="dxa"/>
              <w:right w:w="43" w:type="dxa"/>
            </w:tcMar>
            <w:vAlign w:val="center"/>
          </w:tcPr>
          <w:p w14:paraId="6E28160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12E10C3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21.05%</w:t>
            </w:r>
          </w:p>
        </w:tc>
        <w:tc>
          <w:tcPr>
            <w:tcW w:w="448" w:type="pct"/>
            <w:tcMar>
              <w:left w:w="43" w:type="dxa"/>
              <w:right w:w="43" w:type="dxa"/>
            </w:tcMar>
            <w:vAlign w:val="center"/>
          </w:tcPr>
          <w:p w14:paraId="5E9E6A87"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10.71%</w:t>
            </w:r>
          </w:p>
        </w:tc>
        <w:tc>
          <w:tcPr>
            <w:tcW w:w="362" w:type="pct"/>
            <w:tcMar>
              <w:left w:w="43" w:type="dxa"/>
              <w:right w:w="43" w:type="dxa"/>
            </w:tcMar>
            <w:vAlign w:val="center"/>
          </w:tcPr>
          <w:p w14:paraId="7E69A0FE"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4.75</w:t>
            </w:r>
          </w:p>
        </w:tc>
      </w:tr>
      <w:tr w:rsidR="00FF6F43" w:rsidRPr="00670D91" w14:paraId="2131CC11" w14:textId="77777777" w:rsidTr="002053E6">
        <w:trPr>
          <w:trHeight w:val="317"/>
        </w:trPr>
        <w:tc>
          <w:tcPr>
            <w:tcW w:w="102" w:type="pct"/>
            <w:tcMar>
              <w:left w:w="43" w:type="dxa"/>
              <w:right w:w="43" w:type="dxa"/>
            </w:tcMar>
            <w:vAlign w:val="center"/>
          </w:tcPr>
          <w:p w14:paraId="2EE0B5A3"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8</w:t>
            </w:r>
          </w:p>
        </w:tc>
        <w:tc>
          <w:tcPr>
            <w:tcW w:w="3070" w:type="pct"/>
            <w:tcMar>
              <w:left w:w="43" w:type="dxa"/>
              <w:right w:w="43" w:type="dxa"/>
            </w:tcMar>
            <w:vAlign w:val="center"/>
          </w:tcPr>
          <w:p w14:paraId="7DA4E941"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r w:rsidRPr="00670D91">
              <w:rPr>
                <w:rFonts w:ascii="Calibri" w:hAnsi="Calibri" w:cs="Calibri"/>
                <w:noProof/>
                <w:color w:val="000000"/>
                <w:sz w:val="20"/>
                <w:szCs w:val="20"/>
                <w:lang w:val="en-US"/>
              </w:rPr>
              <w:t xml:space="preserve"> &amp; </w:t>
            </w:r>
            <w:r w:rsidRPr="00670D91">
              <w:rPr>
                <w:rFonts w:ascii="Calibri" w:hAnsi="Calibri" w:cs="Calibri"/>
                <w:sz w:val="20"/>
                <w:szCs w:val="20"/>
                <w:lang w:val="en-US"/>
              </w:rPr>
              <w:t xml:space="preserve">PHQ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27]</w:t>
            </w:r>
          </w:p>
        </w:tc>
        <w:tc>
          <w:tcPr>
            <w:tcW w:w="368" w:type="pct"/>
            <w:tcMar>
              <w:left w:w="43" w:type="dxa"/>
              <w:right w:w="43" w:type="dxa"/>
            </w:tcMar>
            <w:vAlign w:val="center"/>
          </w:tcPr>
          <w:p w14:paraId="3A9567E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28</w:t>
            </w:r>
          </w:p>
        </w:tc>
        <w:tc>
          <w:tcPr>
            <w:tcW w:w="130" w:type="pct"/>
            <w:tcMar>
              <w:left w:w="43" w:type="dxa"/>
              <w:right w:w="43" w:type="dxa"/>
            </w:tcMar>
            <w:vAlign w:val="center"/>
          </w:tcPr>
          <w:p w14:paraId="10C034E2"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199" w:type="pct"/>
            <w:tcMar>
              <w:left w:w="43" w:type="dxa"/>
              <w:right w:w="43" w:type="dxa"/>
            </w:tcMar>
            <w:vAlign w:val="center"/>
          </w:tcPr>
          <w:p w14:paraId="38B97068"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3D1A295D"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21.05%</w:t>
            </w:r>
          </w:p>
        </w:tc>
        <w:tc>
          <w:tcPr>
            <w:tcW w:w="448" w:type="pct"/>
            <w:tcMar>
              <w:left w:w="43" w:type="dxa"/>
              <w:right w:w="43" w:type="dxa"/>
            </w:tcMar>
            <w:vAlign w:val="center"/>
          </w:tcPr>
          <w:p w14:paraId="2FB1979F"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10.71%</w:t>
            </w:r>
          </w:p>
        </w:tc>
        <w:tc>
          <w:tcPr>
            <w:tcW w:w="362" w:type="pct"/>
            <w:tcMar>
              <w:left w:w="43" w:type="dxa"/>
              <w:right w:w="43" w:type="dxa"/>
            </w:tcMar>
            <w:vAlign w:val="center"/>
          </w:tcPr>
          <w:p w14:paraId="4B128980"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4.75</w:t>
            </w:r>
          </w:p>
        </w:tc>
      </w:tr>
      <w:tr w:rsidR="00FF6F43" w:rsidRPr="00670D91" w14:paraId="54015AD0" w14:textId="77777777" w:rsidTr="002053E6">
        <w:trPr>
          <w:trHeight w:val="317"/>
        </w:trPr>
        <w:tc>
          <w:tcPr>
            <w:tcW w:w="102" w:type="pct"/>
            <w:tcMar>
              <w:left w:w="43" w:type="dxa"/>
              <w:right w:w="43" w:type="dxa"/>
            </w:tcMar>
            <w:vAlign w:val="center"/>
          </w:tcPr>
          <w:p w14:paraId="0E6E767B"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9</w:t>
            </w:r>
          </w:p>
        </w:tc>
        <w:tc>
          <w:tcPr>
            <w:tcW w:w="3070" w:type="pct"/>
            <w:tcMar>
              <w:left w:w="43" w:type="dxa"/>
              <w:right w:w="43" w:type="dxa"/>
            </w:tcMar>
            <w:vAlign w:val="center"/>
          </w:tcPr>
          <w:p w14:paraId="3EC3F90B"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Mar>
              <w:left w:w="43" w:type="dxa"/>
              <w:right w:w="43" w:type="dxa"/>
            </w:tcMar>
            <w:vAlign w:val="center"/>
          </w:tcPr>
          <w:p w14:paraId="7F35E2D9"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28</w:t>
            </w:r>
          </w:p>
        </w:tc>
        <w:tc>
          <w:tcPr>
            <w:tcW w:w="130" w:type="pct"/>
            <w:tcMar>
              <w:left w:w="43" w:type="dxa"/>
              <w:right w:w="43" w:type="dxa"/>
            </w:tcMar>
            <w:vAlign w:val="center"/>
          </w:tcPr>
          <w:p w14:paraId="514CA67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199" w:type="pct"/>
            <w:tcMar>
              <w:left w:w="43" w:type="dxa"/>
              <w:right w:w="43" w:type="dxa"/>
            </w:tcMar>
            <w:vAlign w:val="center"/>
          </w:tcPr>
          <w:p w14:paraId="049A814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Mar>
              <w:left w:w="43" w:type="dxa"/>
              <w:right w:w="43" w:type="dxa"/>
            </w:tcMar>
            <w:vAlign w:val="center"/>
          </w:tcPr>
          <w:p w14:paraId="365EC2D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21.05%</w:t>
            </w:r>
          </w:p>
        </w:tc>
        <w:tc>
          <w:tcPr>
            <w:tcW w:w="448" w:type="pct"/>
            <w:tcMar>
              <w:left w:w="43" w:type="dxa"/>
              <w:right w:w="43" w:type="dxa"/>
            </w:tcMar>
            <w:vAlign w:val="center"/>
          </w:tcPr>
          <w:p w14:paraId="6C6636A1"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10.71%</w:t>
            </w:r>
          </w:p>
        </w:tc>
        <w:tc>
          <w:tcPr>
            <w:tcW w:w="362" w:type="pct"/>
            <w:tcMar>
              <w:left w:w="43" w:type="dxa"/>
              <w:right w:w="43" w:type="dxa"/>
            </w:tcMar>
            <w:vAlign w:val="center"/>
          </w:tcPr>
          <w:p w14:paraId="284AADF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4.75</w:t>
            </w:r>
          </w:p>
        </w:tc>
      </w:tr>
      <w:tr w:rsidR="00FF6F43" w:rsidRPr="00670D91" w14:paraId="70AAFC10" w14:textId="77777777" w:rsidTr="002053E6">
        <w:trPr>
          <w:trHeight w:val="317"/>
        </w:trPr>
        <w:tc>
          <w:tcPr>
            <w:tcW w:w="102" w:type="pct"/>
            <w:tcBorders>
              <w:bottom w:val="single" w:sz="4" w:space="0" w:color="auto"/>
            </w:tcBorders>
            <w:tcMar>
              <w:left w:w="43" w:type="dxa"/>
              <w:right w:w="43" w:type="dxa"/>
            </w:tcMar>
            <w:vAlign w:val="center"/>
          </w:tcPr>
          <w:p w14:paraId="5305B53A" w14:textId="77777777" w:rsidR="00FF6F43" w:rsidRPr="00670D91" w:rsidRDefault="00FF6F43" w:rsidP="002053E6">
            <w:pPr>
              <w:jc w:val="right"/>
              <w:rPr>
                <w:rFonts w:ascii="Calibri" w:hAnsi="Calibri" w:cs="Calibri"/>
                <w:color w:val="000000"/>
                <w:sz w:val="20"/>
                <w:szCs w:val="20"/>
                <w:lang w:val="en-US"/>
              </w:rPr>
            </w:pPr>
            <w:r w:rsidRPr="00670D91">
              <w:rPr>
                <w:rFonts w:ascii="Calibri" w:hAnsi="Calibri" w:cs="Calibri"/>
                <w:color w:val="000000"/>
                <w:sz w:val="20"/>
                <w:szCs w:val="20"/>
                <w:lang w:val="en-US"/>
              </w:rPr>
              <w:t>10</w:t>
            </w:r>
          </w:p>
        </w:tc>
        <w:tc>
          <w:tcPr>
            <w:tcW w:w="3070" w:type="pct"/>
            <w:tcBorders>
              <w:bottom w:val="single" w:sz="4" w:space="0" w:color="auto"/>
            </w:tcBorders>
            <w:tcMar>
              <w:left w:w="43" w:type="dxa"/>
              <w:right w:w="43" w:type="dxa"/>
            </w:tcMar>
            <w:vAlign w:val="center"/>
          </w:tcPr>
          <w:p w14:paraId="1D065FD8" w14:textId="77777777" w:rsidR="00FF6F43" w:rsidRPr="00670D91" w:rsidRDefault="00FF6F43" w:rsidP="002053E6">
            <w:pPr>
              <w:jc w:val="center"/>
              <w:rPr>
                <w:rFonts w:ascii="Calibri" w:hAnsi="Calibri" w:cs="Calibri"/>
                <w:noProof/>
                <w:color w:val="000000"/>
                <w:sz w:val="20"/>
                <w:szCs w:val="20"/>
                <w:lang w:val="en-US"/>
              </w:rPr>
            </w:pPr>
            <w:r w:rsidRPr="00670D91">
              <w:rPr>
                <w:rFonts w:ascii="Calibri" w:hAnsi="Calibri" w:cs="Calibri"/>
                <w:noProof/>
                <w:color w:val="000000"/>
                <w:sz w:val="20"/>
                <w:szCs w:val="20"/>
                <w:lang w:val="en-US"/>
              </w:rPr>
              <w:t>(</w:t>
            </w:r>
            <w:r>
              <w:rPr>
                <w:rFonts w:ascii="Calibri" w:hAnsi="Calibri" w:cs="Calibri"/>
                <w:noProof/>
                <w:color w:val="000000"/>
                <w:sz w:val="20"/>
                <w:szCs w:val="20"/>
                <w:lang w:val="en-US"/>
              </w:rPr>
              <w:t>COVID</w:t>
            </w:r>
            <w:r w:rsidRPr="00670D91">
              <w:rPr>
                <w:rFonts w:ascii="Calibri" w:hAnsi="Calibri" w:cs="Calibri"/>
                <w:noProof/>
                <w:color w:val="000000"/>
                <w:sz w:val="20"/>
                <w:szCs w:val="20"/>
                <w:lang w:val="en-US"/>
              </w:rPr>
              <w:t xml:space="preserve"> in family = yes) &amp; </w:t>
            </w:r>
            <w:r w:rsidRPr="00670D91">
              <w:rPr>
                <w:rFonts w:ascii="Calibri" w:hAnsi="Calibri" w:cs="Calibri"/>
                <w:sz w:val="20"/>
                <w:szCs w:val="20"/>
                <w:lang w:val="en-US"/>
              </w:rPr>
              <w:t xml:space="preserve">GAD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[10, 21]</w:t>
            </w:r>
            <w:r w:rsidRPr="00670D91">
              <w:rPr>
                <w:rFonts w:ascii="Calibri" w:hAnsi="Calibri" w:cs="Calibri"/>
                <w:noProof/>
                <w:color w:val="000000"/>
                <w:sz w:val="20"/>
                <w:szCs w:val="20"/>
                <w:lang w:val="en-US"/>
              </w:rPr>
              <w:t xml:space="preserve"> </w:t>
            </w:r>
            <w:r w:rsidRPr="00670D91">
              <w:rPr>
                <w:rFonts w:ascii="Calibri" w:hAnsi="Calibri" w:cs="Calibri"/>
                <w:noProof/>
                <w:color w:val="000000"/>
                <w:sz w:val="20"/>
                <w:szCs w:val="20"/>
                <w:lang w:val="en-US"/>
              </w:rPr>
              <w:sym w:font="Wingdings" w:char="F0E0"/>
            </w:r>
            <w:r w:rsidRPr="00670D91">
              <w:rPr>
                <w:rFonts w:ascii="Calibri" w:hAnsi="Calibri" w:cs="Calibri"/>
                <w:noProof/>
                <w:color w:val="000000"/>
                <w:sz w:val="20"/>
                <w:szCs w:val="20"/>
                <w:lang w:val="en-US"/>
              </w:rPr>
              <w:t xml:space="preserve"> </w:t>
            </w:r>
            <w:r w:rsidRPr="00670D91">
              <w:rPr>
                <w:rFonts w:ascii="Calibri" w:hAnsi="Calibri" w:cs="Calibri"/>
                <w:sz w:val="20"/>
                <w:szCs w:val="20"/>
                <w:lang w:val="en-US"/>
              </w:rPr>
              <w:t xml:space="preserve">CAPE </w:t>
            </w:r>
            <w:r w:rsidRPr="00670D91">
              <w:rPr>
                <w:rFonts w:ascii="Cambria Math" w:hAnsi="Cambria Math" w:cs="Cambria Math"/>
                <w:sz w:val="20"/>
                <w:szCs w:val="20"/>
                <w:lang w:val="en-US"/>
              </w:rPr>
              <w:t>∈</w:t>
            </w:r>
            <w:r w:rsidRPr="00670D91">
              <w:rPr>
                <w:rFonts w:ascii="Calibri" w:hAnsi="Calibri" w:cs="Calibri"/>
                <w:sz w:val="20"/>
                <w:szCs w:val="20"/>
                <w:lang w:val="en-US"/>
              </w:rPr>
              <w:t xml:space="preserve"> [38, 62]</w:t>
            </w:r>
          </w:p>
        </w:tc>
        <w:tc>
          <w:tcPr>
            <w:tcW w:w="368" w:type="pct"/>
            <w:tcBorders>
              <w:bottom w:val="single" w:sz="4" w:space="0" w:color="auto"/>
            </w:tcBorders>
            <w:tcMar>
              <w:left w:w="43" w:type="dxa"/>
              <w:right w:w="43" w:type="dxa"/>
            </w:tcMar>
            <w:vAlign w:val="center"/>
          </w:tcPr>
          <w:p w14:paraId="189798EB"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17</w:t>
            </w:r>
          </w:p>
        </w:tc>
        <w:tc>
          <w:tcPr>
            <w:tcW w:w="130" w:type="pct"/>
            <w:tcBorders>
              <w:bottom w:val="single" w:sz="4" w:space="0" w:color="auto"/>
            </w:tcBorders>
            <w:tcMar>
              <w:left w:w="43" w:type="dxa"/>
              <w:right w:w="43" w:type="dxa"/>
            </w:tcMar>
            <w:vAlign w:val="center"/>
          </w:tcPr>
          <w:p w14:paraId="0AD232BC"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5</w:t>
            </w:r>
          </w:p>
        </w:tc>
        <w:tc>
          <w:tcPr>
            <w:tcW w:w="199" w:type="pct"/>
            <w:tcBorders>
              <w:bottom w:val="single" w:sz="4" w:space="0" w:color="auto"/>
            </w:tcBorders>
            <w:tcMar>
              <w:left w:w="43" w:type="dxa"/>
              <w:right w:w="43" w:type="dxa"/>
            </w:tcMar>
            <w:vAlign w:val="center"/>
          </w:tcPr>
          <w:p w14:paraId="3CF1151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3</w:t>
            </w:r>
          </w:p>
        </w:tc>
        <w:tc>
          <w:tcPr>
            <w:tcW w:w="321" w:type="pct"/>
            <w:tcBorders>
              <w:bottom w:val="single" w:sz="4" w:space="0" w:color="auto"/>
            </w:tcBorders>
            <w:tcMar>
              <w:left w:w="43" w:type="dxa"/>
              <w:right w:w="43" w:type="dxa"/>
            </w:tcMar>
            <w:vAlign w:val="center"/>
          </w:tcPr>
          <w:p w14:paraId="07C2CF14"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12.78%</w:t>
            </w:r>
          </w:p>
        </w:tc>
        <w:tc>
          <w:tcPr>
            <w:tcW w:w="448" w:type="pct"/>
            <w:tcBorders>
              <w:bottom w:val="single" w:sz="4" w:space="0" w:color="auto"/>
            </w:tcBorders>
            <w:tcMar>
              <w:left w:w="43" w:type="dxa"/>
              <w:right w:w="43" w:type="dxa"/>
            </w:tcMar>
            <w:vAlign w:val="center"/>
          </w:tcPr>
          <w:p w14:paraId="578EDCD3"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17.65%</w:t>
            </w:r>
          </w:p>
        </w:tc>
        <w:tc>
          <w:tcPr>
            <w:tcW w:w="362" w:type="pct"/>
            <w:tcBorders>
              <w:bottom w:val="single" w:sz="4" w:space="0" w:color="auto"/>
            </w:tcBorders>
            <w:tcMar>
              <w:left w:w="43" w:type="dxa"/>
              <w:right w:w="43" w:type="dxa"/>
            </w:tcMar>
            <w:vAlign w:val="center"/>
          </w:tcPr>
          <w:p w14:paraId="1EBA6B16" w14:textId="77777777" w:rsidR="00FF6F43" w:rsidRPr="00670D91" w:rsidRDefault="00FF6F43" w:rsidP="002053E6">
            <w:pPr>
              <w:jc w:val="center"/>
              <w:rPr>
                <w:rFonts w:ascii="Calibri" w:hAnsi="Calibri" w:cs="Calibri"/>
                <w:color w:val="000000"/>
                <w:sz w:val="20"/>
                <w:szCs w:val="20"/>
                <w:lang w:val="en-US"/>
              </w:rPr>
            </w:pPr>
            <w:r w:rsidRPr="00670D91">
              <w:rPr>
                <w:rFonts w:ascii="Calibri" w:hAnsi="Calibri" w:cs="Calibri"/>
                <w:color w:val="000000"/>
                <w:sz w:val="20"/>
                <w:szCs w:val="20"/>
                <w:lang w:val="en-US"/>
              </w:rPr>
              <w:t>4.69</w:t>
            </w:r>
          </w:p>
        </w:tc>
      </w:tr>
    </w:tbl>
    <w:p w14:paraId="6A94E02E" w14:textId="77777777" w:rsidR="00FF6F43" w:rsidRPr="00670D91" w:rsidRDefault="00FF6F43" w:rsidP="00FF6F43">
      <w:pPr>
        <w:rPr>
          <w:rFonts w:ascii="Calibri" w:hAnsi="Calibri" w:cs="Calibri"/>
          <w:lang w:val="en-US"/>
        </w:rPr>
      </w:pPr>
    </w:p>
    <w:p w14:paraId="6C6933FA" w14:textId="77777777" w:rsidR="00FF6F43" w:rsidRPr="00670D91" w:rsidRDefault="00FF6F43" w:rsidP="00FF6F43">
      <w:pPr>
        <w:rPr>
          <w:rFonts w:ascii="Calibri" w:hAnsi="Calibri" w:cs="Calibri"/>
          <w:lang w:val="en-US"/>
        </w:rPr>
        <w:sectPr w:rsidR="00FF6F43" w:rsidRPr="00670D91" w:rsidSect="00DC7704">
          <w:pgSz w:w="16840" w:h="11900" w:orient="landscape"/>
          <w:pgMar w:top="1417" w:right="1417" w:bottom="1417" w:left="1417" w:header="708" w:footer="708" w:gutter="0"/>
          <w:cols w:space="708"/>
          <w:docGrid w:linePitch="360"/>
        </w:sectPr>
      </w:pPr>
      <w:r w:rsidRPr="00670D91">
        <w:rPr>
          <w:rFonts w:ascii="Calibri" w:hAnsi="Calibri" w:cs="Calibri"/>
          <w:lang w:val="en-US"/>
        </w:rPr>
        <w:t>CAPE-Pos: Community Assessment of Psychic Experiences, Positive subscale; PHQ: Patient Health Questionnaire; GAD: Generalized Anxiety Disorder; PSQI: Pittsburg Sleep Quality Index.</w:t>
      </w:r>
    </w:p>
    <w:p w14:paraId="6AD2417D" w14:textId="77777777" w:rsidR="00FF6F43" w:rsidRPr="00670D91" w:rsidRDefault="00FF6F43" w:rsidP="00FF6F43">
      <w:pPr>
        <w:rPr>
          <w:rFonts w:ascii="Calibri" w:hAnsi="Calibri" w:cs="Calibri"/>
          <w:lang w:val="en-US"/>
        </w:rPr>
      </w:pPr>
    </w:p>
    <w:p w14:paraId="3A783613" w14:textId="77777777" w:rsidR="00FF6F43" w:rsidRPr="00670D91" w:rsidRDefault="00FF6F43" w:rsidP="00FF6F43">
      <w:pPr>
        <w:rPr>
          <w:rFonts w:ascii="Calibri" w:hAnsi="Calibri" w:cs="Calibri"/>
          <w:lang w:val="en-US"/>
        </w:rPr>
      </w:pPr>
    </w:p>
    <w:p w14:paraId="40ED86AC" w14:textId="0838DA89" w:rsidR="00FF6F43" w:rsidRDefault="00FF6F43"/>
    <w:p w14:paraId="259053D1" w14:textId="77777777" w:rsidR="00FF6F43" w:rsidRDefault="00FF6F43"/>
    <w:p w14:paraId="62F80A32" w14:textId="1AC4C5B0" w:rsidR="00A700A6" w:rsidRPr="00FF6F43" w:rsidRDefault="00A700A6">
      <w:pPr>
        <w:rPr>
          <w:lang w:val="tr-TR"/>
        </w:rPr>
      </w:pPr>
    </w:p>
    <w:sectPr w:rsidR="00A700A6" w:rsidRPr="00FF6F43" w:rsidSect="00FF6F43">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A6"/>
    <w:rsid w:val="001170C9"/>
    <w:rsid w:val="002C50FA"/>
    <w:rsid w:val="00345178"/>
    <w:rsid w:val="004D0D4B"/>
    <w:rsid w:val="004F7A80"/>
    <w:rsid w:val="0053244F"/>
    <w:rsid w:val="00587FC4"/>
    <w:rsid w:val="006A1931"/>
    <w:rsid w:val="00731205"/>
    <w:rsid w:val="00880FC1"/>
    <w:rsid w:val="00973681"/>
    <w:rsid w:val="00A366DF"/>
    <w:rsid w:val="00A700A6"/>
    <w:rsid w:val="00BE4741"/>
    <w:rsid w:val="00BE6532"/>
    <w:rsid w:val="00C169F2"/>
    <w:rsid w:val="00E767C7"/>
    <w:rsid w:val="00E9743F"/>
    <w:rsid w:val="00FF6F43"/>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0B50C180"/>
  <w15:chartTrackingRefBased/>
  <w15:docId w15:val="{F1BBCB52-87A8-C349-983D-07A5709F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0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00A6"/>
    <w:rPr>
      <w:color w:val="0000FF"/>
      <w:u w:val="single"/>
    </w:rPr>
  </w:style>
  <w:style w:type="paragraph" w:styleId="Bibliography">
    <w:name w:val="Bibliography"/>
    <w:basedOn w:val="Normal"/>
    <w:next w:val="Normal"/>
    <w:uiPriority w:val="37"/>
    <w:unhideWhenUsed/>
    <w:rsid w:val="00A700A6"/>
    <w:pPr>
      <w:tabs>
        <w:tab w:val="left" w:pos="500"/>
      </w:tabs>
      <w:spacing w:after="240"/>
      <w:ind w:left="504" w:hanging="504"/>
    </w:pPr>
  </w:style>
  <w:style w:type="table" w:styleId="TableGrid">
    <w:name w:val="Table Grid"/>
    <w:basedOn w:val="TableNormal"/>
    <w:uiPriority w:val="39"/>
    <w:rsid w:val="00FF6F43"/>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hyperlink" Target="https://data.who.int/dashboards/covid19/c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6960</Words>
  <Characters>39676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YILMAZ</dc:creator>
  <cp:keywords/>
  <dc:description/>
  <cp:lastModifiedBy>Helin YILMAZ</cp:lastModifiedBy>
  <cp:revision>16</cp:revision>
  <dcterms:created xsi:type="dcterms:W3CDTF">2025-07-30T12:37:00Z</dcterms:created>
  <dcterms:modified xsi:type="dcterms:W3CDTF">2025-08-05T23:51:00Z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id="SSbEv0rH"/&gt;&lt;style id="http://www.zotero.org/styles/national-library-of-medicine-brackets-no-et-al" hasBibliography="1" bibliographyStyleHasBeenSet="1"/&gt;&lt;prefs&gt;&lt;pref name="fieldType" value="Field"</vt:lpwstr>
  </property>
  <property fmtid="{D5CDD505-2E9C-101B-9397-08002B2CF9AE}" pid="3" name="ZOTERO_PREF_2">
    <vt:lpwstr>/&gt;&lt;/prefs&gt;&lt;/data&gt;</vt:lpwstr>
  </property>
</Properties>
</file>