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ascii="Times New Roman" w:hAnsi="Times New Roman" w:cs="Times New Roman"/>
          <w:b/>
          <w:bCs w:val="0"/>
          <w:sz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Supplementar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y Table S1.</w:t>
      </w:r>
      <w:r>
        <w:rPr>
          <w:rFonts w:ascii="Times New Roman" w:hAnsi="Times New Roman" w:cs="Times New Roman"/>
          <w:b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</w:rPr>
        <w:t xml:space="preserve">Olfactory dysfunction of the recovered patients by T&amp;T (n=7). </w:t>
      </w:r>
    </w:p>
    <w:tbl>
      <w:tblPr>
        <w:tblStyle w:val="3"/>
        <w:tblW w:w="47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  <w:gridCol w:w="5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uppressAutoHyphens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Characteristics</w:t>
            </w:r>
          </w:p>
        </w:tc>
        <w:tc>
          <w:tcPr>
            <w:tcW w:w="192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uppressAutoHyphens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T&amp;T&gt;1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(4.5)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(28.6)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(71.4)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Age 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50-59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(28.6)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60-69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(14.3)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70-79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(57.1)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Abnormal odors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Garlic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(71.4)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Pineapple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(100.0)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Mint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(71.4)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Ginger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(100.0)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73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uppressAutoHyphens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Rose</w:t>
            </w:r>
          </w:p>
        </w:tc>
        <w:tc>
          <w:tcPr>
            <w:tcW w:w="192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uppressAutoHyphens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(100.0)</w:t>
            </w:r>
          </w:p>
        </w:tc>
      </w:tr>
    </w:tbl>
    <w:p>
      <w:pPr>
        <w:suppressAutoHyphens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T&amp;T, Toyota‐Takagi olfactometry scores.</w:t>
      </w:r>
    </w:p>
    <w:p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 w:eastAsiaTheme="minorEastAsia"/>
          <w:b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 w:eastAsiaTheme="minorEastAsia"/>
          <w:b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 w:eastAsiaTheme="minorEastAsia"/>
          <w:b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 w:eastAsiaTheme="minorEastAsia"/>
          <w:b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 w:eastAsiaTheme="minorEastAsia"/>
          <w:b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 w:eastAsiaTheme="minorEastAsia"/>
          <w:b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 w:eastAsiaTheme="minorEastAsia"/>
          <w:b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 w:eastAsiaTheme="minorEastAsia"/>
          <w:b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 w:eastAsiaTheme="minorEastAsia"/>
          <w:b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Supplementary Table S</w:t>
      </w: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Basic information of the typical 9 patients. </w:t>
      </w:r>
    </w:p>
    <w:tbl>
      <w:tblPr>
        <w:tblStyle w:val="3"/>
        <w:tblpPr w:leftFromText="180" w:rightFromText="180" w:vertAnchor="text" w:horzAnchor="page" w:tblpX="1556" w:tblpY="291"/>
        <w:tblOverlap w:val="never"/>
        <w:tblW w:w="1395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24"/>
        <w:gridCol w:w="624"/>
        <w:gridCol w:w="1788"/>
        <w:gridCol w:w="888"/>
        <w:gridCol w:w="2232"/>
        <w:gridCol w:w="5544"/>
        <w:gridCol w:w="136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Patient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Age</w:t>
            </w:r>
          </w:p>
        </w:tc>
        <w:tc>
          <w:tcPr>
            <w:tcW w:w="6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Sex</w:t>
            </w:r>
          </w:p>
        </w:tc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Duration (Days)</w:t>
            </w:r>
          </w:p>
        </w:tc>
        <w:tc>
          <w:tcPr>
            <w:tcW w:w="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BMI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Underlying diseases</w:t>
            </w:r>
          </w:p>
        </w:tc>
        <w:tc>
          <w:tcPr>
            <w:tcW w:w="5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Symptoms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Interventions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2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62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178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88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22.9</w:t>
            </w:r>
          </w:p>
        </w:tc>
        <w:tc>
          <w:tcPr>
            <w:tcW w:w="223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Rhinitis, diabetes，cardiovascular disease</w:t>
            </w:r>
          </w:p>
        </w:tc>
        <w:tc>
          <w:tcPr>
            <w:tcW w:w="554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Cough, fever, pharyngalgia, abdominal pain and diarrhea, dyspinic, fatigue, myalgia, stethalgia</w:t>
            </w:r>
          </w:p>
        </w:tc>
        <w:tc>
          <w:tcPr>
            <w:tcW w:w="136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LHQW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21.5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23.5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Abdominal pain and diarrhea, dyspinic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LHQW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Rhinitis</w:t>
            </w:r>
          </w:p>
        </w:tc>
        <w:tc>
          <w:tcPr>
            <w:tcW w:w="5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21.5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M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Rhinitis</w:t>
            </w:r>
          </w:p>
        </w:tc>
        <w:tc>
          <w:tcPr>
            <w:tcW w:w="5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23.9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Cough, rhinorrhea, fever, headache, pharyngalgia, abdominal pain and diarrhea, dyspinic, fatigue, myalgia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LHQW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Cough, headache, pharyngalgia, fatigue, myalgia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LHQW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25.3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Cough, fever, pharyngalgia, fatigue, myalgia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LHQW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>BMI, Body Mass Index; LHQW, Lianhuaqingwen medicine.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ZjgyZWM1YmM3MWI4YTAxY2U4NTgxMzJmMTBhYjgifQ=="/>
  </w:docVars>
  <w:rsids>
    <w:rsidRoot w:val="450B231F"/>
    <w:rsid w:val="450B231F"/>
    <w:rsid w:val="4BBB3CB0"/>
    <w:rsid w:val="5C0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537</Characters>
  <Lines>0</Lines>
  <Paragraphs>0</Paragraphs>
  <TotalTime>0</TotalTime>
  <ScaleCrop>false</ScaleCrop>
  <LinksUpToDate>false</LinksUpToDate>
  <CharactersWithSpaces>574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2023-03-02T05:52:00Z</dcterms:created>
  <dc:creator>Xinyu Hu</dc:creator>
  <cp:lastModifiedBy>Xinyu Hu</cp:lastModifiedBy>
  <dcterms:modified xsi:type="dcterms:W3CDTF">2024-01-26T05:43:36Z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ACD85B2B281644B4AAD5E52141D8E94A_13</vt:lpwstr>
  </property>
</Properties>
</file>