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Tab.1. </w:t>
      </w:r>
      <w:r>
        <w:rPr>
          <w:rFonts w:ascii="Times New Roman" w:hAnsi="Times New Roman" w:cs="Times New Roman"/>
          <w:b/>
          <w:bCs/>
          <w:sz w:val="24"/>
          <w:szCs w:val="24"/>
          <w:lang w:bidi="ar"/>
        </w:rPr>
        <w:t>Baseline Characteristics of Patients in the Training Cohort, Validation Cohort, and metachronous PM Cohort.</w:t>
      </w:r>
    </w:p>
    <w:p>
      <w:pPr>
        <w:jc w:val="left"/>
        <w:rPr>
          <w:b/>
          <w:bCs/>
          <w:sz w:val="28"/>
          <w:szCs w:val="28"/>
        </w:rPr>
      </w:pPr>
    </w:p>
    <w:tbl>
      <w:tblPr>
        <w:tblStyle w:val="5"/>
        <w:tblpPr w:leftFromText="180" w:rightFromText="180" w:vertAnchor="page" w:horzAnchor="page" w:tblpX="676" w:tblpY="1403"/>
        <w:tblW w:w="1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5"/>
        <w:gridCol w:w="2194"/>
        <w:gridCol w:w="2303"/>
        <w:gridCol w:w="864"/>
        <w:gridCol w:w="2303"/>
        <w:gridCol w:w="2303"/>
        <w:gridCol w:w="864"/>
        <w:gridCol w:w="2303"/>
        <w:gridCol w:w="2303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95" w:type="dxa"/>
            <w:gridSpan w:val="2"/>
            <w:tcBorders>
              <w:top w:val="nil"/>
              <w:left w:val="nil"/>
              <w:bottom w:val="single" w:color="D0CECE" w:sz="12" w:space="0"/>
              <w:right w:val="nil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ascii="Times New Roman" w:hAnsi="Times New Roman" w:eastAsia="等线" w:cs="Times New Roman"/>
                <w:b/>
                <w:bCs/>
              </w:rPr>
            </w:pPr>
            <w:bookmarkStart w:id="0" w:name="_Hlk129481170"/>
            <w:r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color="767171" w:themeColor="background2" w:themeShade="80" w:sz="12" w:space="0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Training cohort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D0CECE" w:sz="12" w:space="0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color="BEBEBE" w:sz="18" w:space="0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Validation cohort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metachronous PM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cohort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0" w:type="dxa"/>
            <w:tcBorders>
              <w:top w:val="single" w:color="D0CECE" w:sz="12" w:space="0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single" w:color="D0CECE" w:sz="12" w:space="0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21"/>
              </w:rPr>
              <w:t>group</w:t>
            </w:r>
          </w:p>
        </w:tc>
        <w:tc>
          <w:tcPr>
            <w:tcW w:w="2194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Non-PM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321</w:t>
            </w:r>
          </w:p>
        </w:tc>
        <w:tc>
          <w:tcPr>
            <w:tcW w:w="2303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111</w:t>
            </w:r>
          </w:p>
        </w:tc>
        <w:tc>
          <w:tcPr>
            <w:tcW w:w="864" w:type="dxa"/>
            <w:vMerge w:val="continue"/>
            <w:tcBorders>
              <w:top w:val="single" w:color="767171" w:themeColor="background2" w:themeShade="80" w:sz="12" w:space="0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03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Non-PM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327</w:t>
            </w:r>
          </w:p>
        </w:tc>
        <w:tc>
          <w:tcPr>
            <w:tcW w:w="2303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54</w:t>
            </w:r>
          </w:p>
        </w:tc>
        <w:tc>
          <w:tcPr>
            <w:tcW w:w="864" w:type="dxa"/>
            <w:vMerge w:val="continue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03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Non-PM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586</w:t>
            </w:r>
          </w:p>
        </w:tc>
        <w:tc>
          <w:tcPr>
            <w:tcW w:w="2303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62</w:t>
            </w:r>
          </w:p>
        </w:tc>
        <w:tc>
          <w:tcPr>
            <w:tcW w:w="864" w:type="dxa"/>
            <w:vMerge w:val="continue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Gender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18"/>
              </w:rPr>
              <w:t>Female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106 (33%)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37 (33%)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&gt;0.9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106 (32%)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20 (37%)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188 (32%)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24 (39%)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18"/>
              </w:rPr>
              <w:t>Male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215 (67%)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74 (67%)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221 (68%)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34 (63%)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398 (68%)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38 (61%)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Age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18"/>
              </w:rPr>
              <w:t>&lt;65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203 (63%)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74 (67%)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0.5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206 (63%)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31 (57%)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374 (64%)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35 (56%)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Cs w:val="18"/>
              </w:rPr>
              <w:t>&gt;=65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118 (37%)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37 (33%)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121 (37%)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23 (43%)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212 (36%)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27 (44%)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BMI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21.8 (19.5, 24.0)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20.5 (18.9, 23.1)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0.014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WBC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6.05 (5.04, 7.66)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6.86 (5.42, 9.39)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6.14 (5.02, 7.78)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6.34 (5.14, 7.86)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6.04 (4.97, 7.66)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6.75 (5.53, 8.60)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Neut%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58 (52, 67)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66 (59, 73)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63 (55, 72)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68 (58, 75)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0.020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60 (52, 68)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68 (62, 76)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Lmph%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29 (22, 36)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23 (17, 29)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27 (19, 33)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21 (16, 29)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0.014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28 (22, 35)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20 (14, 28)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Hb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121 (98, 137)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111 (96, 132)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0.022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122 (96, 136)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116 (79, 132)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0.064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122 (97, 138)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115 (92, 133)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PLT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255 (203, 303)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276 (218, 358)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0.005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252 (204, 322)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306 (231, 360)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0.014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254 (203, 307)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264 (205, 346)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MPV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10.10 (9.40, 10.80)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9.70 (9.20, 10.45)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0.023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10.00 (9.50, 10.60)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10.00 (9.43, 10.50)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0.6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10.10 (9.50, 10.80)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9.95 (9.50, 10.50)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PDW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12.00 (10.70, 13.53)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11.30 (10.05, 13.00)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0.015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11.00 (9.90, 12.35)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11.00 (9.75, 11.95)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11.50 (10.22, 13.00)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10.95 (9.85, 12.55)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Neu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3.46 (2.63, 4.93)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4.38 (3.19, 6.44)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3.81 (2.86, 5.24)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4.24 (3.23, 5.46)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3.56 (2.65, 4.93)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4.72 (3.25, 6.34)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Lymph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1.76 (1.35, 2.19)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1.43 (1.18, 1.98)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0.002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1.54 (1.17, 2.01)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1.35 (1.04, 1.64)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0.016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1.68 (1.29, 2.13)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1.40 (0.96, 1.76)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NLR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1.92 (1.42, 3.00)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2.85 (2.01, 4.38)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2.38 (1.72, 3.81)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3.24 (2.03, 4.66)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0.018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2.09 (1.48, 3.16)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3.48 (2.06, 5.06)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Alb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39.9 (35.7, 43.1)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36.9 (32.4, 41.7)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39.6 (36.5, 42.0)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37.5 (33.9, 42.0)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0.084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39.7 (36.3, 42.9)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37.2 (34.9, 41.1)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Glo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26.4 (23.6, 29.7)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26.9 (23.2, 29.6)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&gt;0.9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26.0 (23.3, 28.8)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26.8 (24.3, 30.6)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0.15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26.2 (23.5, 29.3)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26.4 (23.7, 28.9)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&gt;0.9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PNI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&lt;45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92 (29%)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52 (47%)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113 (35%)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24 (44%)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173 (30%)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31 (50%)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≥45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229 (71%)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59 (53%)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214 (65%)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30 (56%)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413 (70%)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31 (50%)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A/G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1.50 (1.30, 1.70)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1.50 (1.15, 1.60)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0.014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1.52 (1.36, 1.70)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1.47 (1.21, 1.63)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0.023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1.50 (1.31, 1.70)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1.47 (1.22, 1.68)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AFP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2.92 (2.32, 3.70)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3.46 (2.13, 5.10)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0.008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 (2, 5)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 (2, 10)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0.080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 (2, 4)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 (2, 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CEA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 (1, 4)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 (2, 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0.002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2.2 (1.1, 3.7)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2.1 (1.0, 4.4)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0.8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2.2 (1.2, 3.8)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2.6 (1.3, 6.2)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CA125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14 (10, 22)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29 (19, 47)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11 (7, 16)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16 (9, 26)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0.002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12 (8, 18)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16 (11, 76)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CA153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11.2 (7.9, 15.0)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10.8 (8.7, 13.3)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0.4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7 (6, 8)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7 (5, 11)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0.9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8.0 (6.4, 12.5)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10.9 (6.8, 17.6)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CA199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10 (6, 19)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18 (7, 45)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14 (8, 29)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17 (9, 82)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0.055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11 (6, 22)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12 (5, 31)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CA724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 (1, 6)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7 (2, 20)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 (3, 7)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10 (4, 14)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 (2, 6)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 (3, 12)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Site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6 (1.9%)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4 (3.6%)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0.011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0.9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 (1.0%)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 (0%)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68 (21%)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23 (21%)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47 (14%)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9 (17%)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108 (18%)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7 (11%)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54 (17%)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33 (30%)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33 (10%)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5 (9.3%)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74 (13%)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13 (21%)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193 (60%)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51 (46%)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247 (76%)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40 (74%)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398 (68%)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42 (68%)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Size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4.00 (2.50, 6.00）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6.00 (4.22, 8.00)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3.50 (2.00, 4.50)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5.45 (4.13, 6.63)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3.50 (2.33, 5.00)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4.00 (3.00, 5.00)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Hp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235 (73%)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78 (70%)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0.6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86 (27%)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33 (30%)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——</w:t>
            </w:r>
          </w:p>
        </w:tc>
      </w:tr>
      <w:bookmarkEnd w:id="0"/>
    </w:tbl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tbl>
      <w:tblPr>
        <w:tblStyle w:val="5"/>
        <w:tblpPr w:leftFromText="180" w:rightFromText="180" w:vertAnchor="page" w:horzAnchor="page" w:tblpX="676" w:tblpY="1403"/>
        <w:tblW w:w="1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5"/>
        <w:gridCol w:w="2194"/>
        <w:gridCol w:w="2303"/>
        <w:gridCol w:w="864"/>
        <w:gridCol w:w="2303"/>
        <w:gridCol w:w="2303"/>
        <w:gridCol w:w="864"/>
        <w:gridCol w:w="2303"/>
        <w:gridCol w:w="2231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left"/>
              <w:rPr>
                <w:rFonts w:ascii="Times New Roman" w:hAnsi="Times New Roman" w:eastAsia="等线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Training cohort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P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Validation cohort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P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"/>
              </w:rPr>
              <w:t>metachronous PM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cohort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21"/>
              </w:rPr>
              <w:t>group</w:t>
            </w:r>
          </w:p>
        </w:tc>
        <w:tc>
          <w:tcPr>
            <w:tcW w:w="2194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Non-PM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321</w:t>
            </w:r>
          </w:p>
        </w:tc>
        <w:tc>
          <w:tcPr>
            <w:tcW w:w="2303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111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03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Non-PM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327</w:t>
            </w:r>
          </w:p>
        </w:tc>
        <w:tc>
          <w:tcPr>
            <w:tcW w:w="2303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54</w:t>
            </w:r>
          </w:p>
        </w:tc>
        <w:tc>
          <w:tcPr>
            <w:tcW w:w="86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EBEBE" w:themeFill="background1" w:themeFillShade="BF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03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Non-PM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586</w:t>
            </w:r>
          </w:p>
        </w:tc>
        <w:tc>
          <w:tcPr>
            <w:tcW w:w="2231" w:type="dxa"/>
            <w:tcBorders>
              <w:top w:val="single" w:color="A4A4A4" w:sz="18" w:space="0"/>
              <w:left w:val="nil"/>
              <w:bottom w:val="nil"/>
              <w:right w:val="nil"/>
            </w:tcBorders>
            <w:shd w:val="clear" w:color="auto" w:fill="BEBEBE" w:themeFill="background1" w:themeFillShade="BF"/>
            <w:vAlign w:val="top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PM 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000000"/>
                <w:szCs w:val="21"/>
              </w:rPr>
              <w:t>n</w:t>
            </w: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21"/>
              </w:rPr>
              <w:t xml:space="preserve"> =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62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T1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61 (19%)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11 (9.9%)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78 (24%)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 (3.7%)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130 (22%)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9 (15%)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T2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42 (13%)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 (0.9%)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39 (12%)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 (1.9%)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79 (13%)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 (3.2%)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T3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23 (7.2%)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 (2.7%)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41 (13%)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 (5.6%)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64 (11%)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 (0%)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T4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194 (60%)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94 (85%)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149 (46%)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44 (81%)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301 (51%)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42 (68%)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Tis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 (0.3%)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 (1.8%)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20 (6.1%)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 (7.4%)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12 (2.0%)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9 (15%)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1" w:name="OLE_LINK1"/>
            <w:r>
              <w:rPr>
                <w:rFonts w:ascii="Times New Roman" w:hAnsi="Times New Roman" w:cs="Times New Roman"/>
                <w:b/>
                <w:bCs/>
                <w:szCs w:val="21"/>
              </w:rPr>
              <w:t>Borrmann</w:t>
            </w:r>
            <w:bookmarkEnd w:id="1"/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25 (7.8%)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4 (1.2%)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29 (4.9%)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70 (22%)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 (1.8%)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32 (9.8%)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 (3.7%)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102 (17%)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222 (69%)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90 (81%)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290 (89%)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52 (96%)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450 (77%)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62 (100%)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4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4 (1.2%)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19 (17%)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 (0.3%)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5 (0.9%)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Diff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13 (4.0%)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 (2.7%)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11 (1.9%)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 (3.2%)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5 (1.6%)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 (0%)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236 (72%)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41 (76%)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201 (34%)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40 (65%)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82 (26%)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8 (7.2%)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78 (24%)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13 (24%)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154 (26%)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6 (9.7%)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221 (69%)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100 (90%)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13 (4.0%)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 (0%)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220 (38%)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14 (23%)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Her2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243 (76%)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91 (82%)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0.2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205 (63%)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39 (72%)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406 (69%)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42 (68%)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78 (24%)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20 (18%)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122 (37%)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15 (28%)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180 (31%)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20 (32%)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Radiomics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Features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0.36 (0.27, 0.48)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0.62 (0.46, 0.75)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0.40 (0.33, 0.50)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0.59 (0.48, 0.67)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0.38 (0.29, 0.48)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0.49 (0.38, 0.61)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TSR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Low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208 (65%)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39 (35%)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0.002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181 (55%)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18 (33%)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0.003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349 (60%)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23 (37%)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00000"/>
                <w:szCs w:val="18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等线" w:cs="Times New Roman"/>
                <w:b/>
                <w:bCs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Cs w:val="18"/>
              </w:rPr>
              <w:t>High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113 (35%)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18"/>
              </w:rPr>
              <w:t>72 (65%)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146 (45%)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36 (67%)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237 (40%)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Arial" w:cs="Times New Roman"/>
                <w:color w:val="000000"/>
                <w:szCs w:val="18"/>
              </w:rPr>
              <w:t>39 (63%)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4A4A4" w:sz="18" w:space="0"/>
              <w:right w:val="nil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/>
                <w:szCs w:val="18"/>
              </w:rPr>
            </w:pPr>
          </w:p>
        </w:tc>
      </w:tr>
    </w:tbl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</w:p>
    <w:p>
      <w:pPr>
        <w:tabs>
          <w:tab w:val="left" w:pos="377"/>
        </w:tabs>
        <w:rPr>
          <w:rFonts w:ascii="Times New Roman" w:hAnsi="Times New Roman" w:cs="Times New Roman"/>
          <w:szCs w:val="21"/>
        </w:rPr>
      </w:pPr>
      <w:bookmarkStart w:id="2" w:name="_GoBack"/>
      <w:bookmarkEnd w:id="2"/>
      <w:r>
        <w:rPr>
          <w:rFonts w:ascii="Times New Roman" w:hAnsi="Times New Roman" w:cs="Times New Roman"/>
          <w:szCs w:val="21"/>
        </w:rPr>
        <w:t>*n (%); Median (IQR)</w:t>
      </w:r>
    </w:p>
    <w:p>
      <w:r>
        <w:rPr>
          <w:rFonts w:ascii="Times New Roman" w:hAnsi="Times New Roman" w:cs="Times New Roman"/>
          <w:szCs w:val="21"/>
        </w:rPr>
        <w:t>*Pearson's Chi-squared test; Wilcoxon rank sum test; Fisher's exact test</w:t>
      </w:r>
    </w:p>
    <w:p>
      <w:pPr>
        <w:rPr>
          <w:b/>
          <w:bCs/>
          <w:sz w:val="28"/>
          <w:szCs w:val="28"/>
        </w:rPr>
      </w:pPr>
    </w:p>
    <w:sectPr>
      <w:pgSz w:w="24480" w:h="15840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0C92"/>
    <w:rsid w:val="00172A27"/>
    <w:rsid w:val="00243EFD"/>
    <w:rsid w:val="0027022B"/>
    <w:rsid w:val="002A4F68"/>
    <w:rsid w:val="00472181"/>
    <w:rsid w:val="004F6D10"/>
    <w:rsid w:val="005D4F40"/>
    <w:rsid w:val="005E15B1"/>
    <w:rsid w:val="006609A1"/>
    <w:rsid w:val="008C6E13"/>
    <w:rsid w:val="00944E8F"/>
    <w:rsid w:val="0097636F"/>
    <w:rsid w:val="00A327EB"/>
    <w:rsid w:val="00A44CB1"/>
    <w:rsid w:val="00A93883"/>
    <w:rsid w:val="00BB5CF7"/>
    <w:rsid w:val="00D06121"/>
    <w:rsid w:val="00D15B9A"/>
    <w:rsid w:val="00D514F3"/>
    <w:rsid w:val="00E348D3"/>
    <w:rsid w:val="00E728D4"/>
    <w:rsid w:val="00E854AC"/>
    <w:rsid w:val="00F23447"/>
    <w:rsid w:val="00F274E0"/>
    <w:rsid w:val="00F9576D"/>
    <w:rsid w:val="15686A50"/>
    <w:rsid w:val="17B05D3A"/>
    <w:rsid w:val="17C121B2"/>
    <w:rsid w:val="1B1E3B94"/>
    <w:rsid w:val="220F0FA1"/>
    <w:rsid w:val="2A1219E9"/>
    <w:rsid w:val="2D725D90"/>
    <w:rsid w:val="337E4182"/>
    <w:rsid w:val="3EDD5206"/>
    <w:rsid w:val="5DF81A70"/>
    <w:rsid w:val="66055988"/>
    <w:rsid w:val="7682343E"/>
    <w:rsid w:val="7E0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4352</Characters>
  <Lines>36</Lines>
  <Paragraphs>10</Paragraphs>
  <TotalTime>4</TotalTime>
  <ScaleCrop>false</ScaleCrop>
  <LinksUpToDate>false</LinksUpToDate>
  <CharactersWithSpaces>5105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2023-12-11T02:47:00Z</dcterms:created>
  <dc:creator>侯 栋</dc:creator>
  <cp:lastModifiedBy>内人广林</cp:lastModifiedBy>
  <dcterms:modified xsi:type="dcterms:W3CDTF">2024-02-08T04:12:48Z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