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D81B5" w14:textId="24354D30" w:rsidR="00606725" w:rsidRPr="0059395A" w:rsidRDefault="00606725" w:rsidP="006067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9395A">
        <w:rPr>
          <w:rFonts w:ascii="Times New Roman" w:eastAsia="Times New Roman" w:hAnsi="Times New Roman" w:cs="Times New Roman"/>
          <w:b/>
          <w:bCs/>
          <w:sz w:val="28"/>
          <w:szCs w:val="28"/>
        </w:rPr>
        <w:t>Appendices</w:t>
      </w:r>
    </w:p>
    <w:p w14:paraId="3A35F1B8" w14:textId="77777777" w:rsidR="00606725" w:rsidRPr="00606725" w:rsidRDefault="00606725" w:rsidP="006067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6725">
        <w:rPr>
          <w:rFonts w:ascii="Times New Roman" w:eastAsia="Times New Roman" w:hAnsi="Times New Roman" w:cs="Times New Roman"/>
          <w:b/>
          <w:bCs/>
          <w:sz w:val="24"/>
          <w:szCs w:val="24"/>
        </w:rPr>
        <w:t>Appendix A.</w:t>
      </w:r>
      <w:r w:rsidRPr="00606725">
        <w:rPr>
          <w:rFonts w:ascii="Times New Roman" w:eastAsia="Times New Roman" w:hAnsi="Times New Roman" w:cs="Times New Roman"/>
          <w:sz w:val="24"/>
          <w:szCs w:val="24"/>
        </w:rPr>
        <w:t xml:space="preserve"> Full Search Strategies (MEDLINE, Embase, CENTRAL, ClinicalTrials.gov)</w:t>
      </w:r>
      <w:r w:rsidRPr="00606725">
        <w:rPr>
          <w:rFonts w:ascii="Times New Roman" w:eastAsia="Times New Roman" w:hAnsi="Times New Roman" w:cs="Times New Roman"/>
          <w:sz w:val="24"/>
          <w:szCs w:val="24"/>
        </w:rPr>
        <w:br/>
      </w:r>
      <w:r w:rsidRPr="00606725">
        <w:rPr>
          <w:rFonts w:ascii="Times New Roman" w:eastAsia="Times New Roman" w:hAnsi="Times New Roman" w:cs="Times New Roman"/>
          <w:b/>
          <w:bCs/>
          <w:sz w:val="24"/>
          <w:szCs w:val="24"/>
        </w:rPr>
        <w:t>Appendix B.</w:t>
      </w:r>
      <w:r w:rsidRPr="00606725">
        <w:rPr>
          <w:rFonts w:ascii="Times New Roman" w:eastAsia="Times New Roman" w:hAnsi="Times New Roman" w:cs="Times New Roman"/>
          <w:sz w:val="24"/>
          <w:szCs w:val="24"/>
        </w:rPr>
        <w:t xml:space="preserve"> Completed PRISMA 2020 27-item Checklist</w:t>
      </w:r>
      <w:r w:rsidRPr="00606725">
        <w:rPr>
          <w:rFonts w:ascii="Times New Roman" w:eastAsia="Times New Roman" w:hAnsi="Times New Roman" w:cs="Times New Roman"/>
          <w:sz w:val="24"/>
          <w:szCs w:val="24"/>
        </w:rPr>
        <w:br/>
      </w:r>
      <w:r w:rsidRPr="00606725">
        <w:rPr>
          <w:rFonts w:ascii="Times New Roman" w:eastAsia="Times New Roman" w:hAnsi="Times New Roman" w:cs="Times New Roman"/>
          <w:b/>
          <w:bCs/>
          <w:sz w:val="24"/>
          <w:szCs w:val="24"/>
        </w:rPr>
        <w:t>Appendix C.</w:t>
      </w:r>
      <w:r w:rsidRPr="00606725">
        <w:rPr>
          <w:rFonts w:ascii="Times New Roman" w:eastAsia="Times New Roman" w:hAnsi="Times New Roman" w:cs="Times New Roman"/>
          <w:sz w:val="24"/>
          <w:szCs w:val="24"/>
        </w:rPr>
        <w:t xml:space="preserve"> Data-Extraction Form</w:t>
      </w:r>
      <w:r w:rsidRPr="00606725">
        <w:rPr>
          <w:rFonts w:ascii="Times New Roman" w:eastAsia="Times New Roman" w:hAnsi="Times New Roman" w:cs="Times New Roman"/>
          <w:sz w:val="24"/>
          <w:szCs w:val="24"/>
        </w:rPr>
        <w:br/>
      </w:r>
      <w:r w:rsidRPr="00606725">
        <w:rPr>
          <w:rFonts w:ascii="Times New Roman" w:eastAsia="Times New Roman" w:hAnsi="Times New Roman" w:cs="Times New Roman"/>
          <w:b/>
          <w:bCs/>
          <w:sz w:val="24"/>
          <w:szCs w:val="24"/>
        </w:rPr>
        <w:t>Appendix D.</w:t>
      </w:r>
      <w:r w:rsidRPr="00606725">
        <w:rPr>
          <w:rFonts w:ascii="Times New Roman" w:eastAsia="Times New Roman" w:hAnsi="Times New Roman" w:cs="Times New Roman"/>
          <w:sz w:val="24"/>
          <w:szCs w:val="24"/>
        </w:rPr>
        <w:t xml:space="preserve"> GRADE Evidence Profiles per Outcome</w:t>
      </w:r>
    </w:p>
    <w:p w14:paraId="60A53D19" w14:textId="6F286CFD" w:rsidR="00F06AB6" w:rsidRDefault="00F06AB6"/>
    <w:p w14:paraId="7CEA21B0" w14:textId="3D1B5FD6" w:rsidR="00A124E4" w:rsidRDefault="00A124E4"/>
    <w:p w14:paraId="5E387B2B" w14:textId="18962503" w:rsidR="00A124E4" w:rsidRDefault="00A124E4"/>
    <w:p w14:paraId="796D9768" w14:textId="77777777" w:rsidR="00A647D3" w:rsidRPr="00A647D3" w:rsidRDefault="00A647D3" w:rsidP="00A64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>Appendix A. Full Electronic Search Strategies</w:t>
      </w:r>
    </w:p>
    <w:p w14:paraId="7E1E36D3" w14:textId="77777777" w:rsidR="00ED405E" w:rsidRDefault="00A647D3" w:rsidP="00A64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>All searches were conducted on November 30, 2024.</w:t>
      </w:r>
    </w:p>
    <w:p w14:paraId="7C566FC8" w14:textId="071CFCE3" w:rsidR="00A647D3" w:rsidRPr="00A647D3" w:rsidRDefault="00A647D3" w:rsidP="00A64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 xml:space="preserve"> Limits: humans, English, 1980–2024</w:t>
      </w:r>
      <w:r w:rsidR="004320D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1B0B475E" w14:textId="77777777" w:rsidR="00A647D3" w:rsidRPr="00A647D3" w:rsidRDefault="00A647D3" w:rsidP="00A64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>MEDLINE (via PubMed)</w:t>
      </w:r>
    </w:p>
    <w:p w14:paraId="755A9709" w14:textId="0F79B0C4" w:rsidR="00A647D3" w:rsidRPr="00A647D3" w:rsidRDefault="00A647D3" w:rsidP="004320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>#1 "Myelomeningocele"[Mesh] OR "Spina Bifida"[Mesh] OR myelomeningocele[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>] OR "spina bifida"[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>] #2 "Fetal Surgery"[Mesh] OR "Prenatal Diagnosis"[Mesh] OR fetal repair[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>] OR prenatal surgery[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>] OR in utero repair[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>] OR intrauterine surgery[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>] OR open fetal surgery[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>] #3 postnatal[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>] OR "postnatal repair"[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>] OR "standard repair"[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>] #4 "Hydrocephalus"[Mesh] OR shunt[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>] OR "Motor Skills"[Mesh] OR motor outcome*[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>] OR "Maternal Mortality"[Mesh] OR maternal complication*[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 xml:space="preserve">] #5 #1 AND #2 AND #3 AND #4 Filters: Humans; English; Publication date from 1980/01/01 to 2024/11/30 </w:t>
      </w:r>
    </w:p>
    <w:p w14:paraId="2F61349F" w14:textId="77777777" w:rsidR="00A647D3" w:rsidRPr="00A647D3" w:rsidRDefault="00A647D3" w:rsidP="00A64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>Embase (via Ovid)</w:t>
      </w:r>
    </w:p>
    <w:p w14:paraId="3F2C9772" w14:textId="77777777" w:rsidR="00A647D3" w:rsidRPr="00A647D3" w:rsidRDefault="00A647D3" w:rsidP="00A64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 xml:space="preserve">1 'myelomeningocele'/exp OR 'spina bifida'/exp OR </w:t>
      </w:r>
      <w:proofErr w:type="spellStart"/>
      <w:proofErr w:type="gramStart"/>
      <w:r w:rsidRPr="00A647D3">
        <w:rPr>
          <w:rFonts w:ascii="Times New Roman" w:eastAsia="Times New Roman" w:hAnsi="Times New Roman" w:cs="Times New Roman"/>
          <w:sz w:val="24"/>
          <w:szCs w:val="24"/>
        </w:rPr>
        <w:t>myelomeningocele:ti</w:t>
      </w:r>
      <w:proofErr w:type="gramEnd"/>
      <w:r w:rsidRPr="00A647D3">
        <w:rPr>
          <w:rFonts w:ascii="Times New Roman" w:eastAsia="Times New Roman" w:hAnsi="Times New Roman" w:cs="Times New Roman"/>
          <w:sz w:val="24"/>
          <w:szCs w:val="24"/>
        </w:rPr>
        <w:t>,ab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 xml:space="preserve"> OR 'spina bifida</w:t>
      </w:r>
      <w:proofErr w:type="gramStart"/>
      <w:r w:rsidRPr="00A647D3">
        <w:rPr>
          <w:rFonts w:ascii="Times New Roman" w:eastAsia="Times New Roman" w:hAnsi="Times New Roman" w:cs="Times New Roman"/>
          <w:sz w:val="24"/>
          <w:szCs w:val="24"/>
        </w:rPr>
        <w:t>':</w:t>
      </w:r>
      <w:proofErr w:type="spellStart"/>
      <w:r w:rsidRPr="00A647D3">
        <w:rPr>
          <w:rFonts w:ascii="Times New Roman" w:eastAsia="Times New Roman" w:hAnsi="Times New Roman" w:cs="Times New Roman"/>
          <w:sz w:val="24"/>
          <w:szCs w:val="24"/>
        </w:rPr>
        <w:t>ti</w:t>
      </w:r>
      <w:proofErr w:type="gramEnd"/>
      <w:r w:rsidRPr="00A647D3">
        <w:rPr>
          <w:rFonts w:ascii="Times New Roman" w:eastAsia="Times New Roman" w:hAnsi="Times New Roman" w:cs="Times New Roman"/>
          <w:sz w:val="24"/>
          <w:szCs w:val="24"/>
        </w:rPr>
        <w:t>,ab</w:t>
      </w:r>
      <w:proofErr w:type="spellEnd"/>
      <w:r w:rsidRPr="00A647D3">
        <w:rPr>
          <w:rFonts w:ascii="Times New Roman" w:eastAsia="Times New Roman" w:hAnsi="Times New Roman" w:cs="Times New Roman"/>
          <w:sz w:val="24"/>
          <w:szCs w:val="24"/>
        </w:rPr>
        <w:t xml:space="preserve"> 2 'fetal surgery'/exp OR 'prenatal surgery</w:t>
      </w:r>
    </w:p>
    <w:p w14:paraId="53169C49" w14:textId="7BF2B5DE" w:rsidR="00A647D3" w:rsidRDefault="00A647D3"/>
    <w:p w14:paraId="1C4A8D71" w14:textId="77777777" w:rsidR="00A647D3" w:rsidRPr="00A647D3" w:rsidRDefault="00A647D3" w:rsidP="00A64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>Cochrane CENTRAL</w:t>
      </w:r>
    </w:p>
    <w:p w14:paraId="7320DB73" w14:textId="77777777" w:rsidR="00A647D3" w:rsidRPr="00A647D3" w:rsidRDefault="00A647D3" w:rsidP="00A64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 xml:space="preserve">(myelomeningocele OR "spina bifida") AND ("fetal repair" OR "prenatal surgery" OR "open fetal surgery") AND ("postnatal repair" OR "standard repair") AND (shunt OR "motor outcome*" OR "maternal morbidity" OR "maternal complication*") </w:t>
      </w:r>
    </w:p>
    <w:p w14:paraId="4E8FBBD8" w14:textId="071B1223" w:rsidR="00A647D3" w:rsidRPr="00A647D3" w:rsidRDefault="00A647D3" w:rsidP="00A647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262B0D" w14:textId="77777777" w:rsidR="00A647D3" w:rsidRPr="00A647D3" w:rsidRDefault="00A647D3" w:rsidP="00A64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>Filter: Trials only</w:t>
      </w:r>
    </w:p>
    <w:p w14:paraId="024E8CE9" w14:textId="77777777" w:rsidR="00A647D3" w:rsidRPr="00A647D3" w:rsidRDefault="00A647D3" w:rsidP="00A64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>ClinicalTrials.gov</w:t>
      </w:r>
    </w:p>
    <w:p w14:paraId="1A806B70" w14:textId="77777777" w:rsidR="00A647D3" w:rsidRPr="00A647D3" w:rsidRDefault="00A647D3" w:rsidP="00A64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Search terms:</w:t>
      </w:r>
      <w:r w:rsidRPr="00A647D3">
        <w:rPr>
          <w:rFonts w:ascii="Times New Roman" w:eastAsia="Times New Roman" w:hAnsi="Times New Roman" w:cs="Times New Roman"/>
          <w:sz w:val="24"/>
          <w:szCs w:val="24"/>
        </w:rPr>
        <w:br/>
        <w:t>myelomeningocele fetal repair</w:t>
      </w:r>
    </w:p>
    <w:p w14:paraId="4BA66249" w14:textId="77777777" w:rsidR="00A647D3" w:rsidRPr="00A647D3" w:rsidRDefault="00A647D3" w:rsidP="00A647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b/>
          <w:bCs/>
          <w:sz w:val="24"/>
          <w:szCs w:val="24"/>
        </w:rPr>
        <w:t>Filters:</w:t>
      </w:r>
    </w:p>
    <w:p w14:paraId="491556A5" w14:textId="77777777" w:rsidR="00A647D3" w:rsidRPr="00A647D3" w:rsidRDefault="00A647D3" w:rsidP="00A647D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>Study type: Interventional (Clinical Trial)</w:t>
      </w:r>
    </w:p>
    <w:p w14:paraId="52A9E6C2" w14:textId="77777777" w:rsidR="00A647D3" w:rsidRPr="00A647D3" w:rsidRDefault="00A647D3" w:rsidP="00A647D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>Status: Completed OR Recruiting</w:t>
      </w:r>
    </w:p>
    <w:p w14:paraId="5B06931E" w14:textId="77777777" w:rsidR="00A647D3" w:rsidRPr="00A647D3" w:rsidRDefault="00A647D3" w:rsidP="00A647D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>Condition/disease: Myelomeningocele OR Spina Bifida</w:t>
      </w:r>
    </w:p>
    <w:p w14:paraId="2646BC4B" w14:textId="77777777" w:rsidR="00A647D3" w:rsidRPr="00A647D3" w:rsidRDefault="00A647D3" w:rsidP="00A647D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647D3">
        <w:rPr>
          <w:rFonts w:ascii="Times New Roman" w:eastAsia="Times New Roman" w:hAnsi="Times New Roman" w:cs="Times New Roman"/>
          <w:sz w:val="24"/>
          <w:szCs w:val="24"/>
        </w:rPr>
        <w:t>Posted date on or before November 30, 2024</w:t>
      </w:r>
    </w:p>
    <w:p w14:paraId="2937F897" w14:textId="77777777" w:rsidR="00A647D3" w:rsidRDefault="00A647D3"/>
    <w:p w14:paraId="5F6A04A8" w14:textId="173EECD1" w:rsidR="007048B0" w:rsidRDefault="007048B0">
      <w:pPr>
        <w:rPr>
          <w:rtl/>
        </w:rPr>
      </w:pPr>
    </w:p>
    <w:p w14:paraId="640FC6A5" w14:textId="77777777" w:rsidR="007048B0" w:rsidRDefault="007048B0"/>
    <w:p w14:paraId="5638B440" w14:textId="264BFBD9" w:rsidR="000D09F5" w:rsidRDefault="007048B0" w:rsidP="007048B0">
      <w:pPr>
        <w:rPr>
          <w:rFonts w:ascii="Times New Roman" w:eastAsia="Times New Roman" w:hAnsi="Times New Roman" w:cs="Times New Roman"/>
          <w:sz w:val="24"/>
          <w:szCs w:val="24"/>
          <w:rtl/>
        </w:rPr>
      </w:pPr>
      <w:r w:rsidRPr="00606725">
        <w:rPr>
          <w:rFonts w:ascii="Times New Roman" w:eastAsia="Times New Roman" w:hAnsi="Times New Roman" w:cs="Times New Roman"/>
          <w:b/>
          <w:bCs/>
          <w:sz w:val="24"/>
          <w:szCs w:val="24"/>
        </w:rPr>
        <w:t>Appendix B.</w:t>
      </w:r>
      <w:r w:rsidRPr="00606725">
        <w:rPr>
          <w:rFonts w:ascii="Times New Roman" w:eastAsia="Times New Roman" w:hAnsi="Times New Roman" w:cs="Times New Roman"/>
          <w:sz w:val="24"/>
          <w:szCs w:val="24"/>
        </w:rPr>
        <w:t xml:space="preserve"> Completed PRISMA 2020 27-item Checklist</w:t>
      </w:r>
      <w:r w:rsidRPr="00606725">
        <w:rPr>
          <w:rFonts w:ascii="Times New Roman" w:eastAsia="Times New Roman" w:hAnsi="Times New Roman" w:cs="Times New Roman"/>
          <w:sz w:val="24"/>
          <w:szCs w:val="24"/>
        </w:rPr>
        <w:br/>
      </w:r>
      <w:r w:rsidR="004320DA">
        <w:rPr>
          <w:rFonts w:ascii="Times New Roman" w:eastAsia="Times New Roman" w:hAnsi="Times New Roman" w:cs="Times New Roman"/>
          <w:sz w:val="24"/>
          <w:szCs w:val="24"/>
        </w:rPr>
        <w:t>a</w:t>
      </w:r>
      <w:r w:rsidR="00A124E4" w:rsidRPr="00A124E4">
        <w:rPr>
          <w:rFonts w:ascii="Times New Roman" w:eastAsia="Times New Roman" w:hAnsi="Times New Roman" w:cs="Times New Roman"/>
          <w:sz w:val="24"/>
          <w:szCs w:val="24"/>
        </w:rPr>
        <w:t xml:space="preserve"> complete PRISMA 2020 27‐item checklist for </w:t>
      </w:r>
      <w:r w:rsidR="004320D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A124E4" w:rsidRPr="00A124E4">
        <w:rPr>
          <w:rFonts w:ascii="Times New Roman" w:eastAsia="Times New Roman" w:hAnsi="Times New Roman" w:cs="Times New Roman"/>
          <w:sz w:val="24"/>
          <w:szCs w:val="24"/>
        </w:rPr>
        <w:t xml:space="preserve">systematic review, with each item and where it is </w:t>
      </w:r>
      <w:r w:rsidR="00A124E4" w:rsidRPr="007048B0">
        <w:rPr>
          <w:rFonts w:ascii="Times New Roman" w:eastAsia="Times New Roman" w:hAnsi="Times New Roman" w:cs="Times New Roman"/>
          <w:sz w:val="24"/>
          <w:szCs w:val="24"/>
        </w:rPr>
        <w:t xml:space="preserve">reported in </w:t>
      </w:r>
      <w:r w:rsidR="004320DA" w:rsidRPr="007048B0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A124E4" w:rsidRPr="007048B0">
        <w:rPr>
          <w:rFonts w:ascii="Times New Roman" w:eastAsia="Times New Roman" w:hAnsi="Times New Roman" w:cs="Times New Roman"/>
          <w:sz w:val="24"/>
          <w:szCs w:val="24"/>
        </w:rPr>
        <w:t xml:space="preserve"> manuscript</w:t>
      </w:r>
      <w:r w:rsidR="00CB4AA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1E87125" w14:textId="77777777" w:rsidR="007048B0" w:rsidRPr="007048B0" w:rsidRDefault="007048B0" w:rsidP="007048B0">
      <w:pPr>
        <w:rPr>
          <w:rtl/>
        </w:rPr>
      </w:pPr>
    </w:p>
    <w:tbl>
      <w:tblPr>
        <w:tblpPr w:leftFromText="180" w:rightFromText="180" w:vertAnchor="text" w:horzAnchor="margin" w:tblpXSpec="center" w:tblpY="-1146"/>
        <w:tblW w:w="0" w:type="auto"/>
        <w:tblLook w:val="04A0" w:firstRow="1" w:lastRow="0" w:firstColumn="1" w:lastColumn="0" w:noHBand="0" w:noVBand="1"/>
      </w:tblPr>
      <w:tblGrid>
        <w:gridCol w:w="2534"/>
        <w:gridCol w:w="578"/>
        <w:gridCol w:w="6248"/>
      </w:tblGrid>
      <w:tr w:rsidR="000712C2" w:rsidRPr="00CB4AA2" w14:paraId="4AA4478F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046815B9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Section and Topic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160D76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Item #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FD409A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Location where item is reported</w:t>
            </w:r>
          </w:p>
        </w:tc>
      </w:tr>
      <w:tr w:rsidR="000712C2" w:rsidRPr="00CB4AA2" w14:paraId="00A59325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1B5A1D48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TITLE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220EF2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D74601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Title page: “Open fetal versus postnatal myelomeningocele repair: a systematic review and meta-analysis”</w:t>
            </w:r>
          </w:p>
        </w:tc>
      </w:tr>
      <w:tr w:rsidR="000712C2" w:rsidRPr="00CB4AA2" w14:paraId="5213B72F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6B0AB2CD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ABSTRACT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47A63CE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B3A026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Abstract (pp. 1–2)</w:t>
            </w:r>
          </w:p>
        </w:tc>
      </w:tr>
      <w:tr w:rsidR="000712C2" w:rsidRPr="00CB4AA2" w14:paraId="684F082A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596756B2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INTRODUCTION – Rationale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C75D596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8546261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Introduction, para 1 (p. 3)</w:t>
            </w:r>
          </w:p>
        </w:tc>
      </w:tr>
      <w:tr w:rsidR="000712C2" w:rsidRPr="00CB4AA2" w14:paraId="630DB5AA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3AF926CC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INTRODUCTION – Objectives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523D66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207AA3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Introduction, final para (p. 4)</w:t>
            </w:r>
          </w:p>
        </w:tc>
      </w:tr>
      <w:tr w:rsidR="000712C2" w:rsidRPr="00CB4AA2" w14:paraId="668C8377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1FFF326C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Eligibility criteria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3E0FC9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FFDB4B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Eligibility criteria (pp. 5–6)</w:t>
            </w:r>
          </w:p>
        </w:tc>
      </w:tr>
      <w:tr w:rsidR="000712C2" w:rsidRPr="00CB4AA2" w14:paraId="67F12098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379C676A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Information sources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3818AA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76142F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Information sources (p. 6)</w:t>
            </w:r>
          </w:p>
        </w:tc>
      </w:tr>
      <w:tr w:rsidR="000712C2" w:rsidRPr="00CB4AA2" w14:paraId="065FAB07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287C5909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Search strategy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7084BD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2F79C8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Appendix A – Full electronic search strategies (pp. 22–24)</w:t>
            </w:r>
          </w:p>
        </w:tc>
      </w:tr>
      <w:tr w:rsidR="000712C2" w:rsidRPr="00CB4AA2" w14:paraId="7A0F9921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1F30D5F4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Selection process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8CC423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6A962A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Study selection (p. 7)</w:t>
            </w:r>
          </w:p>
        </w:tc>
      </w:tr>
      <w:tr w:rsidR="000712C2" w:rsidRPr="00CB4AA2" w14:paraId="73C5DCCB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437278F4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Data collection process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970D1F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60E0AEC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Data extraction and management (pp. 7–8)</w:t>
            </w:r>
          </w:p>
        </w:tc>
      </w:tr>
      <w:tr w:rsidR="000712C2" w:rsidRPr="00CB4AA2" w14:paraId="38B1E35A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08B44884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Data items (outcomes)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4EB1AB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8FAB78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Outcomes and definitions (p. 6)</w:t>
            </w:r>
          </w:p>
        </w:tc>
      </w:tr>
      <w:tr w:rsidR="000712C2" w:rsidRPr="00CB4AA2" w14:paraId="60FB2D19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1B6BB57C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Data items (other variables)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E1E1BF5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10b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15B630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Covariates and subgroup variables (p. 6)</w:t>
            </w:r>
          </w:p>
        </w:tc>
      </w:tr>
      <w:tr w:rsidR="000712C2" w:rsidRPr="00CB4AA2" w14:paraId="19D2A41E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1EFDF3DF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Risk of bias assessment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81790C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677A7C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Risk of bias assessment (RoB 2 &amp; ROBINS-I) (p. 8)</w:t>
            </w:r>
          </w:p>
        </w:tc>
      </w:tr>
      <w:tr w:rsidR="000712C2" w:rsidRPr="00CB4AA2" w14:paraId="2F04DF16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40EEC7CC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Effect measures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373C017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9C0F53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Statistical analysis (p. 9)</w:t>
            </w:r>
          </w:p>
        </w:tc>
      </w:tr>
      <w:tr w:rsidR="000712C2" w:rsidRPr="00CB4AA2" w14:paraId="7FEE5EBB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68EF131A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Synthesis methods (eligibility)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BCAA8E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DB94F6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Synthesis overview (p. 9)</w:t>
            </w:r>
          </w:p>
        </w:tc>
      </w:tr>
      <w:tr w:rsidR="000712C2" w:rsidRPr="00CB4AA2" w14:paraId="1FB8AAEC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76B52311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Synthesis methods (data prep)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0F3C30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13b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893B68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Data transformations (p. 9)</w:t>
            </w:r>
          </w:p>
        </w:tc>
      </w:tr>
      <w:tr w:rsidR="000712C2" w:rsidRPr="00CB4AA2" w14:paraId="0A707CD7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0A81E4AC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Synthesis methods (data display)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2E5228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AF8AE7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Forest plot and table preparation (p. 9)</w:t>
            </w:r>
          </w:p>
        </w:tc>
      </w:tr>
      <w:tr w:rsidR="000712C2" w:rsidRPr="00CB4AA2" w14:paraId="522FE3B8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1871EB12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Synthesis methods (meta-analysis model)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53D665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EDA27A6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DerSimonian–Laird random-effects model; Cochran’s Q &amp; I²; RevMan 5.4 (p. 9)</w:t>
            </w:r>
          </w:p>
        </w:tc>
      </w:tr>
      <w:tr w:rsidR="000712C2" w:rsidRPr="00CB4AA2" w14:paraId="64894D09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123FF093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Synthesis methods (heterogeneity exploration)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FCEC01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D048E5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Subgroup analysis and meta-regression (p. 10)</w:t>
            </w:r>
          </w:p>
        </w:tc>
      </w:tr>
      <w:tr w:rsidR="000712C2" w:rsidRPr="00CB4AA2" w14:paraId="24654332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025D35EE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Synthesis methods (sensitivity analyses)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CEA8EE7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13f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9619B7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Sensitivity analyses (leave-one-out, high-risk-of-bias exclusion) (p. 10)</w:t>
            </w:r>
          </w:p>
        </w:tc>
      </w:tr>
      <w:tr w:rsidR="000712C2" w:rsidRPr="00CB4AA2" w14:paraId="515D900B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5BCF941A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Reporting bias assessment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719977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C2F5D4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Publication bias (funnel plot, Egger’s test, trim-and-fill) (p. 10)</w:t>
            </w:r>
          </w:p>
        </w:tc>
      </w:tr>
      <w:tr w:rsidR="000712C2" w:rsidRPr="00CB4AA2" w14:paraId="0801815E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0D6BE186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Certainty assessment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EB777E4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636AB5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GRADE approach (p. 11)</w:t>
            </w:r>
          </w:p>
        </w:tc>
      </w:tr>
      <w:tr w:rsidR="000712C2" w:rsidRPr="00CB4AA2" w14:paraId="3D912085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3CCC9DEF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Study selection (flow diagram)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D3A8CD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A52534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PRISMA flowchart (Figure 1, p. 12)</w:t>
            </w:r>
          </w:p>
        </w:tc>
      </w:tr>
      <w:tr w:rsidR="000712C2" w:rsidRPr="00CB4AA2" w14:paraId="624209BA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039965FD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Study selection (exclusions)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EA3BF4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16b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DE6E81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Excluded studies table (Appendix B, p. 12)</w:t>
            </w:r>
          </w:p>
        </w:tc>
      </w:tr>
      <w:tr w:rsidR="000712C2" w:rsidRPr="00CB4AA2" w14:paraId="3E160967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1A7C0D9F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Study characteristics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235991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69D4CF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Table 1: Study characteristics (p. 13)</w:t>
            </w:r>
          </w:p>
        </w:tc>
      </w:tr>
      <w:tr w:rsidR="000712C2" w:rsidRPr="00CB4AA2" w14:paraId="74D9F882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6E73862A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Risk of bias in studies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EED99D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CC7CBC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Figures 2 &amp; 3: RoB 2 and ROBINS-I summaries (p. 14)</w:t>
            </w:r>
          </w:p>
        </w:tc>
      </w:tr>
      <w:tr w:rsidR="000712C2" w:rsidRPr="00CB4AA2" w14:paraId="2EC2D126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691F869D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Results of individual studies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7C2ABF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A97A3B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Tables 2–4: Individual and pooled estimates (pp. 15–16)</w:t>
            </w:r>
          </w:p>
        </w:tc>
      </w:tr>
      <w:tr w:rsidR="000712C2" w:rsidRPr="00CB4AA2" w14:paraId="2E1704C6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02DE5CA0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Results of syntheses (summary)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9413FC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4869FF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“Meta-analysis findings” section (pp. 15–16)</w:t>
            </w:r>
          </w:p>
        </w:tc>
      </w:tr>
      <w:tr w:rsidR="000712C2" w:rsidRPr="00CB4AA2" w14:paraId="1369ED82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441EEF0E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Results of syntheses (meta-analysis)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C5BEBB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20b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A8379B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Forest plots (Figures 4–6) and I²/Q statistics (p. 16)</w:t>
            </w:r>
          </w:p>
        </w:tc>
      </w:tr>
      <w:tr w:rsidR="000712C2" w:rsidRPr="00CB4AA2" w14:paraId="3024A132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61C9508B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Results of syntheses (heterogeneity)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23C6CE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DA93A0C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Meta-regression &amp; subgroup analyses (p. 17)</w:t>
            </w:r>
          </w:p>
        </w:tc>
      </w:tr>
      <w:tr w:rsidR="000712C2" w:rsidRPr="00CB4AA2" w14:paraId="39AA93D0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0848D5E8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Results of syntheses (sensitivity)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D42D77B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68EF21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Sensitivity analyses (p. 17)</w:t>
            </w:r>
          </w:p>
        </w:tc>
      </w:tr>
      <w:tr w:rsidR="000712C2" w:rsidRPr="00CB4AA2" w14:paraId="42544406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5FF56FB2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Reporting biases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CAF766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0AB9A89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Funnel plots &amp; Egger’s tests (Figure 7, p. 18)</w:t>
            </w:r>
          </w:p>
        </w:tc>
      </w:tr>
      <w:tr w:rsidR="000712C2" w:rsidRPr="00CB4AA2" w14:paraId="4FC58FE3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35C2743F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Certainty of evidence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F25519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A1584F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Results – GRADE summary-of-findings table (Table 5, p. 18)</w:t>
            </w:r>
          </w:p>
        </w:tc>
      </w:tr>
      <w:tr w:rsidR="000712C2" w:rsidRPr="00CB4AA2" w14:paraId="6B7E58B1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692DD25A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DISCUSSION – General interpretation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EBAD33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0DA4F7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Discussion – Principal findings &amp; Comparison to prior evidence (pp. 19–20)</w:t>
            </w:r>
          </w:p>
        </w:tc>
      </w:tr>
      <w:tr w:rsidR="000712C2" w:rsidRPr="00CB4AA2" w14:paraId="22082CA3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691D6AA5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DISCUSSION – Limitations of evidence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912EF5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23b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764A2B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Discussion – Strengths &amp; limitations (p. 21)</w:t>
            </w:r>
          </w:p>
        </w:tc>
      </w:tr>
      <w:tr w:rsidR="000712C2" w:rsidRPr="00CB4AA2" w14:paraId="201FD347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2EA53AF7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DISCUSSION – Limitations of review processes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3D3CFBA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22A4F9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Discussion – Strengths &amp; limitations (p. 21)</w:t>
            </w:r>
          </w:p>
        </w:tc>
      </w:tr>
      <w:tr w:rsidR="000712C2" w:rsidRPr="00CB4AA2" w14:paraId="2C46890F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7FF91711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DISCUSSION – Implications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1F6E3EF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3DADEE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Discussion – Clinical implications &amp; Future directions (pp. 21–22)</w:t>
            </w:r>
          </w:p>
        </w:tc>
      </w:tr>
      <w:tr w:rsidR="000712C2" w:rsidRPr="00CB4AA2" w14:paraId="2E445A06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2904D932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OTHER INFORMATION – Registration and protocol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A0D1759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302B868" w14:textId="55D61C94" w:rsidR="000712C2" w:rsidRPr="000712C2" w:rsidRDefault="000712C2" w:rsidP="00071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712C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This systematic review was prospectively registered in the PROSPERO international database (registration ID: </w:t>
            </w:r>
            <w:r w:rsidR="00996E88" w:rsidRPr="00996E8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CRD420251103394</w:t>
            </w:r>
            <w:r w:rsidRPr="000712C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). The full protocol, detailing the eligibility criteria, search strategy, data extraction methods, and planned analyses,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will be</w:t>
            </w:r>
            <w:r w:rsidRPr="000712C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publicly accessible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soon.</w:t>
            </w:r>
          </w:p>
          <w:p w14:paraId="3FA81542" w14:textId="59DFF17B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712C2" w:rsidRPr="00CB4AA2" w14:paraId="51C67E7B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0F3E51E1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 INFORMATION – Protocol access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D7D2F8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24b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B5F6B7" w14:textId="66EBEBCC" w:rsidR="00CB4AA2" w:rsidRPr="00CB56C4" w:rsidRDefault="00CB4AA2" w:rsidP="00CB4A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B4AA2">
              <w:rPr>
                <w:rFonts w:ascii="Calibri" w:eastAsia="Times New Roman" w:hAnsi="Calibri" w:cs="Calibri"/>
                <w:sz w:val="18"/>
                <w:szCs w:val="18"/>
              </w:rPr>
              <w:t xml:space="preserve">we followed PRISMA 2020 Protocols </w:t>
            </w:r>
          </w:p>
        </w:tc>
      </w:tr>
      <w:tr w:rsidR="000712C2" w:rsidRPr="00CB4AA2" w14:paraId="22F0512B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46EF10C5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 INFORMATION – Protocol amendments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633878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949A4D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Methods – Protocol amendments: none after initial registration (p. 5)</w:t>
            </w:r>
          </w:p>
        </w:tc>
      </w:tr>
      <w:tr w:rsidR="000712C2" w:rsidRPr="00CB4AA2" w14:paraId="3DC25C69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7866A640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 INFORMATION – Support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504D7F8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1FC480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Acknowledgments (p. 23): institutional (departmental) support; no external funding</w:t>
            </w:r>
          </w:p>
        </w:tc>
      </w:tr>
      <w:tr w:rsidR="000712C2" w:rsidRPr="00CB4AA2" w14:paraId="53979181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645FEFED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 INFORMATION – Competing interests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843163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76A4A8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Acknowledgments (p. 23): all authors declare no conflicts of interest</w:t>
            </w:r>
          </w:p>
        </w:tc>
      </w:tr>
      <w:tr w:rsidR="000712C2" w:rsidRPr="00CB4AA2" w14:paraId="1F184E06" w14:textId="77777777" w:rsidTr="00CB4AA2">
        <w:trPr>
          <w:trHeight w:val="20"/>
        </w:trPr>
        <w:tc>
          <w:tcPr>
            <w:tcW w:w="0" w:type="auto"/>
            <w:shd w:val="clear" w:color="auto" w:fill="auto"/>
            <w:vAlign w:val="center"/>
            <w:hideMark/>
          </w:tcPr>
          <w:p w14:paraId="78B5DED9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 INFORMATION – Availability of data, code and other materials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3314A1" w14:textId="77777777" w:rsidR="00CB4AA2" w:rsidRPr="00CB56C4" w:rsidRDefault="00CB4AA2" w:rsidP="00CB4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56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404EB5" w14:textId="3FFA2C2D" w:rsidR="00CB4AA2" w:rsidRPr="00CB56C4" w:rsidRDefault="00CB4AA2" w:rsidP="00CB4A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CB4AA2">
              <w:rPr>
                <w:rFonts w:ascii="Calibri" w:eastAsia="Times New Roman" w:hAnsi="Calibri" w:cs="Calibri"/>
                <w:sz w:val="18"/>
                <w:szCs w:val="18"/>
              </w:rPr>
              <w:t xml:space="preserve">No available materials are publicly available </w:t>
            </w:r>
          </w:p>
        </w:tc>
      </w:tr>
    </w:tbl>
    <w:p w14:paraId="0DB32F92" w14:textId="2E34BA79" w:rsidR="000D09F5" w:rsidRDefault="000D09F5">
      <w:pPr>
        <w:rPr>
          <w:rtl/>
        </w:rPr>
      </w:pPr>
    </w:p>
    <w:p w14:paraId="37E283E8" w14:textId="07EB2DDB" w:rsidR="000D09F5" w:rsidRDefault="000D09F5">
      <w:pPr>
        <w:rPr>
          <w:rtl/>
        </w:rPr>
      </w:pPr>
    </w:p>
    <w:p w14:paraId="644AE47A" w14:textId="282C05D2" w:rsidR="000D09F5" w:rsidRDefault="000D09F5">
      <w:pPr>
        <w:rPr>
          <w:rtl/>
        </w:rPr>
      </w:pPr>
    </w:p>
    <w:p w14:paraId="5E09E9C1" w14:textId="1648F785" w:rsidR="007048B0" w:rsidRDefault="007048B0" w:rsidP="0081259C">
      <w:pPr>
        <w:spacing w:before="100" w:beforeAutospacing="1" w:after="100" w:afterAutospacing="1" w:line="240" w:lineRule="auto"/>
      </w:pPr>
    </w:p>
    <w:p w14:paraId="084C7586" w14:textId="78453EBD" w:rsidR="003A7A5E" w:rsidRDefault="003A7A5E" w:rsidP="0081259C">
      <w:pPr>
        <w:spacing w:before="100" w:beforeAutospacing="1" w:after="100" w:afterAutospacing="1" w:line="240" w:lineRule="auto"/>
      </w:pPr>
    </w:p>
    <w:p w14:paraId="1384C72F" w14:textId="67DA068D" w:rsidR="003A7A5E" w:rsidRDefault="003A7A5E" w:rsidP="0081259C">
      <w:pPr>
        <w:spacing w:before="100" w:beforeAutospacing="1" w:after="100" w:afterAutospacing="1" w:line="240" w:lineRule="auto"/>
      </w:pPr>
    </w:p>
    <w:p w14:paraId="323A3D12" w14:textId="7F4599F3" w:rsidR="003A7A5E" w:rsidRDefault="003A7A5E" w:rsidP="0081259C">
      <w:pPr>
        <w:spacing w:before="100" w:beforeAutospacing="1" w:after="100" w:afterAutospacing="1" w:line="240" w:lineRule="auto"/>
      </w:pPr>
    </w:p>
    <w:p w14:paraId="2C300B3F" w14:textId="4A2C2F0D" w:rsidR="003A7A5E" w:rsidRDefault="003A7A5E" w:rsidP="0081259C">
      <w:pPr>
        <w:spacing w:before="100" w:beforeAutospacing="1" w:after="100" w:afterAutospacing="1" w:line="240" w:lineRule="auto"/>
      </w:pPr>
    </w:p>
    <w:p w14:paraId="1C15E449" w14:textId="0EE380D7" w:rsidR="003A7A5E" w:rsidRDefault="003A7A5E" w:rsidP="0081259C">
      <w:pPr>
        <w:spacing w:before="100" w:beforeAutospacing="1" w:after="100" w:afterAutospacing="1" w:line="240" w:lineRule="auto"/>
      </w:pPr>
    </w:p>
    <w:p w14:paraId="48D2740C" w14:textId="4CBAD630" w:rsidR="003A7A5E" w:rsidRDefault="003A7A5E" w:rsidP="0081259C">
      <w:pPr>
        <w:spacing w:before="100" w:beforeAutospacing="1" w:after="100" w:afterAutospacing="1" w:line="240" w:lineRule="auto"/>
      </w:pPr>
    </w:p>
    <w:p w14:paraId="36B7C382" w14:textId="42D4246C" w:rsidR="003A7A5E" w:rsidRDefault="003A7A5E" w:rsidP="0081259C">
      <w:pPr>
        <w:spacing w:before="100" w:beforeAutospacing="1" w:after="100" w:afterAutospacing="1" w:line="240" w:lineRule="auto"/>
      </w:pPr>
    </w:p>
    <w:p w14:paraId="5F86270A" w14:textId="38948260" w:rsidR="003A7A5E" w:rsidRDefault="003A7A5E" w:rsidP="0081259C">
      <w:pPr>
        <w:spacing w:before="100" w:beforeAutospacing="1" w:after="100" w:afterAutospacing="1" w:line="240" w:lineRule="auto"/>
      </w:pPr>
    </w:p>
    <w:p w14:paraId="345A6B40" w14:textId="0BD14FF1" w:rsidR="003A7A5E" w:rsidRDefault="003A7A5E" w:rsidP="0081259C">
      <w:pPr>
        <w:spacing w:before="100" w:beforeAutospacing="1" w:after="100" w:afterAutospacing="1" w:line="240" w:lineRule="auto"/>
      </w:pPr>
    </w:p>
    <w:p w14:paraId="77F49448" w14:textId="7CE99626" w:rsidR="003A7A5E" w:rsidRDefault="003A7A5E" w:rsidP="0081259C">
      <w:pPr>
        <w:spacing w:before="100" w:beforeAutospacing="1" w:after="100" w:afterAutospacing="1" w:line="240" w:lineRule="auto"/>
      </w:pPr>
    </w:p>
    <w:p w14:paraId="283223B8" w14:textId="269123AF" w:rsidR="003A7A5E" w:rsidRDefault="003A7A5E" w:rsidP="0081259C">
      <w:pPr>
        <w:spacing w:before="100" w:beforeAutospacing="1" w:after="100" w:afterAutospacing="1" w:line="240" w:lineRule="auto"/>
      </w:pPr>
    </w:p>
    <w:p w14:paraId="2912C23F" w14:textId="4FB2C447" w:rsidR="003A7A5E" w:rsidRDefault="003A7A5E" w:rsidP="0081259C">
      <w:pPr>
        <w:spacing w:before="100" w:beforeAutospacing="1" w:after="100" w:afterAutospacing="1" w:line="240" w:lineRule="auto"/>
      </w:pPr>
    </w:p>
    <w:p w14:paraId="1820A605" w14:textId="378DD992" w:rsidR="003A7A5E" w:rsidRDefault="003A7A5E" w:rsidP="0081259C">
      <w:pPr>
        <w:spacing w:before="100" w:beforeAutospacing="1" w:after="100" w:afterAutospacing="1" w:line="240" w:lineRule="auto"/>
      </w:pPr>
    </w:p>
    <w:p w14:paraId="57E08204" w14:textId="77777777" w:rsidR="003A7A5E" w:rsidRDefault="003A7A5E" w:rsidP="0081259C">
      <w:pPr>
        <w:spacing w:before="100" w:beforeAutospacing="1" w:after="100" w:afterAutospacing="1" w:line="240" w:lineRule="auto"/>
        <w:rPr>
          <w:rtl/>
        </w:rPr>
      </w:pPr>
    </w:p>
    <w:p w14:paraId="32458FFF" w14:textId="3A6C0BB5" w:rsidR="0081259C" w:rsidRPr="007048B0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048B0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Appendix C. Data-Extraction Forms (Populated)</w:t>
      </w:r>
    </w:p>
    <w:p w14:paraId="31B1E668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sz w:val="24"/>
          <w:szCs w:val="24"/>
        </w:rPr>
        <w:t>Complete one form per study. “NR” = not reported.</w:t>
      </w:r>
    </w:p>
    <w:p w14:paraId="10E0E32C" w14:textId="77777777" w:rsidR="0081259C" w:rsidRPr="007048B0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048B0">
        <w:rPr>
          <w:rFonts w:ascii="Times New Roman" w:eastAsia="Times New Roman" w:hAnsi="Times New Roman" w:cs="Times New Roman"/>
          <w:b/>
          <w:bCs/>
          <w:sz w:val="28"/>
          <w:szCs w:val="28"/>
        </w:rPr>
        <w:t>1. Adzick et al. (2011)</w:t>
      </w:r>
    </w:p>
    <w:p w14:paraId="1E77DC17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Study Identification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Study ID: Adzick 2011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Citation: Adzick NS, Thom EA, Spong CY, et al. A randomized trial of prenatal versus postnatal repair of myelomeningocele. N Engl J Med. 2011;364(11):993–1004.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Centers: CHOP; UCSF; Vanderbilt Univ.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Funding: NIH (MOMS trial)</w:t>
      </w:r>
    </w:p>
    <w:p w14:paraId="77430E4E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Design &amp; Population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Design: RCT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Recruitment: 2003–2009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Inclusion: Isolated MMC, singleton, GA 19–25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wk</w:t>
      </w:r>
      <w:proofErr w:type="spellEnd"/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Exclusion: Multiples; other anomalies; kyphosis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Prenatal arm: n = 91; mean GA 23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wk</w:t>
      </w:r>
      <w:proofErr w:type="spellEnd"/>
      <w:r w:rsidRPr="0081259C">
        <w:rPr>
          <w:rFonts w:ascii="Times New Roman" w:eastAsia="Times New Roman" w:hAnsi="Times New Roman" w:cs="Times New Roman"/>
          <w:sz w:val="24"/>
          <w:szCs w:val="24"/>
        </w:rPr>
        <w:t xml:space="preserve"> (range 19–25)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Postnatal arm: n = 91; GA at birth ~39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wk</w:t>
      </w:r>
      <w:proofErr w:type="spellEnd"/>
    </w:p>
    <w:p w14:paraId="6288D021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Intervention &amp; Comparator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Fetal repair: open hysterotomy (6–8 cm), multilayer closure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Postnatal repair: standard neurosurgical closure within 48 h of birth</w:t>
      </w:r>
    </w:p>
    <w:p w14:paraId="35A55D54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Outcomes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2"/>
        <w:gridCol w:w="2058"/>
        <w:gridCol w:w="1387"/>
        <w:gridCol w:w="1119"/>
        <w:gridCol w:w="1099"/>
        <w:gridCol w:w="1485"/>
      </w:tblGrid>
      <w:tr w:rsidR="0081259C" w:rsidRPr="0081259C" w14:paraId="71570E26" w14:textId="77777777" w:rsidTr="0081259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3FA231A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vAlign w:val="center"/>
            <w:hideMark/>
          </w:tcPr>
          <w:p w14:paraId="4E217024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Definition</w:t>
            </w:r>
          </w:p>
        </w:tc>
        <w:tc>
          <w:tcPr>
            <w:tcW w:w="0" w:type="auto"/>
            <w:vAlign w:val="center"/>
            <w:hideMark/>
          </w:tcPr>
          <w:p w14:paraId="73D7EAC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Timepoint</w:t>
            </w:r>
          </w:p>
        </w:tc>
        <w:tc>
          <w:tcPr>
            <w:tcW w:w="0" w:type="auto"/>
            <w:vAlign w:val="center"/>
            <w:hideMark/>
          </w:tcPr>
          <w:p w14:paraId="3D576628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Prenatal</w:t>
            </w:r>
          </w:p>
        </w:tc>
        <w:tc>
          <w:tcPr>
            <w:tcW w:w="0" w:type="auto"/>
            <w:vAlign w:val="center"/>
            <w:hideMark/>
          </w:tcPr>
          <w:p w14:paraId="5CF6E279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Postnatal</w:t>
            </w:r>
          </w:p>
        </w:tc>
        <w:tc>
          <w:tcPr>
            <w:tcW w:w="0" w:type="auto"/>
            <w:vAlign w:val="center"/>
            <w:hideMark/>
          </w:tcPr>
          <w:p w14:paraId="065B22EA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Notes</w:t>
            </w:r>
          </w:p>
        </w:tc>
      </w:tr>
      <w:tr w:rsidR="0081259C" w:rsidRPr="0081259C" w14:paraId="3724B058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C6A8EA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Shunt-dependent hydrocephalus</w:t>
            </w:r>
          </w:p>
        </w:tc>
        <w:tc>
          <w:tcPr>
            <w:tcW w:w="0" w:type="auto"/>
            <w:vAlign w:val="center"/>
            <w:hideMark/>
          </w:tcPr>
          <w:p w14:paraId="674ADC11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VP shunt or ETV placement</w:t>
            </w:r>
          </w:p>
        </w:tc>
        <w:tc>
          <w:tcPr>
            <w:tcW w:w="0" w:type="auto"/>
            <w:vAlign w:val="center"/>
            <w:hideMark/>
          </w:tcPr>
          <w:p w14:paraId="3DE967D2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E40AF7E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40/91 (44%)</w:t>
            </w:r>
          </w:p>
        </w:tc>
        <w:tc>
          <w:tcPr>
            <w:tcW w:w="0" w:type="auto"/>
            <w:vAlign w:val="center"/>
            <w:hideMark/>
          </w:tcPr>
          <w:p w14:paraId="52994432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83/91 (91%)</w:t>
            </w:r>
          </w:p>
        </w:tc>
        <w:tc>
          <w:tcPr>
            <w:tcW w:w="0" w:type="auto"/>
            <w:vAlign w:val="center"/>
            <w:hideMark/>
          </w:tcPr>
          <w:p w14:paraId="5CDA20AF" w14:textId="77777777" w:rsidR="0081259C" w:rsidRPr="0081259C" w:rsidRDefault="0081259C" w:rsidP="00812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59C" w:rsidRPr="0081259C" w14:paraId="601FF932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8DE07C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Motor-function improvement</w:t>
            </w:r>
          </w:p>
        </w:tc>
        <w:tc>
          <w:tcPr>
            <w:tcW w:w="0" w:type="auto"/>
            <w:vAlign w:val="center"/>
            <w:hideMark/>
          </w:tcPr>
          <w:p w14:paraId="7EE9B794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≥1-level improvement in ambulation</w:t>
            </w:r>
          </w:p>
        </w:tc>
        <w:tc>
          <w:tcPr>
            <w:tcW w:w="0" w:type="auto"/>
            <w:vAlign w:val="center"/>
            <w:hideMark/>
          </w:tcPr>
          <w:p w14:paraId="6734B45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  <w:proofErr w:type="spellStart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F7F02E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21C60ED9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4634514E" w14:textId="77777777" w:rsidR="0081259C" w:rsidRPr="0081259C" w:rsidRDefault="0081259C" w:rsidP="00812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59C" w:rsidRPr="0081259C" w14:paraId="4FFD9405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A7E787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Maternal major morbidity (composite)</w:t>
            </w:r>
          </w:p>
        </w:tc>
        <w:tc>
          <w:tcPr>
            <w:tcW w:w="0" w:type="auto"/>
            <w:vAlign w:val="center"/>
            <w:hideMark/>
          </w:tcPr>
          <w:p w14:paraId="556A0341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Preterm </w:t>
            </w:r>
          </w:p>
        </w:tc>
        <w:tc>
          <w:tcPr>
            <w:tcW w:w="0" w:type="auto"/>
            <w:vAlign w:val="center"/>
            <w:hideMark/>
          </w:tcPr>
          <w:p w14:paraId="5F0BACF4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Delivery–discharge</w:t>
            </w:r>
          </w:p>
        </w:tc>
        <w:tc>
          <w:tcPr>
            <w:tcW w:w="0" w:type="auto"/>
            <w:vAlign w:val="center"/>
            <w:hideMark/>
          </w:tcPr>
          <w:p w14:paraId="5DF6EC66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31/91 (34</w:t>
            </w:r>
            <w:proofErr w:type="gramStart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%)[</w:t>
            </w:r>
            <w:proofErr w:type="gramEnd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¹]</w:t>
            </w:r>
          </w:p>
        </w:tc>
        <w:tc>
          <w:tcPr>
            <w:tcW w:w="0" w:type="auto"/>
            <w:vAlign w:val="center"/>
            <w:hideMark/>
          </w:tcPr>
          <w:p w14:paraId="64D7E423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8/91 (9</w:t>
            </w:r>
            <w:proofErr w:type="gramStart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%)[</w:t>
            </w:r>
            <w:proofErr w:type="gramEnd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¹]</w:t>
            </w:r>
          </w:p>
        </w:tc>
        <w:tc>
          <w:tcPr>
            <w:tcW w:w="0" w:type="auto"/>
            <w:vAlign w:val="center"/>
            <w:hideMark/>
          </w:tcPr>
          <w:p w14:paraId="4957FFCF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Component rates NR</w:t>
            </w:r>
          </w:p>
        </w:tc>
      </w:tr>
    </w:tbl>
    <w:p w14:paraId="75FE2F44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Follow-Up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Duration: 24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mo</w:t>
      </w:r>
      <w:proofErr w:type="spellEnd"/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Lost to follow-up: 4 (4%) prenatal; 2 (2%) postnatal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Ascertainment: Clinic visits, imaging</w:t>
      </w:r>
    </w:p>
    <w:p w14:paraId="33682975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Risk of Bias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Tool: RoB 2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</w:r>
      <w:r w:rsidRPr="0081259C">
        <w:rPr>
          <w:rFonts w:ascii="Times New Roman" w:eastAsia="Times New Roman" w:hAnsi="Times New Roman" w:cs="Times New Roman"/>
          <w:sz w:val="24"/>
          <w:szCs w:val="24"/>
        </w:rPr>
        <w:lastRenderedPageBreak/>
        <w:t>• Domains: all rated low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Overall: Low risk</w:t>
      </w:r>
    </w:p>
    <w:p w14:paraId="2F230DDE" w14:textId="6ED7CE6B" w:rsidR="007048B0" w:rsidRDefault="007048B0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6816D7BA" w14:textId="77777777" w:rsidR="007048B0" w:rsidRPr="0081259C" w:rsidRDefault="007048B0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D9E25E" w14:textId="77777777" w:rsidR="0081259C" w:rsidRPr="007048B0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048B0">
        <w:rPr>
          <w:rFonts w:ascii="Times New Roman" w:eastAsia="Times New Roman" w:hAnsi="Times New Roman" w:cs="Times New Roman"/>
          <w:b/>
          <w:bCs/>
          <w:sz w:val="28"/>
          <w:szCs w:val="28"/>
        </w:rPr>
        <w:t>2. Tulipan et al. (2016)</w:t>
      </w:r>
    </w:p>
    <w:p w14:paraId="74CE0B55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Study Identification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Study ID: Tulipan 2016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Citation: Tulipan NB, Wellons JC 3rd, Thom EA, et al. Prenatal surgery for myelomeningocele and the need for cerebrospinal fluid shunt placement. J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Neurosurg</w:t>
      </w:r>
      <w:proofErr w:type="spellEnd"/>
      <w:r w:rsidRPr="008125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Pediatr</w:t>
      </w:r>
      <w:proofErr w:type="spellEnd"/>
      <w:r w:rsidRPr="0081259C">
        <w:rPr>
          <w:rFonts w:ascii="Times New Roman" w:eastAsia="Times New Roman" w:hAnsi="Times New Roman" w:cs="Times New Roman"/>
          <w:sz w:val="24"/>
          <w:szCs w:val="24"/>
        </w:rPr>
        <w:t>. 2016;16(6):613–620.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Center: CHOP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Funding: Institutional</w:t>
      </w:r>
    </w:p>
    <w:p w14:paraId="1F95BE42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Design &amp; Population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Design: Prospective cohort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Recruitment: 2009–2014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Inclusion: MMC, singleton, GA 20–26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wk</w:t>
      </w:r>
      <w:proofErr w:type="spellEnd"/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Exclusion: Other major anomalies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Prenatal arm: n = 30; mean GA 22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wk</w:t>
      </w:r>
      <w:proofErr w:type="spellEnd"/>
      <w:r w:rsidRPr="0081259C">
        <w:rPr>
          <w:rFonts w:ascii="Times New Roman" w:eastAsia="Times New Roman" w:hAnsi="Times New Roman" w:cs="Times New Roman"/>
          <w:sz w:val="24"/>
          <w:szCs w:val="24"/>
        </w:rPr>
        <w:t xml:space="preserve"> (range 20–26)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Postnatal arm: n = 30; GA at birth ~39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wk</w:t>
      </w:r>
      <w:proofErr w:type="spellEnd"/>
    </w:p>
    <w:p w14:paraId="4EB09F8D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Intervention &amp; Comparator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Fetal repair: open hysterotomy (~6 cm), two-layer closure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Postnatal repair: standard</w:t>
      </w:r>
    </w:p>
    <w:p w14:paraId="68E5B930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Outcomes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6"/>
        <w:gridCol w:w="1755"/>
        <w:gridCol w:w="1127"/>
        <w:gridCol w:w="1049"/>
        <w:gridCol w:w="1102"/>
        <w:gridCol w:w="2291"/>
      </w:tblGrid>
      <w:tr w:rsidR="0081259C" w:rsidRPr="0081259C" w14:paraId="550786CF" w14:textId="77777777" w:rsidTr="0081259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FFE65E4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vAlign w:val="center"/>
            <w:hideMark/>
          </w:tcPr>
          <w:p w14:paraId="6D97B48A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Definition</w:t>
            </w:r>
          </w:p>
        </w:tc>
        <w:tc>
          <w:tcPr>
            <w:tcW w:w="0" w:type="auto"/>
            <w:vAlign w:val="center"/>
            <w:hideMark/>
          </w:tcPr>
          <w:p w14:paraId="6FF614B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Timepoint</w:t>
            </w:r>
          </w:p>
        </w:tc>
        <w:tc>
          <w:tcPr>
            <w:tcW w:w="0" w:type="auto"/>
            <w:vAlign w:val="center"/>
            <w:hideMark/>
          </w:tcPr>
          <w:p w14:paraId="4E863ADA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Prenatal</w:t>
            </w:r>
          </w:p>
        </w:tc>
        <w:tc>
          <w:tcPr>
            <w:tcW w:w="0" w:type="auto"/>
            <w:vAlign w:val="center"/>
            <w:hideMark/>
          </w:tcPr>
          <w:p w14:paraId="0E8C8CD9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Postnatal</w:t>
            </w:r>
          </w:p>
        </w:tc>
        <w:tc>
          <w:tcPr>
            <w:tcW w:w="0" w:type="auto"/>
            <w:vAlign w:val="center"/>
            <w:hideMark/>
          </w:tcPr>
          <w:p w14:paraId="41041788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Notes</w:t>
            </w:r>
          </w:p>
        </w:tc>
      </w:tr>
      <w:tr w:rsidR="0081259C" w:rsidRPr="0081259C" w14:paraId="7ACFCB6A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CB9B34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Shunt-dependent hydrocephalus</w:t>
            </w:r>
          </w:p>
        </w:tc>
        <w:tc>
          <w:tcPr>
            <w:tcW w:w="0" w:type="auto"/>
            <w:vAlign w:val="center"/>
            <w:hideMark/>
          </w:tcPr>
          <w:p w14:paraId="4A0DD1DD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VP shunt or ETV placement</w:t>
            </w:r>
          </w:p>
        </w:tc>
        <w:tc>
          <w:tcPr>
            <w:tcW w:w="0" w:type="auto"/>
            <w:vAlign w:val="center"/>
            <w:hideMark/>
          </w:tcPr>
          <w:p w14:paraId="0F38D910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EC031F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10/30 (33%)</w:t>
            </w:r>
          </w:p>
        </w:tc>
        <w:tc>
          <w:tcPr>
            <w:tcW w:w="0" w:type="auto"/>
            <w:vAlign w:val="center"/>
            <w:hideMark/>
          </w:tcPr>
          <w:p w14:paraId="03407A9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27/30 (90%)</w:t>
            </w:r>
          </w:p>
        </w:tc>
        <w:tc>
          <w:tcPr>
            <w:tcW w:w="0" w:type="auto"/>
            <w:vAlign w:val="center"/>
            <w:hideMark/>
          </w:tcPr>
          <w:p w14:paraId="5BAC4494" w14:textId="77777777" w:rsidR="0081259C" w:rsidRPr="0081259C" w:rsidRDefault="0081259C" w:rsidP="00812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59C" w:rsidRPr="0081259C" w14:paraId="202D5C51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BB96B3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Motor-function improvement</w:t>
            </w:r>
          </w:p>
        </w:tc>
        <w:tc>
          <w:tcPr>
            <w:tcW w:w="0" w:type="auto"/>
            <w:vAlign w:val="center"/>
            <w:hideMark/>
          </w:tcPr>
          <w:p w14:paraId="079107CE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≥1-level change in ambulation</w:t>
            </w:r>
          </w:p>
        </w:tc>
        <w:tc>
          <w:tcPr>
            <w:tcW w:w="0" w:type="auto"/>
            <w:vAlign w:val="center"/>
            <w:hideMark/>
          </w:tcPr>
          <w:p w14:paraId="61E514D8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  <w:proofErr w:type="spellStart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5D865A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13/30 (43%)</w:t>
            </w:r>
          </w:p>
        </w:tc>
        <w:tc>
          <w:tcPr>
            <w:tcW w:w="0" w:type="auto"/>
            <w:vAlign w:val="center"/>
            <w:hideMark/>
          </w:tcPr>
          <w:p w14:paraId="1AF7E30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32CDE740" w14:textId="77777777" w:rsidR="0081259C" w:rsidRPr="0081259C" w:rsidRDefault="0081259C" w:rsidP="00812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59C" w:rsidRPr="0081259C" w14:paraId="75528EB6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3B4FA5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Maternal major morbidity</w:t>
            </w:r>
          </w:p>
        </w:tc>
        <w:tc>
          <w:tcPr>
            <w:tcW w:w="0" w:type="auto"/>
            <w:vAlign w:val="center"/>
            <w:hideMark/>
          </w:tcPr>
          <w:p w14:paraId="096B139C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Composite (PTD </w:t>
            </w:r>
          </w:p>
        </w:tc>
        <w:tc>
          <w:tcPr>
            <w:tcW w:w="0" w:type="auto"/>
            <w:vAlign w:val="center"/>
            <w:hideMark/>
          </w:tcPr>
          <w:p w14:paraId="6BDBF0A8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Delivery</w:t>
            </w:r>
          </w:p>
        </w:tc>
        <w:tc>
          <w:tcPr>
            <w:tcW w:w="0" w:type="auto"/>
            <w:vAlign w:val="center"/>
            <w:hideMark/>
          </w:tcPr>
          <w:p w14:paraId="6FAC4494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8/30 (27%)</w:t>
            </w:r>
          </w:p>
        </w:tc>
        <w:tc>
          <w:tcPr>
            <w:tcW w:w="0" w:type="auto"/>
            <w:vAlign w:val="center"/>
            <w:hideMark/>
          </w:tcPr>
          <w:p w14:paraId="3ECFE32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484AB6C5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Preterm=8; dehiscence=2; transfusion=4</w:t>
            </w:r>
          </w:p>
        </w:tc>
      </w:tr>
    </w:tbl>
    <w:p w14:paraId="7B39D293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Follow-Up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Duration: 24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mo</w:t>
      </w:r>
      <w:proofErr w:type="spellEnd"/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Lost to follow-up: 0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Ascertainment: Clinic visits</w:t>
      </w:r>
    </w:p>
    <w:p w14:paraId="74505858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Risk of Bias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Tool: ROBINS-I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Overall: Moderate (confounding)</w:t>
      </w:r>
    </w:p>
    <w:p w14:paraId="495A2D6A" w14:textId="77777777" w:rsidR="0081259C" w:rsidRPr="007048B0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048B0">
        <w:rPr>
          <w:rFonts w:ascii="Times New Roman" w:eastAsia="Times New Roman" w:hAnsi="Times New Roman" w:cs="Times New Roman"/>
          <w:b/>
          <w:bCs/>
          <w:sz w:val="28"/>
          <w:szCs w:val="28"/>
        </w:rPr>
        <w:t>3. Farmer et al. (2018)</w:t>
      </w:r>
    </w:p>
    <w:p w14:paraId="238D28AE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Study Identification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Study ID: Farmer 2018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Citation: Farmer DL, Thom EA, Brock JW III, et al. The Management of Myelomeningocele Study: full cohort 30-month pediatric outcomes. Am J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Obstet</w:t>
      </w:r>
      <w:proofErr w:type="spellEnd"/>
      <w:r w:rsidRPr="0081259C">
        <w:rPr>
          <w:rFonts w:ascii="Times New Roman" w:eastAsia="Times New Roman" w:hAnsi="Times New Roman" w:cs="Times New Roman"/>
          <w:sz w:val="24"/>
          <w:szCs w:val="24"/>
        </w:rPr>
        <w:t xml:space="preserve"> Gynecol. 2018;218(2</w:t>
      </w:r>
      <w:proofErr w:type="gramStart"/>
      <w:r w:rsidRPr="0081259C">
        <w:rPr>
          <w:rFonts w:ascii="Times New Roman" w:eastAsia="Times New Roman" w:hAnsi="Times New Roman" w:cs="Times New Roman"/>
          <w:sz w:val="24"/>
          <w:szCs w:val="24"/>
        </w:rPr>
        <w:t>):256.e</w:t>
      </w:r>
      <w:proofErr w:type="gramEnd"/>
      <w:r w:rsidRPr="0081259C">
        <w:rPr>
          <w:rFonts w:ascii="Times New Roman" w:eastAsia="Times New Roman" w:hAnsi="Times New Roman" w:cs="Times New Roman"/>
          <w:sz w:val="24"/>
          <w:szCs w:val="24"/>
        </w:rPr>
        <w:t>1–13.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Centers: Multicenter (MOMS)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Funding: NIH</w:t>
      </w:r>
    </w:p>
    <w:p w14:paraId="795E67A2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Design &amp; Population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Design: Prospective cohort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Recruitment: 2003–2009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Inclusion/Exclusion: as MOMS RCT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Prenatal arm: n = 40 (subset)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Postnatal arm: n = 40 (subset)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GA: 20–26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wk</w:t>
      </w:r>
      <w:proofErr w:type="spellEnd"/>
    </w:p>
    <w:p w14:paraId="35BABC8B" w14:textId="2DA73044" w:rsid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Intervention &amp; Comparator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As per MOMS protocol</w:t>
      </w:r>
    </w:p>
    <w:p w14:paraId="01F36BB6" w14:textId="77777777" w:rsidR="003A7A5E" w:rsidRPr="0081259C" w:rsidRDefault="003A7A5E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E002BA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Outcomes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0"/>
        <w:gridCol w:w="2604"/>
        <w:gridCol w:w="1127"/>
        <w:gridCol w:w="940"/>
        <w:gridCol w:w="1020"/>
        <w:gridCol w:w="649"/>
      </w:tblGrid>
      <w:tr w:rsidR="0081259C" w:rsidRPr="0081259C" w14:paraId="756BE7D8" w14:textId="77777777" w:rsidTr="0081259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7D5786E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vAlign w:val="center"/>
            <w:hideMark/>
          </w:tcPr>
          <w:p w14:paraId="6379EC26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Definition</w:t>
            </w:r>
          </w:p>
        </w:tc>
        <w:tc>
          <w:tcPr>
            <w:tcW w:w="0" w:type="auto"/>
            <w:vAlign w:val="center"/>
            <w:hideMark/>
          </w:tcPr>
          <w:p w14:paraId="576565FD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Timepoint</w:t>
            </w:r>
          </w:p>
        </w:tc>
        <w:tc>
          <w:tcPr>
            <w:tcW w:w="0" w:type="auto"/>
            <w:vAlign w:val="center"/>
            <w:hideMark/>
          </w:tcPr>
          <w:p w14:paraId="6806823C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Prenatal</w:t>
            </w:r>
          </w:p>
        </w:tc>
        <w:tc>
          <w:tcPr>
            <w:tcW w:w="0" w:type="auto"/>
            <w:vAlign w:val="center"/>
            <w:hideMark/>
          </w:tcPr>
          <w:p w14:paraId="5CBF2424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Postnatal</w:t>
            </w:r>
          </w:p>
        </w:tc>
        <w:tc>
          <w:tcPr>
            <w:tcW w:w="0" w:type="auto"/>
            <w:vAlign w:val="center"/>
            <w:hideMark/>
          </w:tcPr>
          <w:p w14:paraId="2BDA6BF2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Notes</w:t>
            </w:r>
          </w:p>
        </w:tc>
      </w:tr>
      <w:tr w:rsidR="0081259C" w:rsidRPr="0081259C" w14:paraId="1934E602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AA4DDE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Shunt-dependent hydrocephalus</w:t>
            </w:r>
          </w:p>
        </w:tc>
        <w:tc>
          <w:tcPr>
            <w:tcW w:w="0" w:type="auto"/>
            <w:vAlign w:val="center"/>
            <w:hideMark/>
          </w:tcPr>
          <w:p w14:paraId="6B7A15FD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VP shunt/ETV</w:t>
            </w:r>
          </w:p>
        </w:tc>
        <w:tc>
          <w:tcPr>
            <w:tcW w:w="0" w:type="auto"/>
            <w:vAlign w:val="center"/>
            <w:hideMark/>
          </w:tcPr>
          <w:p w14:paraId="45AA6AA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CB015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47FFD4BA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3C90C727" w14:textId="77777777" w:rsidR="0081259C" w:rsidRPr="0081259C" w:rsidRDefault="0081259C" w:rsidP="00812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59C" w:rsidRPr="0081259C" w14:paraId="14902D2E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688F1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Motor-function improvement</w:t>
            </w:r>
          </w:p>
        </w:tc>
        <w:tc>
          <w:tcPr>
            <w:tcW w:w="0" w:type="auto"/>
            <w:vAlign w:val="center"/>
            <w:hideMark/>
          </w:tcPr>
          <w:p w14:paraId="4F46B103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≥1-level ambulation change</w:t>
            </w:r>
          </w:p>
        </w:tc>
        <w:tc>
          <w:tcPr>
            <w:tcW w:w="0" w:type="auto"/>
            <w:vAlign w:val="center"/>
            <w:hideMark/>
          </w:tcPr>
          <w:p w14:paraId="66018E63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 </w:t>
            </w:r>
            <w:proofErr w:type="spellStart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C0650C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43F16B94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1FB8EE06" w14:textId="77777777" w:rsidR="0081259C" w:rsidRPr="0081259C" w:rsidRDefault="0081259C" w:rsidP="00812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59C" w:rsidRPr="0081259C" w14:paraId="47574942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21FEBF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Maternal major morbidity</w:t>
            </w:r>
          </w:p>
        </w:tc>
        <w:tc>
          <w:tcPr>
            <w:tcW w:w="0" w:type="auto"/>
            <w:vAlign w:val="center"/>
            <w:hideMark/>
          </w:tcPr>
          <w:p w14:paraId="0536D8B5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Composite</w:t>
            </w:r>
          </w:p>
        </w:tc>
        <w:tc>
          <w:tcPr>
            <w:tcW w:w="0" w:type="auto"/>
            <w:vAlign w:val="center"/>
            <w:hideMark/>
          </w:tcPr>
          <w:p w14:paraId="242439D9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Delivery</w:t>
            </w:r>
          </w:p>
        </w:tc>
        <w:tc>
          <w:tcPr>
            <w:tcW w:w="0" w:type="auto"/>
            <w:vAlign w:val="center"/>
            <w:hideMark/>
          </w:tcPr>
          <w:p w14:paraId="1CCC061D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5A133690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2E211CB6" w14:textId="77777777" w:rsidR="0081259C" w:rsidRPr="0081259C" w:rsidRDefault="0081259C" w:rsidP="00812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AA24C54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Follow-Up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Duration: 30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mo</w:t>
      </w:r>
      <w:proofErr w:type="spellEnd"/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Lost to follow-up: NR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Ascertainment: Clinic/registry</w:t>
      </w:r>
    </w:p>
    <w:p w14:paraId="3F572D2C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Risk of Bias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Tool: ROBINS-I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Overall: Moderate</w:t>
      </w:r>
    </w:p>
    <w:p w14:paraId="3E44DD7C" w14:textId="77777777" w:rsidR="003A7A5E" w:rsidRDefault="003A7A5E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E6CD82A" w14:textId="2C5B1BC3" w:rsidR="0081259C" w:rsidRPr="007048B0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048B0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4. Wilson et al. (2020)</w:t>
      </w:r>
    </w:p>
    <w:p w14:paraId="00AD7B4F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Study Identification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Study ID: Wilson 2020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Citation: Wilson RD, Johnson MP, Flake AW, et al. Reproductive outcomes in subsequent pregnancies after open maternal-fetal surgery. Am J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Obstet</w:t>
      </w:r>
      <w:proofErr w:type="spellEnd"/>
      <w:r w:rsidRPr="0081259C">
        <w:rPr>
          <w:rFonts w:ascii="Times New Roman" w:eastAsia="Times New Roman" w:hAnsi="Times New Roman" w:cs="Times New Roman"/>
          <w:sz w:val="24"/>
          <w:szCs w:val="24"/>
        </w:rPr>
        <w:t xml:space="preserve"> Gynecol. 2020;222(4</w:t>
      </w:r>
      <w:proofErr w:type="gramStart"/>
      <w:r w:rsidRPr="0081259C">
        <w:rPr>
          <w:rFonts w:ascii="Times New Roman" w:eastAsia="Times New Roman" w:hAnsi="Times New Roman" w:cs="Times New Roman"/>
          <w:sz w:val="24"/>
          <w:szCs w:val="24"/>
        </w:rPr>
        <w:t>):389.e</w:t>
      </w:r>
      <w:proofErr w:type="gramEnd"/>
      <w:r w:rsidRPr="0081259C">
        <w:rPr>
          <w:rFonts w:ascii="Times New Roman" w:eastAsia="Times New Roman" w:hAnsi="Times New Roman" w:cs="Times New Roman"/>
          <w:sz w:val="24"/>
          <w:szCs w:val="24"/>
        </w:rPr>
        <w:t>1–6.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Center: Univ. of Ottawa (Canada)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Funding: Institutional</w:t>
      </w:r>
    </w:p>
    <w:p w14:paraId="1A603415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Design &amp; Population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Design: Retrospective cohort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Recruitment: 1996–2007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Inclusion: Women with prior fetal MMC repair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Comparator: Subsequent postnatal closures (historic)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Prenatal arm: n = 25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Postnatal arm: n = 25</w:t>
      </w:r>
    </w:p>
    <w:p w14:paraId="77BACDD0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Intervention &amp; Comparator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Fetal repair: MOMS-style hysterotomy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Postnatal repair: Standard historic</w:t>
      </w:r>
    </w:p>
    <w:p w14:paraId="54769524" w14:textId="4E989884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Outcomes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2"/>
        <w:gridCol w:w="2537"/>
        <w:gridCol w:w="1552"/>
        <w:gridCol w:w="940"/>
        <w:gridCol w:w="1020"/>
        <w:gridCol w:w="649"/>
      </w:tblGrid>
      <w:tr w:rsidR="0081259C" w:rsidRPr="0081259C" w14:paraId="00DEF741" w14:textId="77777777" w:rsidTr="0081259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4446FF3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vAlign w:val="center"/>
            <w:hideMark/>
          </w:tcPr>
          <w:p w14:paraId="3087B05E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Definition</w:t>
            </w:r>
          </w:p>
        </w:tc>
        <w:tc>
          <w:tcPr>
            <w:tcW w:w="0" w:type="auto"/>
            <w:vAlign w:val="center"/>
            <w:hideMark/>
          </w:tcPr>
          <w:p w14:paraId="6085DFFC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Timepoint</w:t>
            </w:r>
          </w:p>
        </w:tc>
        <w:tc>
          <w:tcPr>
            <w:tcW w:w="0" w:type="auto"/>
            <w:vAlign w:val="center"/>
            <w:hideMark/>
          </w:tcPr>
          <w:p w14:paraId="0AEEBE96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Prenatal</w:t>
            </w:r>
          </w:p>
        </w:tc>
        <w:tc>
          <w:tcPr>
            <w:tcW w:w="0" w:type="auto"/>
            <w:vAlign w:val="center"/>
            <w:hideMark/>
          </w:tcPr>
          <w:p w14:paraId="04123386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Postnatal</w:t>
            </w:r>
          </w:p>
        </w:tc>
        <w:tc>
          <w:tcPr>
            <w:tcW w:w="0" w:type="auto"/>
            <w:vAlign w:val="center"/>
            <w:hideMark/>
          </w:tcPr>
          <w:p w14:paraId="494F438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Notes</w:t>
            </w:r>
          </w:p>
        </w:tc>
      </w:tr>
      <w:tr w:rsidR="0081259C" w:rsidRPr="0081259C" w14:paraId="626D18A9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C01E3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Shunt-dependent hydrocephalus</w:t>
            </w:r>
          </w:p>
        </w:tc>
        <w:tc>
          <w:tcPr>
            <w:tcW w:w="0" w:type="auto"/>
            <w:vAlign w:val="center"/>
            <w:hideMark/>
          </w:tcPr>
          <w:p w14:paraId="595477F4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VP shunt/ETV</w:t>
            </w:r>
          </w:p>
        </w:tc>
        <w:tc>
          <w:tcPr>
            <w:tcW w:w="0" w:type="auto"/>
            <w:vAlign w:val="center"/>
            <w:hideMark/>
          </w:tcPr>
          <w:p w14:paraId="188AABA9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1AE828B8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576EE8C5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54E4A3CF" w14:textId="77777777" w:rsidR="0081259C" w:rsidRPr="0081259C" w:rsidRDefault="0081259C" w:rsidP="00812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59C" w:rsidRPr="0081259C" w14:paraId="78D79668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57EAC8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Motor-function improvement</w:t>
            </w:r>
          </w:p>
        </w:tc>
        <w:tc>
          <w:tcPr>
            <w:tcW w:w="0" w:type="auto"/>
            <w:vAlign w:val="center"/>
            <w:hideMark/>
          </w:tcPr>
          <w:p w14:paraId="5DD6B6E6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113370E5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7D7EC4C6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034FD9FE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296A94B4" w14:textId="77777777" w:rsidR="0081259C" w:rsidRPr="0081259C" w:rsidRDefault="0081259C" w:rsidP="00812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259C" w:rsidRPr="0081259C" w14:paraId="41517F93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B1FC89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Maternal major morbidity</w:t>
            </w:r>
          </w:p>
        </w:tc>
        <w:tc>
          <w:tcPr>
            <w:tcW w:w="0" w:type="auto"/>
            <w:vAlign w:val="center"/>
            <w:hideMark/>
          </w:tcPr>
          <w:p w14:paraId="2431C4D9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Next-pregnancy complications</w:t>
            </w:r>
          </w:p>
        </w:tc>
        <w:tc>
          <w:tcPr>
            <w:tcW w:w="0" w:type="auto"/>
            <w:vAlign w:val="center"/>
            <w:hideMark/>
          </w:tcPr>
          <w:p w14:paraId="245991B4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Subsequent </w:t>
            </w:r>
            <w:proofErr w:type="spellStart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preg</w:t>
            </w:r>
            <w:proofErr w:type="spellEnd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1B375AD8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35A4C9A4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0DD862C3" w14:textId="77777777" w:rsidR="0081259C" w:rsidRPr="0081259C" w:rsidRDefault="0081259C" w:rsidP="00812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FA1FCFE" w14:textId="38101AB4" w:rsidR="0081259C" w:rsidRDefault="0081259C"/>
    <w:p w14:paraId="5CDD3485" w14:textId="2D34B6F2" w:rsidR="0081259C" w:rsidRDefault="0081259C"/>
    <w:p w14:paraId="5A5B3994" w14:textId="78BCD088" w:rsidR="0081259C" w:rsidRDefault="0081259C"/>
    <w:p w14:paraId="745DC52A" w14:textId="77777777" w:rsidR="0081259C" w:rsidRPr="007048B0" w:rsidRDefault="0081259C" w:rsidP="0081259C">
      <w:pPr>
        <w:pStyle w:val="NormalWeb"/>
        <w:rPr>
          <w:b/>
          <w:bCs/>
          <w:sz w:val="28"/>
          <w:szCs w:val="28"/>
        </w:rPr>
      </w:pPr>
      <w:r w:rsidRPr="007048B0">
        <w:rPr>
          <w:b/>
          <w:bCs/>
          <w:sz w:val="28"/>
          <w:szCs w:val="28"/>
        </w:rPr>
        <w:t>5. Lee et al. (2022)</w:t>
      </w:r>
    </w:p>
    <w:p w14:paraId="4C61C203" w14:textId="77777777" w:rsidR="0081259C" w:rsidRDefault="0081259C" w:rsidP="0081259C">
      <w:pPr>
        <w:pStyle w:val="NormalWeb"/>
      </w:pPr>
      <w:r>
        <w:rPr>
          <w:rStyle w:val="Strong"/>
        </w:rPr>
        <w:t>Study Identification</w:t>
      </w:r>
      <w:r>
        <w:br/>
        <w:t>• Study ID: Lee 2022</w:t>
      </w:r>
      <w:r>
        <w:br/>
        <w:t xml:space="preserve">• Full citation: Lee S, Kim JY, Park H, Choi HS, Yang SW, Kim JH, et al. Long-term neurologic and urologic outcomes after fetal myelomeningocele repair: a single-center cohort study. J </w:t>
      </w:r>
      <w:proofErr w:type="spellStart"/>
      <w:r>
        <w:t>Pediatr</w:t>
      </w:r>
      <w:proofErr w:type="spellEnd"/>
      <w:r>
        <w:t xml:space="preserve"> Surg. 2022;57(3):673–680.</w:t>
      </w:r>
      <w:r>
        <w:br/>
        <w:t>• Center(s): Seoul National University Hospital, South Korea</w:t>
      </w:r>
      <w:r>
        <w:br/>
        <w:t>• Funding: Institutional</w:t>
      </w:r>
    </w:p>
    <w:p w14:paraId="5D5CBA57" w14:textId="77777777" w:rsidR="0081259C" w:rsidRDefault="0081259C" w:rsidP="0081259C">
      <w:pPr>
        <w:pStyle w:val="NormalWeb"/>
      </w:pPr>
      <w:r>
        <w:rPr>
          <w:rStyle w:val="Strong"/>
        </w:rPr>
        <w:lastRenderedPageBreak/>
        <w:t>Design &amp; Population</w:t>
      </w:r>
      <w:r>
        <w:br/>
        <w:t>• Design: Prospective cohort</w:t>
      </w:r>
      <w:r>
        <w:br/>
        <w:t>• Recruitment period: 2013–2018</w:t>
      </w:r>
      <w:r>
        <w:br/>
        <w:t xml:space="preserve">• Inclusion criteria: Isolated MMC, singleton pregnancies, gestational age 22–26 </w:t>
      </w:r>
      <w:proofErr w:type="spellStart"/>
      <w:r>
        <w:t>wks</w:t>
      </w:r>
      <w:proofErr w:type="spellEnd"/>
      <w:r>
        <w:br/>
        <w:t>• Exclusion criteria: Not reported</w:t>
      </w:r>
      <w:r>
        <w:br/>
        <w:t xml:space="preserve">• Prenatal‐repair arm: n = 25; mean GA at repair 24 </w:t>
      </w:r>
      <w:proofErr w:type="spellStart"/>
      <w:r>
        <w:t>wks</w:t>
      </w:r>
      <w:proofErr w:type="spellEnd"/>
      <w:r>
        <w:t xml:space="preserve"> (range 22–26)</w:t>
      </w:r>
      <w:r>
        <w:br/>
        <w:t xml:space="preserve">• Postnatal‐repair arm: n = 30; GA at birth ~39 </w:t>
      </w:r>
      <w:proofErr w:type="spellStart"/>
      <w:r>
        <w:t>wks</w:t>
      </w:r>
      <w:proofErr w:type="spellEnd"/>
    </w:p>
    <w:p w14:paraId="49657FDC" w14:textId="77777777" w:rsidR="0081259C" w:rsidRDefault="0081259C" w:rsidP="0081259C">
      <w:pPr>
        <w:pStyle w:val="NormalWeb"/>
      </w:pPr>
      <w:r>
        <w:rPr>
          <w:rStyle w:val="Strong"/>
        </w:rPr>
        <w:t>Intervention &amp; Comparator</w:t>
      </w:r>
      <w:r>
        <w:br/>
        <w:t>• Fetal repair: Open hysterotomy (~7 cm), two‐layer neurosurgical closure, standard tocolysis</w:t>
      </w:r>
      <w:r>
        <w:br/>
        <w:t>• Postnatal repair: Standard closure within 48 h after birth</w:t>
      </w:r>
    </w:p>
    <w:p w14:paraId="55E6F61C" w14:textId="77777777" w:rsidR="0081259C" w:rsidRDefault="0081259C" w:rsidP="0081259C">
      <w:pPr>
        <w:pStyle w:val="NormalWeb"/>
      </w:pPr>
      <w:r>
        <w:rPr>
          <w:rStyle w:val="Strong"/>
        </w:rPr>
        <w:t>Outcomes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2"/>
        <w:gridCol w:w="1962"/>
        <w:gridCol w:w="1352"/>
        <w:gridCol w:w="1204"/>
        <w:gridCol w:w="1284"/>
        <w:gridCol w:w="1446"/>
      </w:tblGrid>
      <w:tr w:rsidR="0081259C" w:rsidRPr="0081259C" w14:paraId="102846C7" w14:textId="77777777" w:rsidTr="0081259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4166007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vAlign w:val="center"/>
            <w:hideMark/>
          </w:tcPr>
          <w:p w14:paraId="096EA09F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Definition</w:t>
            </w:r>
          </w:p>
        </w:tc>
        <w:tc>
          <w:tcPr>
            <w:tcW w:w="0" w:type="auto"/>
            <w:vAlign w:val="center"/>
            <w:hideMark/>
          </w:tcPr>
          <w:p w14:paraId="7414B073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Timepoint</w:t>
            </w:r>
          </w:p>
        </w:tc>
        <w:tc>
          <w:tcPr>
            <w:tcW w:w="0" w:type="auto"/>
            <w:vAlign w:val="center"/>
            <w:hideMark/>
          </w:tcPr>
          <w:p w14:paraId="58C230EC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Prenatal (n/N, %)</w:t>
            </w:r>
          </w:p>
        </w:tc>
        <w:tc>
          <w:tcPr>
            <w:tcW w:w="0" w:type="auto"/>
            <w:vAlign w:val="center"/>
            <w:hideMark/>
          </w:tcPr>
          <w:p w14:paraId="2CDBC565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Postnatal (n/N, %)</w:t>
            </w:r>
          </w:p>
        </w:tc>
        <w:tc>
          <w:tcPr>
            <w:tcW w:w="0" w:type="auto"/>
            <w:vAlign w:val="center"/>
            <w:hideMark/>
          </w:tcPr>
          <w:p w14:paraId="0630909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Notes</w:t>
            </w:r>
          </w:p>
        </w:tc>
      </w:tr>
      <w:tr w:rsidR="0081259C" w:rsidRPr="0081259C" w14:paraId="555AE621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300A2B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Shunt‐dependent hydrocephalus</w:t>
            </w:r>
          </w:p>
        </w:tc>
        <w:tc>
          <w:tcPr>
            <w:tcW w:w="0" w:type="auto"/>
            <w:vAlign w:val="center"/>
            <w:hideMark/>
          </w:tcPr>
          <w:p w14:paraId="72031791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VP shunt or ETV placement</w:t>
            </w:r>
          </w:p>
        </w:tc>
        <w:tc>
          <w:tcPr>
            <w:tcW w:w="0" w:type="auto"/>
            <w:vAlign w:val="center"/>
            <w:hideMark/>
          </w:tcPr>
          <w:p w14:paraId="7BAC10EE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3127306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45D36AB2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5AB10D5F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No data reported</w:t>
            </w:r>
          </w:p>
        </w:tc>
      </w:tr>
      <w:tr w:rsidR="0081259C" w:rsidRPr="0081259C" w14:paraId="0843B84E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3B5A0E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Motor‐function improvement</w:t>
            </w:r>
          </w:p>
        </w:tc>
        <w:tc>
          <w:tcPr>
            <w:tcW w:w="0" w:type="auto"/>
            <w:vAlign w:val="center"/>
            <w:hideMark/>
          </w:tcPr>
          <w:p w14:paraId="4EFA8B4D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≥1‐level improvement in ambulation</w:t>
            </w:r>
          </w:p>
        </w:tc>
        <w:tc>
          <w:tcPr>
            <w:tcW w:w="0" w:type="auto"/>
            <w:vAlign w:val="center"/>
            <w:hideMark/>
          </w:tcPr>
          <w:p w14:paraId="7CBED5FF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  <w:proofErr w:type="spellStart"/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248D59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554F76F5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649376DC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Not reported</w:t>
            </w:r>
          </w:p>
        </w:tc>
      </w:tr>
      <w:tr w:rsidR="0081259C" w:rsidRPr="0081259C" w14:paraId="7435C6B5" w14:textId="77777777" w:rsidTr="0081259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024EC5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Maternal major morbidity (composite)</w:t>
            </w:r>
          </w:p>
        </w:tc>
        <w:tc>
          <w:tcPr>
            <w:tcW w:w="0" w:type="auto"/>
            <w:vAlign w:val="center"/>
            <w:hideMark/>
          </w:tcPr>
          <w:p w14:paraId="5894AB84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Preterm </w:t>
            </w:r>
          </w:p>
        </w:tc>
        <w:tc>
          <w:tcPr>
            <w:tcW w:w="0" w:type="auto"/>
            <w:vAlign w:val="center"/>
            <w:hideMark/>
          </w:tcPr>
          <w:p w14:paraId="5A84B986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Delivery–discharge</w:t>
            </w:r>
          </w:p>
        </w:tc>
        <w:tc>
          <w:tcPr>
            <w:tcW w:w="0" w:type="auto"/>
            <w:vAlign w:val="center"/>
            <w:hideMark/>
          </w:tcPr>
          <w:p w14:paraId="30CE29F7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702CABDD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7CCA33E5" w14:textId="77777777" w:rsidR="0081259C" w:rsidRPr="0081259C" w:rsidRDefault="0081259C" w:rsidP="0081259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9C">
              <w:rPr>
                <w:rFonts w:ascii="Times New Roman" w:eastAsia="Times New Roman" w:hAnsi="Times New Roman" w:cs="Times New Roman"/>
                <w:sz w:val="24"/>
                <w:szCs w:val="24"/>
              </w:rPr>
              <w:t>Component rates NR</w:t>
            </w:r>
          </w:p>
        </w:tc>
      </w:tr>
    </w:tbl>
    <w:p w14:paraId="4E150AF5" w14:textId="77777777" w:rsidR="0081259C" w:rsidRPr="0081259C" w:rsidRDefault="0081259C" w:rsidP="008125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1259C">
        <w:rPr>
          <w:rFonts w:ascii="Times New Roman" w:eastAsia="Times New Roman" w:hAnsi="Times New Roman" w:cs="Times New Roman"/>
          <w:b/>
          <w:bCs/>
          <w:sz w:val="24"/>
          <w:szCs w:val="24"/>
        </w:rPr>
        <w:t>Follow-Up</w:t>
      </w:r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 xml:space="preserve">• Duration: 24 </w:t>
      </w:r>
      <w:proofErr w:type="spellStart"/>
      <w:r w:rsidRPr="0081259C">
        <w:rPr>
          <w:rFonts w:ascii="Times New Roman" w:eastAsia="Times New Roman" w:hAnsi="Times New Roman" w:cs="Times New Roman"/>
          <w:sz w:val="24"/>
          <w:szCs w:val="24"/>
        </w:rPr>
        <w:t>mo</w:t>
      </w:r>
      <w:proofErr w:type="spellEnd"/>
      <w:r w:rsidRPr="0081259C">
        <w:rPr>
          <w:rFonts w:ascii="Times New Roman" w:eastAsia="Times New Roman" w:hAnsi="Times New Roman" w:cs="Times New Roman"/>
          <w:sz w:val="24"/>
          <w:szCs w:val="24"/>
        </w:rPr>
        <w:br/>
        <w:t>• Lost to follow-up: ~10% (n ≈ 3)</w:t>
      </w:r>
    </w:p>
    <w:p w14:paraId="22F13DFF" w14:textId="77777777" w:rsidR="0081259C" w:rsidRDefault="0081259C" w:rsidP="0081259C">
      <w:pPr>
        <w:pStyle w:val="NormalWeb"/>
      </w:pPr>
      <w:r>
        <w:t>• Ascertainment: Outpatient clinic visits</w:t>
      </w:r>
    </w:p>
    <w:p w14:paraId="1BE42818" w14:textId="77777777" w:rsidR="0081259C" w:rsidRDefault="0081259C" w:rsidP="0081259C">
      <w:pPr>
        <w:pStyle w:val="NormalWeb"/>
      </w:pPr>
      <w:r>
        <w:rPr>
          <w:rStyle w:val="Strong"/>
        </w:rPr>
        <w:t>Risk of Bias</w:t>
      </w:r>
      <w:r>
        <w:br/>
        <w:t>• Tool: ROBINS-I</w:t>
      </w:r>
      <w:r>
        <w:br/>
        <w:t>• Domain ratings:</w:t>
      </w:r>
      <w:r>
        <w:br/>
        <w:t>– Confounding: Moderate</w:t>
      </w:r>
      <w:r>
        <w:br/>
        <w:t>– Selection: Low</w:t>
      </w:r>
      <w:r>
        <w:br/>
        <w:t>– Intervention classification: Moderate</w:t>
      </w:r>
      <w:r>
        <w:br/>
        <w:t>– Deviations from intended interventions: Low</w:t>
      </w:r>
      <w:r>
        <w:br/>
        <w:t>– Missing data: Moderate</w:t>
      </w:r>
      <w:r>
        <w:br/>
        <w:t>– Outcome measurement: Low</w:t>
      </w:r>
      <w:r>
        <w:br/>
        <w:t>– Selection of reported result: Low</w:t>
      </w:r>
      <w:r>
        <w:br/>
        <w:t>• Overall risk of bias: Moderate</w:t>
      </w:r>
    </w:p>
    <w:p w14:paraId="1AE2ED00" w14:textId="77777777" w:rsidR="0081259C" w:rsidRDefault="0081259C" w:rsidP="0081259C">
      <w:pPr>
        <w:pStyle w:val="NormalWeb"/>
      </w:pPr>
      <w:r>
        <w:rPr>
          <w:rStyle w:val="Strong"/>
        </w:rPr>
        <w:lastRenderedPageBreak/>
        <w:t>Additional Notes</w:t>
      </w:r>
      <w:r>
        <w:br/>
        <w:t>• Secondary outcomes reported included cystic lesion incidence and urologic function but fell outside our primary endpoints.</w:t>
      </w:r>
    </w:p>
    <w:p w14:paraId="7E98F594" w14:textId="510ACC94" w:rsidR="0081259C" w:rsidRDefault="0081259C"/>
    <w:p w14:paraId="2657367D" w14:textId="7AD22263" w:rsidR="008778AD" w:rsidRDefault="008778AD"/>
    <w:p w14:paraId="6A7E2D05" w14:textId="005C88C5" w:rsidR="008778AD" w:rsidRDefault="008778AD">
      <w:pPr>
        <w:rPr>
          <w:rtl/>
        </w:rPr>
      </w:pPr>
    </w:p>
    <w:p w14:paraId="78F7B08D" w14:textId="513CF9E6" w:rsidR="007048B0" w:rsidRDefault="007048B0">
      <w:pPr>
        <w:rPr>
          <w:rtl/>
        </w:rPr>
      </w:pPr>
    </w:p>
    <w:p w14:paraId="2B4BCB57" w14:textId="15C499D5" w:rsidR="007048B0" w:rsidRDefault="007048B0">
      <w:pPr>
        <w:rPr>
          <w:rtl/>
        </w:rPr>
      </w:pPr>
    </w:p>
    <w:p w14:paraId="324E2FF6" w14:textId="7C92B0F4" w:rsidR="007048B0" w:rsidRDefault="007048B0">
      <w:pPr>
        <w:rPr>
          <w:rtl/>
        </w:rPr>
      </w:pPr>
    </w:p>
    <w:p w14:paraId="229B7083" w14:textId="40380C69" w:rsidR="007048B0" w:rsidRDefault="007048B0">
      <w:pPr>
        <w:rPr>
          <w:rtl/>
        </w:rPr>
      </w:pPr>
    </w:p>
    <w:p w14:paraId="4140E22D" w14:textId="71319D81" w:rsidR="007048B0" w:rsidRDefault="007048B0">
      <w:pPr>
        <w:rPr>
          <w:rtl/>
        </w:rPr>
      </w:pPr>
    </w:p>
    <w:p w14:paraId="177450CE" w14:textId="644CBAE3" w:rsidR="007048B0" w:rsidRDefault="007048B0">
      <w:pPr>
        <w:rPr>
          <w:rtl/>
        </w:rPr>
      </w:pPr>
    </w:p>
    <w:p w14:paraId="6EAA7E50" w14:textId="1DBCB9D4" w:rsidR="007048B0" w:rsidRDefault="007048B0">
      <w:pPr>
        <w:rPr>
          <w:rtl/>
        </w:rPr>
      </w:pPr>
    </w:p>
    <w:p w14:paraId="6C31A9BE" w14:textId="4849D2E9" w:rsidR="007048B0" w:rsidRDefault="007048B0">
      <w:pPr>
        <w:rPr>
          <w:rtl/>
        </w:rPr>
      </w:pPr>
    </w:p>
    <w:p w14:paraId="532D1C45" w14:textId="04A264ED" w:rsidR="007048B0" w:rsidRDefault="007048B0">
      <w:pPr>
        <w:rPr>
          <w:rtl/>
        </w:rPr>
      </w:pPr>
    </w:p>
    <w:p w14:paraId="6506941D" w14:textId="486D0955" w:rsidR="007048B0" w:rsidRDefault="007048B0">
      <w:pPr>
        <w:rPr>
          <w:rtl/>
        </w:rPr>
      </w:pPr>
    </w:p>
    <w:p w14:paraId="1A0BD1D4" w14:textId="527D8496" w:rsidR="007048B0" w:rsidRDefault="007048B0">
      <w:pPr>
        <w:rPr>
          <w:rtl/>
        </w:rPr>
      </w:pPr>
    </w:p>
    <w:p w14:paraId="34544EC7" w14:textId="215EEB6E" w:rsidR="007048B0" w:rsidRDefault="007048B0">
      <w:pPr>
        <w:rPr>
          <w:rtl/>
        </w:rPr>
      </w:pPr>
    </w:p>
    <w:p w14:paraId="517AAB35" w14:textId="6A06FEB2" w:rsidR="007048B0" w:rsidRDefault="007048B0">
      <w:pPr>
        <w:rPr>
          <w:rtl/>
        </w:rPr>
      </w:pPr>
    </w:p>
    <w:p w14:paraId="2965E8D4" w14:textId="45A1D1A6" w:rsidR="007048B0" w:rsidRDefault="007048B0">
      <w:pPr>
        <w:rPr>
          <w:rtl/>
        </w:rPr>
      </w:pPr>
    </w:p>
    <w:p w14:paraId="6BF4B5D4" w14:textId="25F06EC4" w:rsidR="007048B0" w:rsidRDefault="007048B0">
      <w:pPr>
        <w:rPr>
          <w:rtl/>
        </w:rPr>
      </w:pPr>
    </w:p>
    <w:p w14:paraId="13D62CA6" w14:textId="1A7B8ECF" w:rsidR="007048B0" w:rsidRDefault="007048B0">
      <w:pPr>
        <w:rPr>
          <w:rtl/>
        </w:rPr>
      </w:pPr>
    </w:p>
    <w:p w14:paraId="11225F03" w14:textId="6EA3B853" w:rsidR="007048B0" w:rsidRDefault="007048B0">
      <w:pPr>
        <w:rPr>
          <w:rtl/>
        </w:rPr>
      </w:pPr>
    </w:p>
    <w:p w14:paraId="19E337E0" w14:textId="3CE33942" w:rsidR="007048B0" w:rsidRDefault="007048B0">
      <w:pPr>
        <w:rPr>
          <w:rtl/>
        </w:rPr>
      </w:pPr>
    </w:p>
    <w:p w14:paraId="74186B3F" w14:textId="67D73AA8" w:rsidR="007048B0" w:rsidRDefault="007048B0">
      <w:pPr>
        <w:rPr>
          <w:rtl/>
        </w:rPr>
      </w:pPr>
    </w:p>
    <w:p w14:paraId="46F23917" w14:textId="5584FD13" w:rsidR="007048B0" w:rsidRDefault="007048B0">
      <w:pPr>
        <w:rPr>
          <w:rtl/>
        </w:rPr>
      </w:pPr>
    </w:p>
    <w:p w14:paraId="69ED93F2" w14:textId="5A51A725" w:rsidR="007048B0" w:rsidRDefault="007048B0">
      <w:pPr>
        <w:rPr>
          <w:rtl/>
        </w:rPr>
      </w:pPr>
    </w:p>
    <w:p w14:paraId="0986166E" w14:textId="78172138" w:rsidR="007048B0" w:rsidRDefault="007048B0">
      <w:pPr>
        <w:rPr>
          <w:rtl/>
        </w:rPr>
      </w:pPr>
    </w:p>
    <w:p w14:paraId="2A626871" w14:textId="1C4D7DB6" w:rsidR="007048B0" w:rsidRDefault="007048B0">
      <w:pPr>
        <w:rPr>
          <w:rtl/>
        </w:rPr>
      </w:pPr>
    </w:p>
    <w:p w14:paraId="63DC6D9B" w14:textId="77777777" w:rsidR="007048B0" w:rsidRDefault="007048B0">
      <w:pPr>
        <w:rPr>
          <w:rtl/>
        </w:rPr>
      </w:pPr>
    </w:p>
    <w:p w14:paraId="4C029E19" w14:textId="1A65BFE2" w:rsidR="008778AD" w:rsidRDefault="007048B0" w:rsidP="007048B0">
      <w:r w:rsidRPr="0060672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Appendix D.</w:t>
      </w:r>
      <w:r w:rsidRPr="00606725">
        <w:rPr>
          <w:rFonts w:ascii="Times New Roman" w:eastAsia="Times New Roman" w:hAnsi="Times New Roman" w:cs="Times New Roman"/>
          <w:sz w:val="24"/>
          <w:szCs w:val="24"/>
        </w:rPr>
        <w:t xml:space="preserve"> GRADE Evidence Profiles per Outcome</w:t>
      </w:r>
    </w:p>
    <w:p w14:paraId="0411A856" w14:textId="77777777" w:rsidR="008778AD" w:rsidRPr="008778AD" w:rsidRDefault="008778AD" w:rsidP="0087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78AD">
        <w:rPr>
          <w:rFonts w:ascii="Times New Roman" w:eastAsia="Times New Roman" w:hAnsi="Times New Roman" w:cs="Times New Roman"/>
          <w:sz w:val="24"/>
          <w:szCs w:val="24"/>
        </w:rPr>
        <w:t>Table 4. GRADE Evidence Profile for Shunt-Dependent Hydrocephalus at 12 Months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5"/>
        <w:gridCol w:w="1362"/>
        <w:gridCol w:w="902"/>
      </w:tblGrid>
      <w:tr w:rsidR="008778AD" w:rsidRPr="008778AD" w14:paraId="4689C016" w14:textId="77777777" w:rsidTr="008778A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4739102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Certainty Assessment</w:t>
            </w:r>
          </w:p>
        </w:tc>
        <w:tc>
          <w:tcPr>
            <w:tcW w:w="0" w:type="auto"/>
            <w:vAlign w:val="center"/>
            <w:hideMark/>
          </w:tcPr>
          <w:p w14:paraId="508EC22E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FBC515B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778AD" w:rsidRPr="008778AD" w14:paraId="01325D93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9AF664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0" w:type="auto"/>
            <w:vAlign w:val="center"/>
            <w:hideMark/>
          </w:tcPr>
          <w:p w14:paraId="2CEB3179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RCT (n=182)</w:t>
            </w:r>
          </w:p>
        </w:tc>
        <w:tc>
          <w:tcPr>
            <w:tcW w:w="0" w:type="auto"/>
            <w:vAlign w:val="center"/>
            <w:hideMark/>
          </w:tcPr>
          <w:p w14:paraId="55D5ABF3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3A531907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3C9125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Risk of bias</w:t>
            </w:r>
          </w:p>
        </w:tc>
        <w:tc>
          <w:tcPr>
            <w:tcW w:w="0" w:type="auto"/>
            <w:vAlign w:val="center"/>
            <w:hideMark/>
          </w:tcPr>
          <w:p w14:paraId="2298E986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vAlign w:val="center"/>
            <w:hideMark/>
          </w:tcPr>
          <w:p w14:paraId="5F4377AD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0422B6EF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F3F65D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Inconsistency</w:t>
            </w:r>
          </w:p>
        </w:tc>
        <w:tc>
          <w:tcPr>
            <w:tcW w:w="0" w:type="auto"/>
            <w:vAlign w:val="center"/>
            <w:hideMark/>
          </w:tcPr>
          <w:p w14:paraId="4A3F18F0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vAlign w:val="center"/>
            <w:hideMark/>
          </w:tcPr>
          <w:p w14:paraId="71AC9024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19B918CD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D09A0F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Indirectness</w:t>
            </w:r>
          </w:p>
        </w:tc>
        <w:tc>
          <w:tcPr>
            <w:tcW w:w="0" w:type="auto"/>
            <w:vAlign w:val="center"/>
            <w:hideMark/>
          </w:tcPr>
          <w:p w14:paraId="57B303DF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vAlign w:val="center"/>
            <w:hideMark/>
          </w:tcPr>
          <w:p w14:paraId="09A8545D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71E6F32E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F93FF8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Imprecision</w:t>
            </w:r>
          </w:p>
        </w:tc>
        <w:tc>
          <w:tcPr>
            <w:tcW w:w="0" w:type="auto"/>
            <w:vAlign w:val="center"/>
            <w:hideMark/>
          </w:tcPr>
          <w:p w14:paraId="31180295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vAlign w:val="center"/>
            <w:hideMark/>
          </w:tcPr>
          <w:p w14:paraId="0127E0C7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7E80DBA1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0C1117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Publication bias</w:t>
            </w:r>
          </w:p>
        </w:tc>
        <w:tc>
          <w:tcPr>
            <w:tcW w:w="0" w:type="auto"/>
            <w:vAlign w:val="center"/>
            <w:hideMark/>
          </w:tcPr>
          <w:p w14:paraId="1DF87B98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Undetected</w:t>
            </w:r>
          </w:p>
        </w:tc>
        <w:tc>
          <w:tcPr>
            <w:tcW w:w="0" w:type="auto"/>
            <w:vAlign w:val="center"/>
            <w:hideMark/>
          </w:tcPr>
          <w:p w14:paraId="60AA40B2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2D218313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76B011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Other considerations</w:t>
            </w:r>
          </w:p>
        </w:tc>
        <w:tc>
          <w:tcPr>
            <w:tcW w:w="0" w:type="auto"/>
            <w:vAlign w:val="center"/>
            <w:hideMark/>
          </w:tcPr>
          <w:p w14:paraId="544D4A53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0" w:type="auto"/>
            <w:vAlign w:val="center"/>
            <w:hideMark/>
          </w:tcPr>
          <w:p w14:paraId="34293D4D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1CB5766A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AE2A0B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Certainty of evidence</w:t>
            </w:r>
          </w:p>
        </w:tc>
        <w:tc>
          <w:tcPr>
            <w:tcW w:w="0" w:type="auto"/>
            <w:vAlign w:val="center"/>
            <w:hideMark/>
          </w:tcPr>
          <w:p w14:paraId="298FE667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1086C162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Segoe UI Symbol" w:eastAsia="Times New Roman" w:hAnsi="Segoe UI Symbol" w:cs="Segoe UI Symbol"/>
                <w:sz w:val="24"/>
                <w:szCs w:val="24"/>
              </w:rPr>
              <w:t>⬤⬤⬤⬤</w:t>
            </w:r>
          </w:p>
        </w:tc>
      </w:tr>
    </w:tbl>
    <w:p w14:paraId="788C819E" w14:textId="77777777" w:rsidR="008778AD" w:rsidRPr="008778AD" w:rsidRDefault="008778AD" w:rsidP="008778A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63"/>
        <w:gridCol w:w="2351"/>
        <w:gridCol w:w="1875"/>
        <w:gridCol w:w="2271"/>
      </w:tblGrid>
      <w:tr w:rsidR="008778AD" w:rsidRPr="008778AD" w14:paraId="668BF646" w14:textId="77777777" w:rsidTr="008778A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15584AF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vAlign w:val="center"/>
            <w:hideMark/>
          </w:tcPr>
          <w:p w14:paraId="08CFF1D6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Intervention (open fetal)</w:t>
            </w:r>
          </w:p>
        </w:tc>
        <w:tc>
          <w:tcPr>
            <w:tcW w:w="0" w:type="auto"/>
            <w:vAlign w:val="center"/>
            <w:hideMark/>
          </w:tcPr>
          <w:p w14:paraId="2C7D646D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Control (postnatal)</w:t>
            </w:r>
          </w:p>
        </w:tc>
        <w:tc>
          <w:tcPr>
            <w:tcW w:w="0" w:type="auto"/>
            <w:vAlign w:val="center"/>
            <w:hideMark/>
          </w:tcPr>
          <w:p w14:paraId="61828096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Relative effect (95% CI)</w:t>
            </w:r>
          </w:p>
        </w:tc>
      </w:tr>
      <w:tr w:rsidR="008778AD" w:rsidRPr="008778AD" w14:paraId="00785851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73B7F8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Shunt-dependent hydrocephalus</w:t>
            </w:r>
          </w:p>
        </w:tc>
        <w:tc>
          <w:tcPr>
            <w:tcW w:w="0" w:type="auto"/>
            <w:vAlign w:val="center"/>
            <w:hideMark/>
          </w:tcPr>
          <w:p w14:paraId="4C656515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40/91 (44%)</w:t>
            </w:r>
          </w:p>
        </w:tc>
        <w:tc>
          <w:tcPr>
            <w:tcW w:w="0" w:type="auto"/>
            <w:vAlign w:val="center"/>
            <w:hideMark/>
          </w:tcPr>
          <w:p w14:paraId="68E3B51C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83/91 (91%)</w:t>
            </w:r>
          </w:p>
        </w:tc>
        <w:tc>
          <w:tcPr>
            <w:tcW w:w="0" w:type="auto"/>
            <w:vAlign w:val="center"/>
            <w:hideMark/>
          </w:tcPr>
          <w:p w14:paraId="02A7F540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RR 0.48 (0.39–0.61)</w:t>
            </w:r>
          </w:p>
        </w:tc>
      </w:tr>
    </w:tbl>
    <w:p w14:paraId="107CBC91" w14:textId="1C5AC338" w:rsidR="008778AD" w:rsidRDefault="008778AD"/>
    <w:p w14:paraId="1DCC1617" w14:textId="77777777" w:rsidR="008778AD" w:rsidRPr="008778AD" w:rsidRDefault="008778AD" w:rsidP="0087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78AD">
        <w:rPr>
          <w:rFonts w:ascii="Times New Roman" w:eastAsia="Times New Roman" w:hAnsi="Times New Roman" w:cs="Times New Roman"/>
          <w:sz w:val="24"/>
          <w:szCs w:val="24"/>
        </w:rPr>
        <w:t>Table 5. GRADE Evidence Profile for Motor-Function Improvement (≥1-Level Ambulation)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5"/>
        <w:gridCol w:w="1440"/>
        <w:gridCol w:w="1016"/>
      </w:tblGrid>
      <w:tr w:rsidR="008778AD" w:rsidRPr="008778AD" w14:paraId="62A45FA9" w14:textId="77777777" w:rsidTr="008778A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9782136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Certainty Assessment</w:t>
            </w:r>
          </w:p>
        </w:tc>
        <w:tc>
          <w:tcPr>
            <w:tcW w:w="0" w:type="auto"/>
            <w:vAlign w:val="center"/>
            <w:hideMark/>
          </w:tcPr>
          <w:p w14:paraId="509ED894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8E775F0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778AD" w:rsidRPr="008778AD" w14:paraId="6B8184C5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F6D0C0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0" w:type="auto"/>
            <w:vAlign w:val="center"/>
            <w:hideMark/>
          </w:tcPr>
          <w:p w14:paraId="55B34757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RCT (n≈174⁺)</w:t>
            </w:r>
          </w:p>
        </w:tc>
        <w:tc>
          <w:tcPr>
            <w:tcW w:w="0" w:type="auto"/>
            <w:vAlign w:val="center"/>
            <w:hideMark/>
          </w:tcPr>
          <w:p w14:paraId="59C4BC88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0568B8D9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CF71D3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Risk of bias</w:t>
            </w:r>
          </w:p>
        </w:tc>
        <w:tc>
          <w:tcPr>
            <w:tcW w:w="0" w:type="auto"/>
            <w:vAlign w:val="center"/>
            <w:hideMark/>
          </w:tcPr>
          <w:p w14:paraId="4B4E9A05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vAlign w:val="center"/>
            <w:hideMark/>
          </w:tcPr>
          <w:p w14:paraId="2177A103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51A01BDF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881E9F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Inconsistency</w:t>
            </w:r>
          </w:p>
        </w:tc>
        <w:tc>
          <w:tcPr>
            <w:tcW w:w="0" w:type="auto"/>
            <w:vAlign w:val="center"/>
            <w:hideMark/>
          </w:tcPr>
          <w:p w14:paraId="0A0B7FAC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vAlign w:val="center"/>
            <w:hideMark/>
          </w:tcPr>
          <w:p w14:paraId="762DAF04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15A03968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5A17C0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Indirectness</w:t>
            </w:r>
          </w:p>
        </w:tc>
        <w:tc>
          <w:tcPr>
            <w:tcW w:w="0" w:type="auto"/>
            <w:vAlign w:val="center"/>
            <w:hideMark/>
          </w:tcPr>
          <w:p w14:paraId="494DDD24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Serious⁽ᵃ⁾</w:t>
            </w:r>
          </w:p>
        </w:tc>
        <w:tc>
          <w:tcPr>
            <w:tcW w:w="0" w:type="auto"/>
            <w:vAlign w:val="center"/>
            <w:hideMark/>
          </w:tcPr>
          <w:p w14:paraId="4B29975A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41A3345D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C6F8DD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Imprecision</w:t>
            </w:r>
          </w:p>
        </w:tc>
        <w:tc>
          <w:tcPr>
            <w:tcW w:w="0" w:type="auto"/>
            <w:vAlign w:val="center"/>
            <w:hideMark/>
          </w:tcPr>
          <w:p w14:paraId="724604F5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Serious⁽ᵇ⁾</w:t>
            </w:r>
          </w:p>
        </w:tc>
        <w:tc>
          <w:tcPr>
            <w:tcW w:w="0" w:type="auto"/>
            <w:vAlign w:val="center"/>
            <w:hideMark/>
          </w:tcPr>
          <w:p w14:paraId="03392092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44629829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1CBDE3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Publication bias</w:t>
            </w:r>
          </w:p>
        </w:tc>
        <w:tc>
          <w:tcPr>
            <w:tcW w:w="0" w:type="auto"/>
            <w:vAlign w:val="center"/>
            <w:hideMark/>
          </w:tcPr>
          <w:p w14:paraId="42AD7FBC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Undetected</w:t>
            </w:r>
          </w:p>
        </w:tc>
        <w:tc>
          <w:tcPr>
            <w:tcW w:w="0" w:type="auto"/>
            <w:vAlign w:val="center"/>
            <w:hideMark/>
          </w:tcPr>
          <w:p w14:paraId="150A3A13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110ACF44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742BA6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Other considerations</w:t>
            </w:r>
          </w:p>
        </w:tc>
        <w:tc>
          <w:tcPr>
            <w:tcW w:w="0" w:type="auto"/>
            <w:vAlign w:val="center"/>
            <w:hideMark/>
          </w:tcPr>
          <w:p w14:paraId="24BB2F1C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0" w:type="auto"/>
            <w:vAlign w:val="center"/>
            <w:hideMark/>
          </w:tcPr>
          <w:p w14:paraId="3C0B1AAA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0E4CB636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BE1F92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Certainty of evidence</w:t>
            </w:r>
          </w:p>
        </w:tc>
        <w:tc>
          <w:tcPr>
            <w:tcW w:w="0" w:type="auto"/>
            <w:vAlign w:val="center"/>
            <w:hideMark/>
          </w:tcPr>
          <w:p w14:paraId="26CE02E6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Very low</w:t>
            </w:r>
          </w:p>
        </w:tc>
        <w:tc>
          <w:tcPr>
            <w:tcW w:w="0" w:type="auto"/>
            <w:vAlign w:val="center"/>
            <w:hideMark/>
          </w:tcPr>
          <w:p w14:paraId="485209BF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Segoe UI Symbol" w:eastAsia="Times New Roman" w:hAnsi="Segoe UI Symbol" w:cs="Segoe UI Symbol"/>
                <w:sz w:val="24"/>
                <w:szCs w:val="24"/>
              </w:rPr>
              <w:t>⬤⚪⚪</w:t>
            </w:r>
            <w:r w:rsidRPr="008778AD">
              <w:rPr>
                <w:rFonts w:ascii="Segoe UI Emoji" w:eastAsia="Times New Roman" w:hAnsi="Segoe UI Emoji" w:cs="Segoe UI Emoji"/>
                <w:sz w:val="24"/>
                <w:szCs w:val="24"/>
              </w:rPr>
              <w:t>⚪</w:t>
            </w:r>
          </w:p>
        </w:tc>
      </w:tr>
    </w:tbl>
    <w:p w14:paraId="2FF6F695" w14:textId="77777777" w:rsidR="008778AD" w:rsidRPr="008778AD" w:rsidRDefault="008778AD" w:rsidP="008778A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53"/>
        <w:gridCol w:w="1340"/>
        <w:gridCol w:w="860"/>
        <w:gridCol w:w="2628"/>
      </w:tblGrid>
      <w:tr w:rsidR="008778AD" w:rsidRPr="008778AD" w14:paraId="06566B63" w14:textId="77777777" w:rsidTr="008778A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05E781D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vAlign w:val="center"/>
            <w:hideMark/>
          </w:tcPr>
          <w:p w14:paraId="3332BD0A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Intervention</w:t>
            </w:r>
          </w:p>
        </w:tc>
        <w:tc>
          <w:tcPr>
            <w:tcW w:w="0" w:type="auto"/>
            <w:vAlign w:val="center"/>
            <w:hideMark/>
          </w:tcPr>
          <w:p w14:paraId="3C8AED91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0" w:type="auto"/>
            <w:vAlign w:val="center"/>
            <w:hideMark/>
          </w:tcPr>
          <w:p w14:paraId="38C8B1B6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Relative effect (95% CI)</w:t>
            </w:r>
          </w:p>
        </w:tc>
      </w:tr>
      <w:tr w:rsidR="008778AD" w:rsidRPr="008778AD" w14:paraId="068542F1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626764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Motor-function ≥1-level ambulation</w:t>
            </w:r>
          </w:p>
        </w:tc>
        <w:tc>
          <w:tcPr>
            <w:tcW w:w="0" w:type="auto"/>
            <w:vAlign w:val="center"/>
            <w:hideMark/>
          </w:tcPr>
          <w:p w14:paraId="26254A89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33/87 (38%)</w:t>
            </w:r>
          </w:p>
        </w:tc>
        <w:tc>
          <w:tcPr>
            <w:tcW w:w="0" w:type="auto"/>
            <w:vAlign w:val="center"/>
            <w:hideMark/>
          </w:tcPr>
          <w:p w14:paraId="7FA93020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0" w:type="auto"/>
            <w:vAlign w:val="center"/>
            <w:hideMark/>
          </w:tcPr>
          <w:p w14:paraId="18A82AF9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NR (no direct comparator)</w:t>
            </w:r>
          </w:p>
        </w:tc>
      </w:tr>
    </w:tbl>
    <w:p w14:paraId="5E3CB31C" w14:textId="59B0339A" w:rsidR="008778AD" w:rsidRDefault="008778AD"/>
    <w:p w14:paraId="341B53E6" w14:textId="77777777" w:rsidR="008778AD" w:rsidRPr="008778AD" w:rsidRDefault="008778AD" w:rsidP="0087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78AD">
        <w:rPr>
          <w:rFonts w:ascii="Times New Roman" w:eastAsia="Times New Roman" w:hAnsi="Times New Roman" w:cs="Times New Roman"/>
          <w:sz w:val="24"/>
          <w:szCs w:val="24"/>
        </w:rPr>
        <w:t>⁺ n = 87 prenatal assessed; postnatal motor not reported in RCT.</w:t>
      </w:r>
      <w:r w:rsidRPr="008778AD">
        <w:rPr>
          <w:rFonts w:ascii="Times New Roman" w:eastAsia="Times New Roman" w:hAnsi="Times New Roman" w:cs="Times New Roman"/>
          <w:sz w:val="24"/>
          <w:szCs w:val="24"/>
        </w:rPr>
        <w:br/>
        <w:t xml:space="preserve">ᵃ Outcome measured at 30 </w:t>
      </w:r>
      <w:proofErr w:type="spellStart"/>
      <w:r w:rsidRPr="008778AD">
        <w:rPr>
          <w:rFonts w:ascii="Times New Roman" w:eastAsia="Times New Roman" w:hAnsi="Times New Roman" w:cs="Times New Roman"/>
          <w:sz w:val="24"/>
          <w:szCs w:val="24"/>
        </w:rPr>
        <w:t>mo</w:t>
      </w:r>
      <w:proofErr w:type="spellEnd"/>
      <w:r w:rsidRPr="008778AD">
        <w:rPr>
          <w:rFonts w:ascii="Times New Roman" w:eastAsia="Times New Roman" w:hAnsi="Times New Roman" w:cs="Times New Roman"/>
          <w:sz w:val="24"/>
          <w:szCs w:val="24"/>
        </w:rPr>
        <w:t xml:space="preserve">, not 24 </w:t>
      </w:r>
      <w:proofErr w:type="spellStart"/>
      <w:r w:rsidRPr="008778AD">
        <w:rPr>
          <w:rFonts w:ascii="Times New Roman" w:eastAsia="Times New Roman" w:hAnsi="Times New Roman" w:cs="Times New Roman"/>
          <w:sz w:val="24"/>
          <w:szCs w:val="24"/>
        </w:rPr>
        <w:t>mo</w:t>
      </w:r>
      <w:proofErr w:type="spellEnd"/>
      <w:r w:rsidRPr="008778AD">
        <w:rPr>
          <w:rFonts w:ascii="Times New Roman" w:eastAsia="Times New Roman" w:hAnsi="Times New Roman" w:cs="Times New Roman"/>
          <w:sz w:val="24"/>
          <w:szCs w:val="24"/>
        </w:rPr>
        <w:t xml:space="preserve"> as per protocol.</w:t>
      </w:r>
      <w:r w:rsidRPr="008778AD">
        <w:rPr>
          <w:rFonts w:ascii="Times New Roman" w:eastAsia="Times New Roman" w:hAnsi="Times New Roman" w:cs="Times New Roman"/>
          <w:sz w:val="24"/>
          <w:szCs w:val="24"/>
        </w:rPr>
        <w:br/>
        <w:t>ᵇ Wide CI anticipated; no direct estimate.</w:t>
      </w:r>
    </w:p>
    <w:p w14:paraId="3E9BF660" w14:textId="77777777" w:rsidR="007048B0" w:rsidRDefault="007048B0" w:rsidP="0087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56D346F8" w14:textId="77777777" w:rsidR="007048B0" w:rsidRDefault="007048B0" w:rsidP="0087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176E7639" w14:textId="0047A00A" w:rsidR="008778AD" w:rsidRPr="008778AD" w:rsidRDefault="008778AD" w:rsidP="0087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78AD">
        <w:rPr>
          <w:rFonts w:ascii="Times New Roman" w:eastAsia="Times New Roman" w:hAnsi="Times New Roman" w:cs="Times New Roman"/>
          <w:sz w:val="24"/>
          <w:szCs w:val="24"/>
        </w:rPr>
        <w:lastRenderedPageBreak/>
        <w:t>Table 6. GRADE Evidence Profile for Maternal Major Morbidity (Composite)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5"/>
        <w:gridCol w:w="1362"/>
        <w:gridCol w:w="1025"/>
      </w:tblGrid>
      <w:tr w:rsidR="008778AD" w:rsidRPr="008778AD" w14:paraId="2ADCD675" w14:textId="77777777" w:rsidTr="008778A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3BA301E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Certainty Assessment</w:t>
            </w:r>
          </w:p>
        </w:tc>
        <w:tc>
          <w:tcPr>
            <w:tcW w:w="0" w:type="auto"/>
            <w:vAlign w:val="center"/>
            <w:hideMark/>
          </w:tcPr>
          <w:p w14:paraId="18D4A659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0FE67B2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778AD" w:rsidRPr="008778AD" w14:paraId="33B0ABCF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1C0238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0" w:type="auto"/>
            <w:vAlign w:val="center"/>
            <w:hideMark/>
          </w:tcPr>
          <w:p w14:paraId="4E8E15A1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RCT (n=182)</w:t>
            </w:r>
          </w:p>
        </w:tc>
        <w:tc>
          <w:tcPr>
            <w:tcW w:w="0" w:type="auto"/>
            <w:vAlign w:val="center"/>
            <w:hideMark/>
          </w:tcPr>
          <w:p w14:paraId="3BE0A1EC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089C718A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BBEC35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Risk of bias</w:t>
            </w:r>
          </w:p>
        </w:tc>
        <w:tc>
          <w:tcPr>
            <w:tcW w:w="0" w:type="auto"/>
            <w:vAlign w:val="center"/>
            <w:hideMark/>
          </w:tcPr>
          <w:p w14:paraId="13617616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vAlign w:val="center"/>
            <w:hideMark/>
          </w:tcPr>
          <w:p w14:paraId="1CFBF2C0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7A2E5699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BC810A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Inconsistency</w:t>
            </w:r>
          </w:p>
        </w:tc>
        <w:tc>
          <w:tcPr>
            <w:tcW w:w="0" w:type="auto"/>
            <w:vAlign w:val="center"/>
            <w:hideMark/>
          </w:tcPr>
          <w:p w14:paraId="7EAF4887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vAlign w:val="center"/>
            <w:hideMark/>
          </w:tcPr>
          <w:p w14:paraId="257E5277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61C53A6F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BD34B3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Indirectness</w:t>
            </w:r>
          </w:p>
        </w:tc>
        <w:tc>
          <w:tcPr>
            <w:tcW w:w="0" w:type="auto"/>
            <w:vAlign w:val="center"/>
            <w:hideMark/>
          </w:tcPr>
          <w:p w14:paraId="1B9BA074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Serious⁽ᶜ⁾</w:t>
            </w:r>
          </w:p>
        </w:tc>
        <w:tc>
          <w:tcPr>
            <w:tcW w:w="0" w:type="auto"/>
            <w:vAlign w:val="center"/>
            <w:hideMark/>
          </w:tcPr>
          <w:p w14:paraId="3C674B6C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6FEAAE33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5FAA1C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Imprecision</w:t>
            </w:r>
          </w:p>
        </w:tc>
        <w:tc>
          <w:tcPr>
            <w:tcW w:w="0" w:type="auto"/>
            <w:vAlign w:val="center"/>
            <w:hideMark/>
          </w:tcPr>
          <w:p w14:paraId="7F0DE2B0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Not serious</w:t>
            </w:r>
          </w:p>
        </w:tc>
        <w:tc>
          <w:tcPr>
            <w:tcW w:w="0" w:type="auto"/>
            <w:vAlign w:val="center"/>
            <w:hideMark/>
          </w:tcPr>
          <w:p w14:paraId="52BE7711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534B43D6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29D15E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Publication bias</w:t>
            </w:r>
          </w:p>
        </w:tc>
        <w:tc>
          <w:tcPr>
            <w:tcW w:w="0" w:type="auto"/>
            <w:vAlign w:val="center"/>
            <w:hideMark/>
          </w:tcPr>
          <w:p w14:paraId="7451B9EB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Undetected</w:t>
            </w:r>
          </w:p>
        </w:tc>
        <w:tc>
          <w:tcPr>
            <w:tcW w:w="0" w:type="auto"/>
            <w:vAlign w:val="center"/>
            <w:hideMark/>
          </w:tcPr>
          <w:p w14:paraId="7E56641A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056EE39D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765577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Other considerations</w:t>
            </w:r>
          </w:p>
        </w:tc>
        <w:tc>
          <w:tcPr>
            <w:tcW w:w="0" w:type="auto"/>
            <w:vAlign w:val="center"/>
            <w:hideMark/>
          </w:tcPr>
          <w:p w14:paraId="1BB97F37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0" w:type="auto"/>
            <w:vAlign w:val="center"/>
            <w:hideMark/>
          </w:tcPr>
          <w:p w14:paraId="3652114F" w14:textId="77777777" w:rsidR="008778AD" w:rsidRPr="008778AD" w:rsidRDefault="008778AD" w:rsidP="00877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78AD" w:rsidRPr="008778AD" w14:paraId="2A1DD741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1E9E55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Certainty of evidence</w:t>
            </w:r>
          </w:p>
        </w:tc>
        <w:tc>
          <w:tcPr>
            <w:tcW w:w="0" w:type="auto"/>
            <w:vAlign w:val="center"/>
            <w:hideMark/>
          </w:tcPr>
          <w:p w14:paraId="53ACE15E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14:paraId="2A4EBFB9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Segoe UI Symbol" w:eastAsia="Times New Roman" w:hAnsi="Segoe UI Symbol" w:cs="Segoe UI Symbol"/>
                <w:sz w:val="24"/>
                <w:szCs w:val="24"/>
              </w:rPr>
              <w:t>⬤⬤⬤</w:t>
            </w:r>
            <w:r w:rsidRPr="008778AD">
              <w:rPr>
                <w:rFonts w:ascii="Segoe UI Emoji" w:eastAsia="Times New Roman" w:hAnsi="Segoe UI Emoji" w:cs="Segoe UI Emoji"/>
                <w:sz w:val="24"/>
                <w:szCs w:val="24"/>
              </w:rPr>
              <w:t>⚪</w:t>
            </w:r>
          </w:p>
        </w:tc>
      </w:tr>
    </w:tbl>
    <w:p w14:paraId="55D7912F" w14:textId="77777777" w:rsidR="008778AD" w:rsidRPr="008778AD" w:rsidRDefault="008778AD" w:rsidP="008778A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9"/>
        <w:gridCol w:w="1340"/>
        <w:gridCol w:w="1027"/>
        <w:gridCol w:w="2561"/>
      </w:tblGrid>
      <w:tr w:rsidR="008778AD" w:rsidRPr="008778AD" w14:paraId="6A954FEF" w14:textId="77777777" w:rsidTr="008778A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9E9973C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0" w:type="auto"/>
            <w:vAlign w:val="center"/>
            <w:hideMark/>
          </w:tcPr>
          <w:p w14:paraId="215BA680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Intervention</w:t>
            </w:r>
          </w:p>
        </w:tc>
        <w:tc>
          <w:tcPr>
            <w:tcW w:w="0" w:type="auto"/>
            <w:vAlign w:val="center"/>
            <w:hideMark/>
          </w:tcPr>
          <w:p w14:paraId="540F3DD6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0" w:type="auto"/>
            <w:vAlign w:val="center"/>
            <w:hideMark/>
          </w:tcPr>
          <w:p w14:paraId="67C42391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Relative effect (95% CI)</w:t>
            </w:r>
          </w:p>
        </w:tc>
      </w:tr>
      <w:tr w:rsidR="008778AD" w:rsidRPr="008778AD" w14:paraId="345139B0" w14:textId="77777777" w:rsidTr="008778A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2870FE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Maternal major morbidity⁽ᵈ⁾</w:t>
            </w:r>
          </w:p>
        </w:tc>
        <w:tc>
          <w:tcPr>
            <w:tcW w:w="0" w:type="auto"/>
            <w:vAlign w:val="center"/>
            <w:hideMark/>
          </w:tcPr>
          <w:p w14:paraId="1383B311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31/91 (34%)</w:t>
            </w:r>
          </w:p>
        </w:tc>
        <w:tc>
          <w:tcPr>
            <w:tcW w:w="0" w:type="auto"/>
            <w:vAlign w:val="center"/>
            <w:hideMark/>
          </w:tcPr>
          <w:p w14:paraId="3E795124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8/91 (9%)</w:t>
            </w:r>
          </w:p>
        </w:tc>
        <w:tc>
          <w:tcPr>
            <w:tcW w:w="0" w:type="auto"/>
            <w:vAlign w:val="center"/>
            <w:hideMark/>
          </w:tcPr>
          <w:p w14:paraId="4F2AB43C" w14:textId="77777777" w:rsidR="008778AD" w:rsidRPr="008778AD" w:rsidRDefault="008778AD" w:rsidP="008778A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8AD">
              <w:rPr>
                <w:rFonts w:ascii="Times New Roman" w:eastAsia="Times New Roman" w:hAnsi="Times New Roman" w:cs="Times New Roman"/>
                <w:sz w:val="24"/>
                <w:szCs w:val="24"/>
              </w:rPr>
              <w:t>RR 3.78 (2.00–7.15)</w:t>
            </w:r>
          </w:p>
        </w:tc>
      </w:tr>
    </w:tbl>
    <w:p w14:paraId="255C2531" w14:textId="5B0B8D0F" w:rsidR="00EF4B23" w:rsidRDefault="00EF4B23"/>
    <w:p w14:paraId="001AC7AA" w14:textId="77777777" w:rsidR="00EF4B23" w:rsidRDefault="00EF4B23" w:rsidP="00EF4B23">
      <w:pPr>
        <w:pStyle w:val="NormalWeb"/>
      </w:pPr>
      <w:r>
        <w:t>ᶜ Composite combines preterm </w:t>
      </w:r>
      <w:r>
        <w:br/>
        <w:t>ᵈ Composite as defined by trial report.</w:t>
      </w:r>
    </w:p>
    <w:p w14:paraId="1E6A7FBB" w14:textId="77777777" w:rsidR="00EF4B23" w:rsidRDefault="00EF4B23" w:rsidP="00EF4B23">
      <w:pPr>
        <w:pStyle w:val="NormalWeb"/>
      </w:pPr>
      <w:r>
        <w:t>These profiles can be inserted as “Summary of Findings” tables in your manuscript (often near the Discussion) or as an Appendix.</w:t>
      </w:r>
    </w:p>
    <w:p w14:paraId="652F647E" w14:textId="77777777" w:rsidR="00EF4B23" w:rsidRDefault="00EF4B23"/>
    <w:sectPr w:rsidR="00EF4B23" w:rsidSect="00A374F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E5B0E"/>
    <w:multiLevelType w:val="multilevel"/>
    <w:tmpl w:val="FA80B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9F73E6"/>
    <w:multiLevelType w:val="multilevel"/>
    <w:tmpl w:val="31B09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560C12"/>
    <w:multiLevelType w:val="hybridMultilevel"/>
    <w:tmpl w:val="388A5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5372AA"/>
    <w:multiLevelType w:val="multilevel"/>
    <w:tmpl w:val="7CCE5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90422D"/>
    <w:multiLevelType w:val="multilevel"/>
    <w:tmpl w:val="D1761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D75767"/>
    <w:multiLevelType w:val="multilevel"/>
    <w:tmpl w:val="BDDAE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DF3791"/>
    <w:multiLevelType w:val="multilevel"/>
    <w:tmpl w:val="DEBC5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4C7984"/>
    <w:multiLevelType w:val="hybridMultilevel"/>
    <w:tmpl w:val="912485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CD6226"/>
    <w:multiLevelType w:val="hybridMultilevel"/>
    <w:tmpl w:val="107CB0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6827E6"/>
    <w:multiLevelType w:val="multilevel"/>
    <w:tmpl w:val="DC9CF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2A4493A"/>
    <w:multiLevelType w:val="hybridMultilevel"/>
    <w:tmpl w:val="8F8ED980"/>
    <w:lvl w:ilvl="0" w:tplc="FCE0EBE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8779C9"/>
    <w:multiLevelType w:val="multilevel"/>
    <w:tmpl w:val="D2A8F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3971F5"/>
    <w:multiLevelType w:val="multilevel"/>
    <w:tmpl w:val="0BCE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6097668">
    <w:abstractNumId w:val="3"/>
  </w:num>
  <w:num w:numId="2" w16cid:durableId="542642524">
    <w:abstractNumId w:val="6"/>
  </w:num>
  <w:num w:numId="3" w16cid:durableId="626395686">
    <w:abstractNumId w:val="5"/>
  </w:num>
  <w:num w:numId="4" w16cid:durableId="13776955">
    <w:abstractNumId w:val="11"/>
  </w:num>
  <w:num w:numId="5" w16cid:durableId="1636138017">
    <w:abstractNumId w:val="12"/>
  </w:num>
  <w:num w:numId="6" w16cid:durableId="1885829985">
    <w:abstractNumId w:val="9"/>
  </w:num>
  <w:num w:numId="7" w16cid:durableId="1577518347">
    <w:abstractNumId w:val="4"/>
  </w:num>
  <w:num w:numId="8" w16cid:durableId="1343166653">
    <w:abstractNumId w:val="0"/>
  </w:num>
  <w:num w:numId="9" w16cid:durableId="21981048">
    <w:abstractNumId w:val="1"/>
  </w:num>
  <w:num w:numId="10" w16cid:durableId="1060983597">
    <w:abstractNumId w:val="2"/>
  </w:num>
  <w:num w:numId="11" w16cid:durableId="332606379">
    <w:abstractNumId w:val="10"/>
  </w:num>
  <w:num w:numId="12" w16cid:durableId="1747142759">
    <w:abstractNumId w:val="7"/>
  </w:num>
  <w:num w:numId="13" w16cid:durableId="8980531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A15"/>
    <w:rsid w:val="000712C2"/>
    <w:rsid w:val="0007188C"/>
    <w:rsid w:val="000B51C7"/>
    <w:rsid w:val="000C72E2"/>
    <w:rsid w:val="000D09F5"/>
    <w:rsid w:val="000E644C"/>
    <w:rsid w:val="0013135C"/>
    <w:rsid w:val="00154187"/>
    <w:rsid w:val="00192C3E"/>
    <w:rsid w:val="001C5AB6"/>
    <w:rsid w:val="001D48CB"/>
    <w:rsid w:val="001F3E9C"/>
    <w:rsid w:val="002318DE"/>
    <w:rsid w:val="00233349"/>
    <w:rsid w:val="002B19DA"/>
    <w:rsid w:val="002F4DC1"/>
    <w:rsid w:val="002F51FE"/>
    <w:rsid w:val="003028DF"/>
    <w:rsid w:val="003227EF"/>
    <w:rsid w:val="00364016"/>
    <w:rsid w:val="00373C13"/>
    <w:rsid w:val="003865EE"/>
    <w:rsid w:val="003A7A5E"/>
    <w:rsid w:val="003C109F"/>
    <w:rsid w:val="003C4D7F"/>
    <w:rsid w:val="003D5E22"/>
    <w:rsid w:val="003D613F"/>
    <w:rsid w:val="0040432B"/>
    <w:rsid w:val="004320DA"/>
    <w:rsid w:val="00434518"/>
    <w:rsid w:val="00434A15"/>
    <w:rsid w:val="004704F8"/>
    <w:rsid w:val="0049001E"/>
    <w:rsid w:val="004B1F7A"/>
    <w:rsid w:val="004F1CE1"/>
    <w:rsid w:val="004F5B66"/>
    <w:rsid w:val="0050016D"/>
    <w:rsid w:val="00534EBA"/>
    <w:rsid w:val="0055501E"/>
    <w:rsid w:val="00560DA8"/>
    <w:rsid w:val="0059395A"/>
    <w:rsid w:val="005D4CF4"/>
    <w:rsid w:val="005E0BEA"/>
    <w:rsid w:val="005E1BCE"/>
    <w:rsid w:val="005F04C9"/>
    <w:rsid w:val="00601328"/>
    <w:rsid w:val="00601D74"/>
    <w:rsid w:val="00605385"/>
    <w:rsid w:val="00606725"/>
    <w:rsid w:val="00614B3E"/>
    <w:rsid w:val="00616697"/>
    <w:rsid w:val="006638DF"/>
    <w:rsid w:val="00670902"/>
    <w:rsid w:val="00670DA8"/>
    <w:rsid w:val="00690811"/>
    <w:rsid w:val="00692DFE"/>
    <w:rsid w:val="006942B4"/>
    <w:rsid w:val="006946C1"/>
    <w:rsid w:val="006970B7"/>
    <w:rsid w:val="006B01F2"/>
    <w:rsid w:val="006B0D52"/>
    <w:rsid w:val="006B2300"/>
    <w:rsid w:val="006C10E9"/>
    <w:rsid w:val="006F00CD"/>
    <w:rsid w:val="007048B0"/>
    <w:rsid w:val="00734C52"/>
    <w:rsid w:val="00737CA6"/>
    <w:rsid w:val="00752883"/>
    <w:rsid w:val="00754216"/>
    <w:rsid w:val="00765E17"/>
    <w:rsid w:val="0077096B"/>
    <w:rsid w:val="00780ADA"/>
    <w:rsid w:val="0079510D"/>
    <w:rsid w:val="007B401E"/>
    <w:rsid w:val="0081259C"/>
    <w:rsid w:val="008778AD"/>
    <w:rsid w:val="008E14F4"/>
    <w:rsid w:val="008F23B0"/>
    <w:rsid w:val="008F63B6"/>
    <w:rsid w:val="00912C23"/>
    <w:rsid w:val="009378DF"/>
    <w:rsid w:val="00963BA2"/>
    <w:rsid w:val="00993CD9"/>
    <w:rsid w:val="00996E88"/>
    <w:rsid w:val="009B6233"/>
    <w:rsid w:val="00A12302"/>
    <w:rsid w:val="00A124E4"/>
    <w:rsid w:val="00A374F2"/>
    <w:rsid w:val="00A647D3"/>
    <w:rsid w:val="00A7313A"/>
    <w:rsid w:val="00A744E2"/>
    <w:rsid w:val="00AA2E9E"/>
    <w:rsid w:val="00AB33F0"/>
    <w:rsid w:val="00AC3EB4"/>
    <w:rsid w:val="00B22A35"/>
    <w:rsid w:val="00B8353A"/>
    <w:rsid w:val="00B83EDB"/>
    <w:rsid w:val="00BE4149"/>
    <w:rsid w:val="00C00E47"/>
    <w:rsid w:val="00C35744"/>
    <w:rsid w:val="00CB4AA2"/>
    <w:rsid w:val="00CB56C4"/>
    <w:rsid w:val="00CF4F15"/>
    <w:rsid w:val="00DE510C"/>
    <w:rsid w:val="00E24BA3"/>
    <w:rsid w:val="00E71D7E"/>
    <w:rsid w:val="00E74D67"/>
    <w:rsid w:val="00E81350"/>
    <w:rsid w:val="00E973C1"/>
    <w:rsid w:val="00ED405E"/>
    <w:rsid w:val="00EF4B23"/>
    <w:rsid w:val="00EF6BDA"/>
    <w:rsid w:val="00F016E8"/>
    <w:rsid w:val="00F01B34"/>
    <w:rsid w:val="00F06AB6"/>
    <w:rsid w:val="00F14334"/>
    <w:rsid w:val="00F51EAC"/>
    <w:rsid w:val="00F53613"/>
    <w:rsid w:val="00F61853"/>
    <w:rsid w:val="00FC2BF2"/>
    <w:rsid w:val="00FD5743"/>
    <w:rsid w:val="00FF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D35B3"/>
  <w15:docId w15:val="{B7730676-930C-4256-B2A6-4C48395D4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A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067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06725"/>
    <w:rPr>
      <w:b/>
      <w:bCs/>
    </w:rPr>
  </w:style>
  <w:style w:type="character" w:styleId="Emphasis">
    <w:name w:val="Emphasis"/>
    <w:basedOn w:val="DefaultParagraphFont"/>
    <w:uiPriority w:val="20"/>
    <w:qFormat/>
    <w:rsid w:val="00606725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15418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EF6BD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D09F5"/>
    <w:rPr>
      <w:color w:val="0000FF"/>
      <w:u w:val="single"/>
    </w:rPr>
  </w:style>
  <w:style w:type="paragraph" w:styleId="Revision">
    <w:name w:val="Revision"/>
    <w:hidden/>
    <w:uiPriority w:val="99"/>
    <w:semiHidden/>
    <w:rsid w:val="001C5A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5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0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92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61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954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518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77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61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395602">
              <w:marLeft w:val="0"/>
              <w:marRight w:val="0"/>
              <w:marTop w:val="0"/>
              <w:marBottom w:val="0"/>
              <w:divBdr>
                <w:top w:val="single" w:sz="6" w:space="9" w:color="D0D0D0"/>
                <w:left w:val="single" w:sz="6" w:space="9" w:color="D0D0D0"/>
                <w:bottom w:val="single" w:sz="6" w:space="9" w:color="D0D0D0"/>
                <w:right w:val="single" w:sz="6" w:space="9" w:color="D0D0D0"/>
              </w:divBdr>
            </w:div>
          </w:divsChild>
        </w:div>
      </w:divsChild>
    </w:div>
    <w:div w:id="4503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6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8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4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6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4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9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13158</TotalTime>
  <Pages>12</Pages>
  <Words>2090</Words>
  <Characters>11914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Hussein M</dc:creator>
  <cp:keywords/>
  <dc:description/>
  <cp:lastModifiedBy>Bhushan Tandale</cp:lastModifiedBy>
  <cp:revision>4</cp:revision>
  <cp:lastPrinted>2025-08-01T21:58:00Z</cp:lastPrinted>
  <dcterms:created xsi:type="dcterms:W3CDTF">2025-08-01T21:57:00Z</dcterms:created>
  <dcterms:modified xsi:type="dcterms:W3CDTF">2025-08-12T09:54:00Z</dcterms:modified>
</cp:coreProperties>
</file>