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EA429D" w14:textId="5BF4EADC" w:rsidR="00FA69E6" w:rsidRPr="00FA69E6" w:rsidRDefault="00FA69E6" w:rsidP="00FA69E6">
      <w:pPr>
        <w:rPr>
          <w:lang w:val="en-US"/>
        </w:rPr>
      </w:pPr>
    </w:p>
    <w:tbl>
      <w:tblPr>
        <w:tblpPr w:leftFromText="180" w:rightFromText="180" w:vertAnchor="text" w:horzAnchor="margin" w:tblpXSpec="center" w:tblpY="291"/>
        <w:tblW w:w="0" w:type="auto"/>
        <w:tblLayout w:type="fixed"/>
        <w:tblLook w:val="04A0" w:firstRow="1" w:lastRow="0" w:firstColumn="1" w:lastColumn="0" w:noHBand="0" w:noVBand="1"/>
      </w:tblPr>
      <w:tblGrid>
        <w:gridCol w:w="3352"/>
        <w:gridCol w:w="2878"/>
      </w:tblGrid>
      <w:tr w:rsidR="00FA69E6" w:rsidRPr="00FA69E6" w14:paraId="1ADA45BC" w14:textId="77777777" w:rsidTr="00FA69E6">
        <w:trPr>
          <w:trHeight w:val="980"/>
        </w:trPr>
        <w:tc>
          <w:tcPr>
            <w:tcW w:w="6230" w:type="dxa"/>
            <w:gridSpan w:val="2"/>
            <w:tcBorders>
              <w:top w:val="single" w:sz="4" w:space="0" w:color="auto"/>
              <w:left w:val="single" w:sz="4" w:space="0" w:color="auto"/>
              <w:bottom w:val="single" w:sz="4" w:space="0" w:color="auto"/>
              <w:right w:val="single" w:sz="4" w:space="0" w:color="auto"/>
            </w:tcBorders>
            <w:vAlign w:val="bottom"/>
            <w:hideMark/>
          </w:tcPr>
          <w:p w14:paraId="040A5136" w14:textId="77777777" w:rsidR="00FA69E6" w:rsidRPr="00FA69E6" w:rsidRDefault="00FA69E6" w:rsidP="00FA69E6">
            <w:pPr>
              <w:rPr>
                <w:b/>
                <w:bCs/>
                <w:lang w:val="en-US"/>
              </w:rPr>
            </w:pPr>
            <w:bookmarkStart w:id="0" w:name="_Hlk136821903"/>
            <w:r w:rsidRPr="00FA69E6">
              <w:rPr>
                <w:b/>
                <w:bCs/>
                <w:lang w:val="en-US"/>
              </w:rPr>
              <w:t xml:space="preserve">ANEXURE ‘A’ ANTIMICROBIAL DRUGS FOR TESTING </w:t>
            </w:r>
          </w:p>
        </w:tc>
      </w:tr>
      <w:tr w:rsidR="00FA69E6" w:rsidRPr="00FA69E6" w14:paraId="3E8B97D2" w14:textId="77777777" w:rsidTr="00FA69E6">
        <w:trPr>
          <w:trHeight w:val="655"/>
        </w:trPr>
        <w:tc>
          <w:tcPr>
            <w:tcW w:w="6230" w:type="dxa"/>
            <w:gridSpan w:val="2"/>
            <w:tcBorders>
              <w:top w:val="single" w:sz="4" w:space="0" w:color="auto"/>
              <w:left w:val="single" w:sz="4" w:space="0" w:color="auto"/>
              <w:bottom w:val="single" w:sz="4" w:space="0" w:color="auto"/>
              <w:right w:val="single" w:sz="4" w:space="0" w:color="auto"/>
            </w:tcBorders>
            <w:vAlign w:val="bottom"/>
            <w:hideMark/>
          </w:tcPr>
          <w:p w14:paraId="42B1EADA" w14:textId="77777777" w:rsidR="00FA69E6" w:rsidRPr="00FA69E6" w:rsidRDefault="00FA69E6" w:rsidP="00FA69E6">
            <w:pPr>
              <w:rPr>
                <w:b/>
                <w:bCs/>
                <w:lang w:val="en-US"/>
              </w:rPr>
            </w:pPr>
            <w:r w:rsidRPr="00FA69E6">
              <w:rPr>
                <w:b/>
                <w:bCs/>
                <w:lang w:val="en-US"/>
              </w:rPr>
              <w:t>Antibiotics</w:t>
            </w:r>
          </w:p>
        </w:tc>
      </w:tr>
      <w:tr w:rsidR="00FA69E6" w:rsidRPr="00FA69E6" w14:paraId="2B971432" w14:textId="77777777" w:rsidTr="00FA69E6">
        <w:trPr>
          <w:trHeight w:val="647"/>
        </w:trPr>
        <w:tc>
          <w:tcPr>
            <w:tcW w:w="3352" w:type="dxa"/>
            <w:tcBorders>
              <w:top w:val="single" w:sz="4" w:space="0" w:color="auto"/>
              <w:left w:val="single" w:sz="4" w:space="0" w:color="auto"/>
              <w:bottom w:val="single" w:sz="4" w:space="0" w:color="auto"/>
              <w:right w:val="single" w:sz="4" w:space="0" w:color="auto"/>
            </w:tcBorders>
            <w:hideMark/>
          </w:tcPr>
          <w:p w14:paraId="0C4C18FA" w14:textId="77777777" w:rsidR="00FA69E6" w:rsidRPr="00FA69E6" w:rsidRDefault="00FA69E6" w:rsidP="00FA69E6">
            <w:pPr>
              <w:numPr>
                <w:ilvl w:val="0"/>
                <w:numId w:val="1"/>
              </w:numPr>
              <w:rPr>
                <w:lang w:val="en-US"/>
              </w:rPr>
            </w:pPr>
            <w:bookmarkStart w:id="1" w:name="_Hlk136829590"/>
            <w:r w:rsidRPr="00FA69E6">
              <w:rPr>
                <w:lang w:val="en-US"/>
              </w:rPr>
              <w:t>Amoxicillin + Clavulanic acid (AUG)</w:t>
            </w:r>
          </w:p>
        </w:tc>
        <w:tc>
          <w:tcPr>
            <w:tcW w:w="2878" w:type="dxa"/>
            <w:tcBorders>
              <w:top w:val="single" w:sz="4" w:space="0" w:color="auto"/>
              <w:left w:val="single" w:sz="4" w:space="0" w:color="auto"/>
              <w:bottom w:val="single" w:sz="4" w:space="0" w:color="auto"/>
              <w:right w:val="single" w:sz="4" w:space="0" w:color="auto"/>
            </w:tcBorders>
            <w:vAlign w:val="bottom"/>
            <w:hideMark/>
          </w:tcPr>
          <w:p w14:paraId="5E66DF72" w14:textId="77777777" w:rsidR="00FA69E6" w:rsidRPr="00FA69E6" w:rsidRDefault="00FA69E6" w:rsidP="00FA69E6">
            <w:pPr>
              <w:numPr>
                <w:ilvl w:val="0"/>
                <w:numId w:val="1"/>
              </w:numPr>
              <w:rPr>
                <w:lang w:val="en-US"/>
              </w:rPr>
            </w:pPr>
            <w:r w:rsidRPr="00FA69E6">
              <w:rPr>
                <w:lang w:val="en-US"/>
              </w:rPr>
              <w:t>Cefoperazone sulbactam (SCF)</w:t>
            </w:r>
          </w:p>
        </w:tc>
      </w:tr>
      <w:tr w:rsidR="00FA69E6" w:rsidRPr="00FA69E6" w14:paraId="2AFFAAB9" w14:textId="77777777" w:rsidTr="00FA69E6">
        <w:trPr>
          <w:trHeight w:val="323"/>
        </w:trPr>
        <w:tc>
          <w:tcPr>
            <w:tcW w:w="3352" w:type="dxa"/>
            <w:tcBorders>
              <w:top w:val="single" w:sz="4" w:space="0" w:color="auto"/>
              <w:left w:val="single" w:sz="4" w:space="0" w:color="auto"/>
              <w:bottom w:val="single" w:sz="4" w:space="0" w:color="auto"/>
              <w:right w:val="single" w:sz="4" w:space="0" w:color="auto"/>
            </w:tcBorders>
            <w:hideMark/>
          </w:tcPr>
          <w:p w14:paraId="5DEE9EB3" w14:textId="77777777" w:rsidR="00FA69E6" w:rsidRPr="00FA69E6" w:rsidRDefault="00FA69E6" w:rsidP="00FA69E6">
            <w:pPr>
              <w:numPr>
                <w:ilvl w:val="0"/>
                <w:numId w:val="1"/>
              </w:numPr>
              <w:rPr>
                <w:lang w:val="en-US"/>
              </w:rPr>
            </w:pPr>
            <w:r w:rsidRPr="00FA69E6">
              <w:rPr>
                <w:lang w:val="en-US"/>
              </w:rPr>
              <w:t>Imipenem (IMI)</w:t>
            </w:r>
          </w:p>
        </w:tc>
        <w:tc>
          <w:tcPr>
            <w:tcW w:w="2878" w:type="dxa"/>
            <w:tcBorders>
              <w:top w:val="single" w:sz="4" w:space="0" w:color="auto"/>
              <w:left w:val="single" w:sz="4" w:space="0" w:color="auto"/>
              <w:bottom w:val="single" w:sz="4" w:space="0" w:color="auto"/>
              <w:right w:val="single" w:sz="4" w:space="0" w:color="auto"/>
            </w:tcBorders>
            <w:hideMark/>
          </w:tcPr>
          <w:p w14:paraId="264B1F62" w14:textId="77777777" w:rsidR="00FA69E6" w:rsidRPr="00FA69E6" w:rsidRDefault="00FA69E6" w:rsidP="00FA69E6">
            <w:pPr>
              <w:numPr>
                <w:ilvl w:val="0"/>
                <w:numId w:val="1"/>
              </w:numPr>
              <w:rPr>
                <w:lang w:val="en-US"/>
              </w:rPr>
            </w:pPr>
            <w:r w:rsidRPr="00FA69E6">
              <w:rPr>
                <w:lang w:val="en-US"/>
              </w:rPr>
              <w:t>Cefoxitin (FOX)</w:t>
            </w:r>
          </w:p>
        </w:tc>
      </w:tr>
      <w:tr w:rsidR="00FA69E6" w:rsidRPr="00FA69E6" w14:paraId="05E28691" w14:textId="77777777" w:rsidTr="00FA69E6">
        <w:trPr>
          <w:trHeight w:val="647"/>
        </w:trPr>
        <w:tc>
          <w:tcPr>
            <w:tcW w:w="3352" w:type="dxa"/>
            <w:tcBorders>
              <w:top w:val="single" w:sz="4" w:space="0" w:color="auto"/>
              <w:left w:val="single" w:sz="4" w:space="0" w:color="auto"/>
              <w:bottom w:val="single" w:sz="4" w:space="0" w:color="auto"/>
              <w:right w:val="single" w:sz="4" w:space="0" w:color="auto"/>
            </w:tcBorders>
            <w:hideMark/>
          </w:tcPr>
          <w:p w14:paraId="2D4556EC" w14:textId="77777777" w:rsidR="00FA69E6" w:rsidRPr="00FA69E6" w:rsidRDefault="00FA69E6" w:rsidP="00FA69E6">
            <w:pPr>
              <w:numPr>
                <w:ilvl w:val="0"/>
                <w:numId w:val="1"/>
              </w:numPr>
              <w:rPr>
                <w:lang w:val="en-US"/>
              </w:rPr>
            </w:pPr>
            <w:r w:rsidRPr="00FA69E6">
              <w:rPr>
                <w:lang w:val="en-US"/>
              </w:rPr>
              <w:t>Piperacillin + tazobactam (TZP)</w:t>
            </w:r>
          </w:p>
        </w:tc>
        <w:tc>
          <w:tcPr>
            <w:tcW w:w="2878" w:type="dxa"/>
            <w:tcBorders>
              <w:top w:val="single" w:sz="4" w:space="0" w:color="auto"/>
              <w:left w:val="single" w:sz="4" w:space="0" w:color="auto"/>
              <w:bottom w:val="single" w:sz="4" w:space="0" w:color="auto"/>
              <w:right w:val="single" w:sz="4" w:space="0" w:color="auto"/>
            </w:tcBorders>
            <w:hideMark/>
          </w:tcPr>
          <w:p w14:paraId="58245BCC" w14:textId="77777777" w:rsidR="00FA69E6" w:rsidRPr="00FA69E6" w:rsidRDefault="00FA69E6" w:rsidP="00FA69E6">
            <w:pPr>
              <w:numPr>
                <w:ilvl w:val="0"/>
                <w:numId w:val="1"/>
              </w:numPr>
              <w:rPr>
                <w:lang w:val="en-US"/>
              </w:rPr>
            </w:pPr>
            <w:r w:rsidRPr="00FA69E6">
              <w:rPr>
                <w:lang w:val="en-US"/>
              </w:rPr>
              <w:t>Cefepime (FEP)</w:t>
            </w:r>
          </w:p>
        </w:tc>
      </w:tr>
      <w:tr w:rsidR="00FA69E6" w:rsidRPr="00FA69E6" w14:paraId="1D2509C7" w14:textId="77777777" w:rsidTr="00FA69E6">
        <w:trPr>
          <w:trHeight w:val="323"/>
        </w:trPr>
        <w:tc>
          <w:tcPr>
            <w:tcW w:w="3352" w:type="dxa"/>
            <w:tcBorders>
              <w:top w:val="single" w:sz="4" w:space="0" w:color="auto"/>
              <w:left w:val="single" w:sz="4" w:space="0" w:color="auto"/>
              <w:bottom w:val="single" w:sz="4" w:space="0" w:color="auto"/>
              <w:right w:val="single" w:sz="4" w:space="0" w:color="auto"/>
            </w:tcBorders>
            <w:hideMark/>
          </w:tcPr>
          <w:p w14:paraId="5E5119E7" w14:textId="77777777" w:rsidR="00FA69E6" w:rsidRPr="00FA69E6" w:rsidRDefault="00FA69E6" w:rsidP="00FA69E6">
            <w:pPr>
              <w:numPr>
                <w:ilvl w:val="0"/>
                <w:numId w:val="1"/>
              </w:numPr>
              <w:rPr>
                <w:lang w:val="en-US"/>
              </w:rPr>
            </w:pPr>
            <w:r w:rsidRPr="00FA69E6">
              <w:rPr>
                <w:lang w:val="en-US"/>
              </w:rPr>
              <w:t>Cefixime (CFM)</w:t>
            </w:r>
          </w:p>
        </w:tc>
        <w:tc>
          <w:tcPr>
            <w:tcW w:w="2878" w:type="dxa"/>
            <w:tcBorders>
              <w:top w:val="single" w:sz="4" w:space="0" w:color="auto"/>
              <w:left w:val="single" w:sz="4" w:space="0" w:color="auto"/>
              <w:bottom w:val="single" w:sz="4" w:space="0" w:color="auto"/>
              <w:right w:val="single" w:sz="4" w:space="0" w:color="auto"/>
            </w:tcBorders>
            <w:hideMark/>
          </w:tcPr>
          <w:p w14:paraId="685B99B8" w14:textId="77777777" w:rsidR="00FA69E6" w:rsidRPr="00FA69E6" w:rsidRDefault="00FA69E6" w:rsidP="00FA69E6">
            <w:pPr>
              <w:numPr>
                <w:ilvl w:val="0"/>
                <w:numId w:val="1"/>
              </w:numPr>
              <w:rPr>
                <w:lang w:val="en-US"/>
              </w:rPr>
            </w:pPr>
            <w:r w:rsidRPr="00FA69E6">
              <w:rPr>
                <w:lang w:val="en-US"/>
              </w:rPr>
              <w:t>Teicoplanin (TEC)</w:t>
            </w:r>
          </w:p>
        </w:tc>
      </w:tr>
      <w:tr w:rsidR="00FA69E6" w:rsidRPr="00FA69E6" w14:paraId="4CA5D1EB" w14:textId="77777777" w:rsidTr="00FA69E6">
        <w:trPr>
          <w:trHeight w:val="309"/>
        </w:trPr>
        <w:tc>
          <w:tcPr>
            <w:tcW w:w="3352" w:type="dxa"/>
            <w:tcBorders>
              <w:top w:val="single" w:sz="4" w:space="0" w:color="auto"/>
              <w:left w:val="single" w:sz="4" w:space="0" w:color="auto"/>
              <w:bottom w:val="single" w:sz="4" w:space="0" w:color="auto"/>
              <w:right w:val="single" w:sz="4" w:space="0" w:color="auto"/>
            </w:tcBorders>
            <w:hideMark/>
          </w:tcPr>
          <w:p w14:paraId="30F4DA48" w14:textId="77777777" w:rsidR="00FA69E6" w:rsidRPr="00FA69E6" w:rsidRDefault="00FA69E6" w:rsidP="00FA69E6">
            <w:pPr>
              <w:numPr>
                <w:ilvl w:val="0"/>
                <w:numId w:val="1"/>
              </w:numPr>
              <w:rPr>
                <w:lang w:val="en-US"/>
              </w:rPr>
            </w:pPr>
            <w:r w:rsidRPr="00FA69E6">
              <w:rPr>
                <w:lang w:val="en-US"/>
              </w:rPr>
              <w:t>Ceftazidime (CAZ)</w:t>
            </w:r>
          </w:p>
        </w:tc>
        <w:tc>
          <w:tcPr>
            <w:tcW w:w="2878" w:type="dxa"/>
            <w:tcBorders>
              <w:top w:val="single" w:sz="4" w:space="0" w:color="auto"/>
              <w:left w:val="single" w:sz="4" w:space="0" w:color="auto"/>
              <w:bottom w:val="single" w:sz="4" w:space="0" w:color="auto"/>
              <w:right w:val="single" w:sz="4" w:space="0" w:color="auto"/>
            </w:tcBorders>
            <w:hideMark/>
          </w:tcPr>
          <w:p w14:paraId="3C66BE78" w14:textId="77777777" w:rsidR="00FA69E6" w:rsidRPr="00FA69E6" w:rsidRDefault="00FA69E6" w:rsidP="00FA69E6">
            <w:pPr>
              <w:numPr>
                <w:ilvl w:val="0"/>
                <w:numId w:val="1"/>
              </w:numPr>
              <w:rPr>
                <w:lang w:val="en-US"/>
              </w:rPr>
            </w:pPr>
            <w:r w:rsidRPr="00FA69E6">
              <w:rPr>
                <w:lang w:val="en-US"/>
              </w:rPr>
              <w:t>Ceftazidime (CAZ)</w:t>
            </w:r>
          </w:p>
        </w:tc>
      </w:tr>
      <w:tr w:rsidR="00FA69E6" w:rsidRPr="00FA69E6" w14:paraId="567A7304" w14:textId="77777777" w:rsidTr="00FA69E6">
        <w:trPr>
          <w:trHeight w:val="323"/>
        </w:trPr>
        <w:tc>
          <w:tcPr>
            <w:tcW w:w="3352" w:type="dxa"/>
            <w:tcBorders>
              <w:top w:val="single" w:sz="4" w:space="0" w:color="auto"/>
              <w:left w:val="single" w:sz="4" w:space="0" w:color="auto"/>
              <w:bottom w:val="single" w:sz="4" w:space="0" w:color="auto"/>
              <w:right w:val="single" w:sz="4" w:space="0" w:color="auto"/>
            </w:tcBorders>
            <w:hideMark/>
          </w:tcPr>
          <w:p w14:paraId="1072F36C" w14:textId="77777777" w:rsidR="00FA69E6" w:rsidRPr="00FA69E6" w:rsidRDefault="00FA69E6" w:rsidP="00FA69E6">
            <w:pPr>
              <w:numPr>
                <w:ilvl w:val="0"/>
                <w:numId w:val="1"/>
              </w:numPr>
              <w:rPr>
                <w:lang w:val="en-US"/>
              </w:rPr>
            </w:pPr>
            <w:r w:rsidRPr="00FA69E6">
              <w:rPr>
                <w:lang w:val="en-US"/>
              </w:rPr>
              <w:t>Ceftriaxone (CRO)</w:t>
            </w:r>
          </w:p>
        </w:tc>
        <w:tc>
          <w:tcPr>
            <w:tcW w:w="2878" w:type="dxa"/>
            <w:tcBorders>
              <w:top w:val="single" w:sz="4" w:space="0" w:color="auto"/>
              <w:left w:val="single" w:sz="4" w:space="0" w:color="auto"/>
              <w:bottom w:val="single" w:sz="4" w:space="0" w:color="auto"/>
              <w:right w:val="single" w:sz="4" w:space="0" w:color="auto"/>
            </w:tcBorders>
            <w:hideMark/>
          </w:tcPr>
          <w:p w14:paraId="24F141EA" w14:textId="77777777" w:rsidR="00FA69E6" w:rsidRPr="00FA69E6" w:rsidRDefault="00FA69E6" w:rsidP="00FA69E6">
            <w:pPr>
              <w:numPr>
                <w:ilvl w:val="0"/>
                <w:numId w:val="1"/>
              </w:numPr>
              <w:rPr>
                <w:lang w:val="en-US"/>
              </w:rPr>
            </w:pPr>
            <w:r w:rsidRPr="00FA69E6">
              <w:rPr>
                <w:lang w:val="en-US"/>
              </w:rPr>
              <w:t>Colistin (CT)</w:t>
            </w:r>
          </w:p>
        </w:tc>
      </w:tr>
      <w:tr w:rsidR="00FA69E6" w:rsidRPr="00FA69E6" w14:paraId="4FAF5278" w14:textId="77777777" w:rsidTr="00FA69E6">
        <w:trPr>
          <w:trHeight w:val="323"/>
        </w:trPr>
        <w:tc>
          <w:tcPr>
            <w:tcW w:w="3352" w:type="dxa"/>
            <w:tcBorders>
              <w:top w:val="single" w:sz="4" w:space="0" w:color="auto"/>
              <w:left w:val="single" w:sz="4" w:space="0" w:color="auto"/>
              <w:bottom w:val="single" w:sz="4" w:space="0" w:color="auto"/>
              <w:right w:val="single" w:sz="4" w:space="0" w:color="auto"/>
            </w:tcBorders>
            <w:hideMark/>
          </w:tcPr>
          <w:p w14:paraId="329B4575" w14:textId="77777777" w:rsidR="00FA69E6" w:rsidRPr="00FA69E6" w:rsidRDefault="00FA69E6" w:rsidP="00FA69E6">
            <w:pPr>
              <w:numPr>
                <w:ilvl w:val="0"/>
                <w:numId w:val="1"/>
              </w:numPr>
              <w:rPr>
                <w:lang w:val="en-US"/>
              </w:rPr>
            </w:pPr>
            <w:r w:rsidRPr="00FA69E6">
              <w:rPr>
                <w:lang w:val="en-US"/>
              </w:rPr>
              <w:t>Ciprofloxacin (CIP)</w:t>
            </w:r>
          </w:p>
        </w:tc>
        <w:tc>
          <w:tcPr>
            <w:tcW w:w="2878" w:type="dxa"/>
            <w:tcBorders>
              <w:top w:val="single" w:sz="4" w:space="0" w:color="auto"/>
              <w:left w:val="single" w:sz="4" w:space="0" w:color="auto"/>
              <w:bottom w:val="single" w:sz="4" w:space="0" w:color="auto"/>
              <w:right w:val="single" w:sz="4" w:space="0" w:color="auto"/>
            </w:tcBorders>
            <w:hideMark/>
          </w:tcPr>
          <w:p w14:paraId="09C46DA7" w14:textId="77777777" w:rsidR="00FA69E6" w:rsidRPr="00FA69E6" w:rsidRDefault="00FA69E6" w:rsidP="00FA69E6">
            <w:pPr>
              <w:numPr>
                <w:ilvl w:val="0"/>
                <w:numId w:val="1"/>
              </w:numPr>
              <w:rPr>
                <w:lang w:val="en-US"/>
              </w:rPr>
            </w:pPr>
            <w:r w:rsidRPr="00FA69E6">
              <w:rPr>
                <w:lang w:val="en-US"/>
              </w:rPr>
              <w:t>Polymyxin B (PB)</w:t>
            </w:r>
          </w:p>
        </w:tc>
      </w:tr>
      <w:tr w:rsidR="00FA69E6" w:rsidRPr="00FA69E6" w14:paraId="035EF180" w14:textId="77777777" w:rsidTr="00FA69E6">
        <w:trPr>
          <w:trHeight w:val="323"/>
        </w:trPr>
        <w:tc>
          <w:tcPr>
            <w:tcW w:w="3352" w:type="dxa"/>
            <w:tcBorders>
              <w:top w:val="single" w:sz="4" w:space="0" w:color="auto"/>
              <w:left w:val="single" w:sz="4" w:space="0" w:color="auto"/>
              <w:bottom w:val="single" w:sz="4" w:space="0" w:color="auto"/>
              <w:right w:val="single" w:sz="4" w:space="0" w:color="auto"/>
            </w:tcBorders>
            <w:hideMark/>
          </w:tcPr>
          <w:p w14:paraId="13FBA548" w14:textId="77777777" w:rsidR="00FA69E6" w:rsidRPr="00FA69E6" w:rsidRDefault="00FA69E6" w:rsidP="00FA69E6">
            <w:pPr>
              <w:numPr>
                <w:ilvl w:val="0"/>
                <w:numId w:val="1"/>
              </w:numPr>
              <w:rPr>
                <w:lang w:val="en-US"/>
              </w:rPr>
            </w:pPr>
            <w:r w:rsidRPr="00FA69E6">
              <w:rPr>
                <w:lang w:val="en-US"/>
              </w:rPr>
              <w:t>Levofloxacin (LEO)</w:t>
            </w:r>
          </w:p>
        </w:tc>
        <w:tc>
          <w:tcPr>
            <w:tcW w:w="2878" w:type="dxa"/>
            <w:tcBorders>
              <w:top w:val="single" w:sz="4" w:space="0" w:color="auto"/>
              <w:left w:val="single" w:sz="4" w:space="0" w:color="auto"/>
              <w:bottom w:val="single" w:sz="4" w:space="0" w:color="auto"/>
              <w:right w:val="single" w:sz="4" w:space="0" w:color="auto"/>
            </w:tcBorders>
            <w:hideMark/>
          </w:tcPr>
          <w:p w14:paraId="38006CE9" w14:textId="77777777" w:rsidR="00FA69E6" w:rsidRPr="00FA69E6" w:rsidRDefault="00FA69E6" w:rsidP="00FA69E6">
            <w:pPr>
              <w:numPr>
                <w:ilvl w:val="0"/>
                <w:numId w:val="1"/>
              </w:numPr>
              <w:rPr>
                <w:lang w:val="en-US"/>
              </w:rPr>
            </w:pPr>
            <w:r w:rsidRPr="00FA69E6">
              <w:rPr>
                <w:lang w:val="en-US"/>
              </w:rPr>
              <w:t>Sulfamethoxazole + trimethoprim (SXT)</w:t>
            </w:r>
          </w:p>
        </w:tc>
      </w:tr>
      <w:tr w:rsidR="00FA69E6" w:rsidRPr="00FA69E6" w14:paraId="41FE758B" w14:textId="77777777" w:rsidTr="00FA69E6">
        <w:trPr>
          <w:trHeight w:val="323"/>
        </w:trPr>
        <w:tc>
          <w:tcPr>
            <w:tcW w:w="3352" w:type="dxa"/>
            <w:tcBorders>
              <w:top w:val="single" w:sz="4" w:space="0" w:color="auto"/>
              <w:left w:val="single" w:sz="4" w:space="0" w:color="auto"/>
              <w:bottom w:val="single" w:sz="4" w:space="0" w:color="auto"/>
              <w:right w:val="single" w:sz="4" w:space="0" w:color="auto"/>
            </w:tcBorders>
            <w:hideMark/>
          </w:tcPr>
          <w:p w14:paraId="6C638095" w14:textId="77777777" w:rsidR="00FA69E6" w:rsidRPr="00FA69E6" w:rsidRDefault="00FA69E6" w:rsidP="00FA69E6">
            <w:pPr>
              <w:numPr>
                <w:ilvl w:val="0"/>
                <w:numId w:val="1"/>
              </w:numPr>
              <w:rPr>
                <w:lang w:val="en-US"/>
              </w:rPr>
            </w:pPr>
            <w:r w:rsidRPr="00FA69E6">
              <w:rPr>
                <w:lang w:val="en-US"/>
              </w:rPr>
              <w:t>Amikacin (AK)</w:t>
            </w:r>
          </w:p>
        </w:tc>
        <w:tc>
          <w:tcPr>
            <w:tcW w:w="2878" w:type="dxa"/>
            <w:tcBorders>
              <w:top w:val="single" w:sz="4" w:space="0" w:color="auto"/>
              <w:left w:val="single" w:sz="4" w:space="0" w:color="auto"/>
              <w:bottom w:val="single" w:sz="4" w:space="0" w:color="auto"/>
              <w:right w:val="single" w:sz="4" w:space="0" w:color="auto"/>
            </w:tcBorders>
            <w:hideMark/>
          </w:tcPr>
          <w:p w14:paraId="4048C01A" w14:textId="77777777" w:rsidR="00FA69E6" w:rsidRPr="00FA69E6" w:rsidRDefault="00FA69E6" w:rsidP="00FA69E6">
            <w:pPr>
              <w:numPr>
                <w:ilvl w:val="0"/>
                <w:numId w:val="1"/>
              </w:numPr>
              <w:rPr>
                <w:lang w:val="en-US"/>
              </w:rPr>
            </w:pPr>
            <w:r w:rsidRPr="00FA69E6">
              <w:rPr>
                <w:lang w:val="en-US"/>
              </w:rPr>
              <w:t>Clindamycin (DA)</w:t>
            </w:r>
          </w:p>
        </w:tc>
      </w:tr>
      <w:tr w:rsidR="00FA69E6" w:rsidRPr="00FA69E6" w14:paraId="1C0105AB" w14:textId="77777777" w:rsidTr="00FA69E6">
        <w:trPr>
          <w:trHeight w:val="323"/>
        </w:trPr>
        <w:tc>
          <w:tcPr>
            <w:tcW w:w="3352" w:type="dxa"/>
            <w:tcBorders>
              <w:top w:val="single" w:sz="4" w:space="0" w:color="auto"/>
              <w:left w:val="single" w:sz="4" w:space="0" w:color="auto"/>
              <w:bottom w:val="single" w:sz="4" w:space="0" w:color="auto"/>
              <w:right w:val="single" w:sz="4" w:space="0" w:color="auto"/>
            </w:tcBorders>
            <w:hideMark/>
          </w:tcPr>
          <w:p w14:paraId="59F03601" w14:textId="77777777" w:rsidR="00FA69E6" w:rsidRPr="00FA69E6" w:rsidRDefault="00FA69E6" w:rsidP="00FA69E6">
            <w:pPr>
              <w:numPr>
                <w:ilvl w:val="0"/>
                <w:numId w:val="1"/>
              </w:numPr>
              <w:rPr>
                <w:lang w:val="en-US"/>
              </w:rPr>
            </w:pPr>
            <w:r w:rsidRPr="00FA69E6">
              <w:rPr>
                <w:lang w:val="en-US"/>
              </w:rPr>
              <w:t>Fosfomycin (FOS)</w:t>
            </w:r>
          </w:p>
        </w:tc>
        <w:tc>
          <w:tcPr>
            <w:tcW w:w="2878" w:type="dxa"/>
            <w:tcBorders>
              <w:top w:val="single" w:sz="4" w:space="0" w:color="auto"/>
              <w:left w:val="single" w:sz="4" w:space="0" w:color="auto"/>
              <w:bottom w:val="single" w:sz="4" w:space="0" w:color="auto"/>
              <w:right w:val="single" w:sz="4" w:space="0" w:color="auto"/>
            </w:tcBorders>
            <w:hideMark/>
          </w:tcPr>
          <w:p w14:paraId="6F549C67" w14:textId="77777777" w:rsidR="00FA69E6" w:rsidRPr="00FA69E6" w:rsidRDefault="00FA69E6" w:rsidP="00FA69E6">
            <w:pPr>
              <w:numPr>
                <w:ilvl w:val="0"/>
                <w:numId w:val="1"/>
              </w:numPr>
              <w:rPr>
                <w:lang w:val="en-US"/>
              </w:rPr>
            </w:pPr>
            <w:r w:rsidRPr="00FA69E6">
              <w:rPr>
                <w:lang w:val="en-US"/>
              </w:rPr>
              <w:t>Gentamicin (CN)</w:t>
            </w:r>
          </w:p>
        </w:tc>
      </w:tr>
      <w:tr w:rsidR="00FA69E6" w:rsidRPr="00FA69E6" w14:paraId="0E09063B" w14:textId="77777777" w:rsidTr="00FA69E6">
        <w:trPr>
          <w:trHeight w:val="309"/>
        </w:trPr>
        <w:tc>
          <w:tcPr>
            <w:tcW w:w="3352" w:type="dxa"/>
            <w:tcBorders>
              <w:top w:val="single" w:sz="4" w:space="0" w:color="auto"/>
              <w:left w:val="single" w:sz="4" w:space="0" w:color="auto"/>
              <w:bottom w:val="single" w:sz="4" w:space="0" w:color="auto"/>
              <w:right w:val="single" w:sz="4" w:space="0" w:color="auto"/>
            </w:tcBorders>
            <w:hideMark/>
          </w:tcPr>
          <w:p w14:paraId="6E433A79" w14:textId="77777777" w:rsidR="00FA69E6" w:rsidRPr="00FA69E6" w:rsidRDefault="00FA69E6" w:rsidP="00FA69E6">
            <w:pPr>
              <w:numPr>
                <w:ilvl w:val="0"/>
                <w:numId w:val="1"/>
              </w:numPr>
              <w:rPr>
                <w:lang w:val="en-US"/>
              </w:rPr>
            </w:pPr>
            <w:r w:rsidRPr="00FA69E6">
              <w:rPr>
                <w:lang w:val="en-US"/>
              </w:rPr>
              <w:t>Nitrofurantoin (F)</w:t>
            </w:r>
          </w:p>
        </w:tc>
        <w:tc>
          <w:tcPr>
            <w:tcW w:w="2878" w:type="dxa"/>
            <w:tcBorders>
              <w:top w:val="single" w:sz="4" w:space="0" w:color="auto"/>
              <w:left w:val="single" w:sz="4" w:space="0" w:color="auto"/>
              <w:bottom w:val="single" w:sz="4" w:space="0" w:color="auto"/>
              <w:right w:val="single" w:sz="4" w:space="0" w:color="auto"/>
            </w:tcBorders>
            <w:hideMark/>
          </w:tcPr>
          <w:p w14:paraId="24272D7E" w14:textId="77777777" w:rsidR="00FA69E6" w:rsidRPr="00FA69E6" w:rsidRDefault="00FA69E6" w:rsidP="00FA69E6">
            <w:pPr>
              <w:numPr>
                <w:ilvl w:val="0"/>
                <w:numId w:val="1"/>
              </w:numPr>
              <w:rPr>
                <w:lang w:val="en-US"/>
              </w:rPr>
            </w:pPr>
            <w:r w:rsidRPr="00FA69E6">
              <w:rPr>
                <w:lang w:val="en-US"/>
              </w:rPr>
              <w:t>Amikacin (AL)</w:t>
            </w:r>
          </w:p>
        </w:tc>
      </w:tr>
      <w:tr w:rsidR="00FA69E6" w:rsidRPr="00FA69E6" w14:paraId="14A023BD" w14:textId="77777777" w:rsidTr="00FA69E6">
        <w:trPr>
          <w:trHeight w:val="647"/>
        </w:trPr>
        <w:tc>
          <w:tcPr>
            <w:tcW w:w="3352" w:type="dxa"/>
            <w:tcBorders>
              <w:top w:val="single" w:sz="4" w:space="0" w:color="auto"/>
              <w:left w:val="single" w:sz="4" w:space="0" w:color="auto"/>
              <w:bottom w:val="single" w:sz="4" w:space="0" w:color="auto"/>
              <w:right w:val="single" w:sz="4" w:space="0" w:color="auto"/>
            </w:tcBorders>
            <w:hideMark/>
          </w:tcPr>
          <w:p w14:paraId="0B40B58B" w14:textId="77777777" w:rsidR="00FA69E6" w:rsidRPr="00FA69E6" w:rsidRDefault="00FA69E6" w:rsidP="00FA69E6">
            <w:pPr>
              <w:numPr>
                <w:ilvl w:val="0"/>
                <w:numId w:val="1"/>
              </w:numPr>
              <w:rPr>
                <w:lang w:val="en-US"/>
              </w:rPr>
            </w:pPr>
            <w:r w:rsidRPr="00FA69E6">
              <w:rPr>
                <w:lang w:val="en-US"/>
              </w:rPr>
              <w:t>Augmentin (AMC)</w:t>
            </w:r>
          </w:p>
        </w:tc>
        <w:tc>
          <w:tcPr>
            <w:tcW w:w="2878" w:type="dxa"/>
            <w:tcBorders>
              <w:top w:val="single" w:sz="4" w:space="0" w:color="auto"/>
              <w:left w:val="single" w:sz="4" w:space="0" w:color="auto"/>
              <w:bottom w:val="single" w:sz="4" w:space="0" w:color="auto"/>
              <w:right w:val="single" w:sz="4" w:space="0" w:color="auto"/>
            </w:tcBorders>
            <w:hideMark/>
          </w:tcPr>
          <w:p w14:paraId="4C813A23" w14:textId="77777777" w:rsidR="00FA69E6" w:rsidRPr="00FA69E6" w:rsidRDefault="00FA69E6" w:rsidP="00FA69E6">
            <w:pPr>
              <w:numPr>
                <w:ilvl w:val="0"/>
                <w:numId w:val="1"/>
              </w:numPr>
              <w:rPr>
                <w:lang w:val="en-US"/>
              </w:rPr>
            </w:pPr>
            <w:r w:rsidRPr="00FA69E6">
              <w:rPr>
                <w:lang w:val="en-US"/>
              </w:rPr>
              <w:t>Ceftazidime (CAZ)</w:t>
            </w:r>
          </w:p>
        </w:tc>
      </w:tr>
      <w:tr w:rsidR="00FA69E6" w:rsidRPr="00FA69E6" w14:paraId="6D767DEB" w14:textId="77777777" w:rsidTr="00FA69E6">
        <w:trPr>
          <w:trHeight w:val="323"/>
        </w:trPr>
        <w:tc>
          <w:tcPr>
            <w:tcW w:w="3352" w:type="dxa"/>
            <w:tcBorders>
              <w:top w:val="single" w:sz="4" w:space="0" w:color="auto"/>
              <w:left w:val="single" w:sz="4" w:space="0" w:color="auto"/>
              <w:bottom w:val="single" w:sz="4" w:space="0" w:color="auto"/>
              <w:right w:val="single" w:sz="4" w:space="0" w:color="auto"/>
            </w:tcBorders>
            <w:hideMark/>
          </w:tcPr>
          <w:p w14:paraId="5E87C706" w14:textId="77777777" w:rsidR="00FA69E6" w:rsidRPr="00FA69E6" w:rsidRDefault="00FA69E6" w:rsidP="00FA69E6">
            <w:pPr>
              <w:numPr>
                <w:ilvl w:val="0"/>
                <w:numId w:val="1"/>
              </w:numPr>
              <w:rPr>
                <w:lang w:val="en-US"/>
              </w:rPr>
            </w:pPr>
            <w:r w:rsidRPr="00FA69E6">
              <w:rPr>
                <w:lang w:val="en-US"/>
              </w:rPr>
              <w:t>Vancomycin (VA)</w:t>
            </w:r>
          </w:p>
        </w:tc>
        <w:tc>
          <w:tcPr>
            <w:tcW w:w="2878" w:type="dxa"/>
            <w:tcBorders>
              <w:top w:val="single" w:sz="4" w:space="0" w:color="auto"/>
              <w:left w:val="single" w:sz="4" w:space="0" w:color="auto"/>
              <w:bottom w:val="single" w:sz="4" w:space="0" w:color="auto"/>
              <w:right w:val="single" w:sz="4" w:space="0" w:color="auto"/>
            </w:tcBorders>
            <w:hideMark/>
          </w:tcPr>
          <w:p w14:paraId="19EB2851" w14:textId="77777777" w:rsidR="00FA69E6" w:rsidRPr="00FA69E6" w:rsidRDefault="00FA69E6" w:rsidP="00FA69E6">
            <w:pPr>
              <w:numPr>
                <w:ilvl w:val="0"/>
                <w:numId w:val="1"/>
              </w:numPr>
              <w:rPr>
                <w:lang w:val="en-US"/>
              </w:rPr>
            </w:pPr>
            <w:r w:rsidRPr="00FA69E6">
              <w:rPr>
                <w:lang w:val="en-US"/>
              </w:rPr>
              <w:t>Aztreonam (ATM)</w:t>
            </w:r>
          </w:p>
        </w:tc>
      </w:tr>
      <w:bookmarkEnd w:id="0"/>
      <w:bookmarkEnd w:id="1"/>
    </w:tbl>
    <w:p w14:paraId="75C9A00C" w14:textId="77777777" w:rsidR="00FA69E6" w:rsidRPr="00FA69E6" w:rsidRDefault="00FA69E6" w:rsidP="00FA69E6">
      <w:pPr>
        <w:rPr>
          <w:lang w:val="en-US"/>
        </w:rPr>
      </w:pPr>
    </w:p>
    <w:p w14:paraId="530DD9FB" w14:textId="77777777" w:rsidR="00FA69E6" w:rsidRPr="00FA69E6" w:rsidRDefault="00FA69E6" w:rsidP="00FA69E6">
      <w:pPr>
        <w:rPr>
          <w:lang w:val="en-US"/>
        </w:rPr>
      </w:pPr>
    </w:p>
    <w:p w14:paraId="55704222" w14:textId="77777777" w:rsidR="00FA69E6" w:rsidRPr="00FA69E6" w:rsidRDefault="00FA69E6" w:rsidP="00FA69E6">
      <w:pPr>
        <w:rPr>
          <w:lang w:val="en-US"/>
        </w:rPr>
      </w:pPr>
    </w:p>
    <w:p w14:paraId="4EA5E4EC" w14:textId="77777777" w:rsidR="00FA69E6" w:rsidRPr="00FA69E6" w:rsidRDefault="00FA69E6" w:rsidP="00FA69E6">
      <w:pPr>
        <w:rPr>
          <w:lang w:val="en-US"/>
        </w:rPr>
      </w:pPr>
    </w:p>
    <w:p w14:paraId="4D4C1204" w14:textId="77777777" w:rsidR="00FA69E6" w:rsidRPr="00FA69E6" w:rsidRDefault="00FA69E6" w:rsidP="00FA69E6">
      <w:pPr>
        <w:rPr>
          <w:lang w:val="en-US"/>
        </w:rPr>
      </w:pPr>
    </w:p>
    <w:p w14:paraId="7A5C0CF3" w14:textId="77777777" w:rsidR="00FA69E6" w:rsidRPr="00FA69E6" w:rsidRDefault="00FA69E6" w:rsidP="00FA69E6">
      <w:pPr>
        <w:rPr>
          <w:lang w:val="en-US"/>
        </w:rPr>
      </w:pPr>
    </w:p>
    <w:p w14:paraId="3869BCE4" w14:textId="77777777" w:rsidR="00FA69E6" w:rsidRPr="00FA69E6" w:rsidRDefault="00FA69E6" w:rsidP="00FA69E6">
      <w:pPr>
        <w:rPr>
          <w:lang w:val="en-US"/>
        </w:rPr>
      </w:pPr>
    </w:p>
    <w:p w14:paraId="4B803EFC" w14:textId="77777777" w:rsidR="00FA69E6" w:rsidRPr="00FA69E6" w:rsidRDefault="00FA69E6" w:rsidP="00FA69E6">
      <w:pPr>
        <w:rPr>
          <w:lang w:val="en-US"/>
        </w:rPr>
      </w:pPr>
    </w:p>
    <w:p w14:paraId="11FD2051" w14:textId="77777777" w:rsidR="00FA69E6" w:rsidRPr="00FA69E6" w:rsidRDefault="00FA69E6" w:rsidP="00FA69E6">
      <w:pPr>
        <w:rPr>
          <w:lang w:val="en-US"/>
        </w:rPr>
      </w:pPr>
    </w:p>
    <w:p w14:paraId="36CD83F1" w14:textId="77777777" w:rsidR="00FA69E6" w:rsidRPr="00FA69E6" w:rsidRDefault="00FA69E6" w:rsidP="00FA69E6">
      <w:pPr>
        <w:rPr>
          <w:lang w:val="en-US"/>
        </w:rPr>
      </w:pPr>
    </w:p>
    <w:p w14:paraId="054B7717" w14:textId="77777777" w:rsidR="00FA69E6" w:rsidRPr="00FA69E6" w:rsidRDefault="00FA69E6" w:rsidP="00FA69E6">
      <w:pPr>
        <w:rPr>
          <w:lang w:val="en-US"/>
        </w:rPr>
      </w:pPr>
    </w:p>
    <w:p w14:paraId="3B246C39" w14:textId="77777777" w:rsidR="00FA69E6" w:rsidRPr="00FA69E6" w:rsidRDefault="00FA69E6" w:rsidP="00FA69E6">
      <w:pPr>
        <w:rPr>
          <w:lang w:val="en-US"/>
        </w:rPr>
      </w:pPr>
    </w:p>
    <w:p w14:paraId="7F588964" w14:textId="77777777" w:rsidR="00FA69E6" w:rsidRPr="00FA69E6" w:rsidRDefault="00FA69E6" w:rsidP="00FA69E6">
      <w:pPr>
        <w:rPr>
          <w:lang w:val="en-US"/>
        </w:rPr>
      </w:pPr>
    </w:p>
    <w:p w14:paraId="029BB47F" w14:textId="77777777" w:rsidR="00FA69E6" w:rsidRPr="00FA69E6" w:rsidRDefault="00FA69E6" w:rsidP="00FA69E6">
      <w:pPr>
        <w:rPr>
          <w:lang w:val="en-US"/>
        </w:rPr>
      </w:pPr>
    </w:p>
    <w:p w14:paraId="2A6826A8" w14:textId="77777777" w:rsidR="00FA69E6" w:rsidRPr="00FA69E6" w:rsidRDefault="00FA69E6" w:rsidP="00FA69E6">
      <w:pPr>
        <w:rPr>
          <w:lang w:val="en-US"/>
        </w:rPr>
      </w:pPr>
    </w:p>
    <w:p w14:paraId="7B543B1C" w14:textId="77777777" w:rsidR="00FA69E6" w:rsidRDefault="00FA69E6" w:rsidP="00FA69E6">
      <w:pPr>
        <w:rPr>
          <w:b/>
          <w:lang w:val="en-US"/>
        </w:rPr>
      </w:pPr>
      <w:r w:rsidRPr="00FA69E6">
        <w:rPr>
          <w:b/>
          <w:lang w:val="en-US"/>
        </w:rPr>
        <w:tab/>
      </w:r>
      <w:bookmarkStart w:id="2" w:name="_Hlk136822706"/>
      <w:bookmarkStart w:id="3" w:name="_Toc138592481"/>
    </w:p>
    <w:p w14:paraId="06441F63" w14:textId="77777777" w:rsidR="00FA69E6" w:rsidRDefault="00FA69E6" w:rsidP="00FA69E6">
      <w:pPr>
        <w:rPr>
          <w:b/>
          <w:lang w:val="en-US"/>
        </w:rPr>
      </w:pPr>
    </w:p>
    <w:p w14:paraId="6499DCC7" w14:textId="77777777" w:rsidR="00FA69E6" w:rsidRDefault="00FA69E6" w:rsidP="00FA69E6">
      <w:pPr>
        <w:rPr>
          <w:b/>
          <w:lang w:val="en-US"/>
        </w:rPr>
      </w:pPr>
    </w:p>
    <w:p w14:paraId="09F4C3C4" w14:textId="77777777" w:rsidR="00FA69E6" w:rsidRDefault="00FA69E6" w:rsidP="00FA69E6">
      <w:pPr>
        <w:rPr>
          <w:b/>
          <w:lang w:val="en-US"/>
        </w:rPr>
      </w:pPr>
    </w:p>
    <w:p w14:paraId="396513B6" w14:textId="77777777" w:rsidR="00FA69E6" w:rsidRDefault="00FA69E6" w:rsidP="00FA69E6">
      <w:pPr>
        <w:rPr>
          <w:b/>
          <w:lang w:val="en-US"/>
        </w:rPr>
      </w:pPr>
    </w:p>
    <w:p w14:paraId="4AA1EC97" w14:textId="77777777" w:rsidR="00FA69E6" w:rsidRDefault="00FA69E6" w:rsidP="00FA69E6">
      <w:pPr>
        <w:rPr>
          <w:b/>
          <w:lang w:val="en-US"/>
        </w:rPr>
      </w:pPr>
    </w:p>
    <w:p w14:paraId="71463633" w14:textId="77777777" w:rsidR="00FA69E6" w:rsidRDefault="00FA69E6" w:rsidP="00FA69E6">
      <w:pPr>
        <w:rPr>
          <w:b/>
          <w:lang w:val="en-US"/>
        </w:rPr>
      </w:pPr>
    </w:p>
    <w:p w14:paraId="25412AC6" w14:textId="576E7EFC" w:rsidR="00FA69E6" w:rsidRDefault="00FA69E6" w:rsidP="00FA69E6">
      <w:pPr>
        <w:rPr>
          <w:b/>
          <w:lang w:val="en-US"/>
        </w:rPr>
      </w:pPr>
      <w:r w:rsidRPr="00FA69E6">
        <w:rPr>
          <w:b/>
          <w:lang w:val="en-US"/>
        </w:rPr>
        <w:t>5.1</w:t>
      </w:r>
      <w:bookmarkEnd w:id="2"/>
      <w:r w:rsidRPr="00FA69E6">
        <w:rPr>
          <w:b/>
          <w:lang w:val="en-US"/>
        </w:rPr>
        <w:t xml:space="preserve">1.1 </w:t>
      </w:r>
    </w:p>
    <w:p w14:paraId="789FCF8D" w14:textId="5012C213" w:rsidR="00FA69E6" w:rsidRPr="00FA69E6" w:rsidRDefault="00FA69E6" w:rsidP="00FA69E6">
      <w:pPr>
        <w:rPr>
          <w:b/>
          <w:lang w:val="en-US"/>
        </w:rPr>
      </w:pPr>
      <w:r w:rsidRPr="00FA69E6">
        <w:rPr>
          <w:b/>
          <w:lang w:val="en-US"/>
        </w:rPr>
        <w:t>Catalase test</w:t>
      </w:r>
      <w:bookmarkEnd w:id="3"/>
    </w:p>
    <w:p w14:paraId="25EA40DF" w14:textId="77777777" w:rsidR="00FA69E6" w:rsidRPr="00FA69E6" w:rsidRDefault="00FA69E6" w:rsidP="00FA69E6">
      <w:pPr>
        <w:rPr>
          <w:lang w:val="en-US"/>
        </w:rPr>
      </w:pPr>
      <w:r w:rsidRPr="00FA69E6">
        <w:rPr>
          <w:lang w:val="en-US"/>
        </w:rPr>
        <w:t xml:space="preserve">This test is used to identify those bacteria that produce the catalases. These catalases are responsible for detoxification of hydrogen peroxide, produced water and oxygen gas. Bubbles formation of oxygen gas clearly indicates a catalase positive test. </w:t>
      </w:r>
      <w:r w:rsidRPr="00FA69E6">
        <w:rPr>
          <w:i/>
          <w:lang w:val="en-US"/>
        </w:rPr>
        <w:t>E. coil</w:t>
      </w:r>
      <w:r w:rsidRPr="00FA69E6">
        <w:rPr>
          <w:lang w:val="en-US"/>
        </w:rPr>
        <w:t xml:space="preserve">, </w:t>
      </w:r>
      <w:r w:rsidRPr="00FA69E6">
        <w:rPr>
          <w:i/>
          <w:lang w:val="en-US"/>
        </w:rPr>
        <w:t>S. aureus ylococcus</w:t>
      </w:r>
      <w:r w:rsidRPr="00FA69E6">
        <w:rPr>
          <w:lang w:val="en-US"/>
        </w:rPr>
        <w:t xml:space="preserve">, </w:t>
      </w:r>
      <w:r w:rsidRPr="00FA69E6">
        <w:rPr>
          <w:i/>
          <w:lang w:val="en-US"/>
        </w:rPr>
        <w:t>listeria,</w:t>
      </w:r>
      <w:r w:rsidRPr="00FA69E6">
        <w:rPr>
          <w:lang w:val="en-US"/>
        </w:rPr>
        <w:t xml:space="preserve"> and </w:t>
      </w:r>
      <w:r w:rsidRPr="00FA69E6">
        <w:rPr>
          <w:i/>
          <w:lang w:val="en-US"/>
        </w:rPr>
        <w:t>pseudomonas</w:t>
      </w:r>
      <w:r w:rsidRPr="00FA69E6">
        <w:rPr>
          <w:lang w:val="en-US"/>
        </w:rPr>
        <w:t xml:space="preserve"> are strong catalase positive bacteria. </w:t>
      </w:r>
    </w:p>
    <w:p w14:paraId="26C76D2D" w14:textId="77777777" w:rsidR="00FA69E6" w:rsidRPr="00FA69E6" w:rsidRDefault="00FA69E6" w:rsidP="00FA69E6">
      <w:pPr>
        <w:rPr>
          <w:b/>
          <w:lang w:val="en-US"/>
        </w:rPr>
      </w:pPr>
      <w:bookmarkStart w:id="4" w:name="_Toc138592482"/>
      <w:r w:rsidRPr="00FA69E6">
        <w:rPr>
          <w:b/>
          <w:lang w:val="en-US"/>
        </w:rPr>
        <w:lastRenderedPageBreak/>
        <w:t xml:space="preserve"> Coagulase test</w:t>
      </w:r>
      <w:bookmarkEnd w:id="4"/>
      <w:r w:rsidRPr="00FA69E6">
        <w:rPr>
          <w:b/>
          <w:lang w:val="en-US"/>
        </w:rPr>
        <w:t> </w:t>
      </w:r>
    </w:p>
    <w:p w14:paraId="4BB419BC" w14:textId="77777777" w:rsidR="00FA69E6" w:rsidRPr="00FA69E6" w:rsidRDefault="00FA69E6" w:rsidP="00FA69E6">
      <w:pPr>
        <w:rPr>
          <w:lang w:val="en-US"/>
        </w:rPr>
      </w:pPr>
    </w:p>
    <w:p w14:paraId="574C1896" w14:textId="77777777" w:rsidR="00FA69E6" w:rsidRPr="00FA69E6" w:rsidRDefault="00FA69E6" w:rsidP="00FA69E6">
      <w:pPr>
        <w:rPr>
          <w:lang w:val="en-US"/>
        </w:rPr>
      </w:pPr>
      <w:r w:rsidRPr="00FA69E6">
        <w:rPr>
          <w:bCs/>
          <w:lang w:val="en-US"/>
        </w:rPr>
        <w:t>This test is used to identify</w:t>
      </w:r>
      <w:r w:rsidRPr="00FA69E6">
        <w:rPr>
          <w:b/>
          <w:bCs/>
          <w:lang w:val="en-US"/>
        </w:rPr>
        <w:t xml:space="preserve"> </w:t>
      </w:r>
      <w:r w:rsidRPr="00FA69E6">
        <w:rPr>
          <w:lang w:val="en-US"/>
        </w:rPr>
        <w:t>S. aureus, during identification coagulation of EDTA-plasma occurred and clumps of cells are produced on slides. This is a clear indication of S. aureus aureus presence.</w:t>
      </w:r>
    </w:p>
    <w:p w14:paraId="1D5823C9" w14:textId="77777777" w:rsidR="00FA69E6" w:rsidRPr="00FA69E6" w:rsidRDefault="00FA69E6" w:rsidP="00FA69E6">
      <w:pPr>
        <w:rPr>
          <w:b/>
          <w:lang w:val="en-US"/>
        </w:rPr>
      </w:pPr>
      <w:bookmarkStart w:id="5" w:name="_Toc138592483"/>
      <w:r w:rsidRPr="00FA69E6">
        <w:rPr>
          <w:b/>
          <w:lang w:val="en-US"/>
        </w:rPr>
        <w:t>Oxidase test</w:t>
      </w:r>
      <w:bookmarkEnd w:id="5"/>
    </w:p>
    <w:p w14:paraId="5961A212" w14:textId="77777777" w:rsidR="00FA69E6" w:rsidRPr="00FA69E6" w:rsidRDefault="00FA69E6" w:rsidP="00FA69E6">
      <w:pPr>
        <w:rPr>
          <w:b/>
          <w:lang w:val="en-US"/>
        </w:rPr>
      </w:pPr>
    </w:p>
    <w:p w14:paraId="11937465" w14:textId="77777777" w:rsidR="00FA69E6" w:rsidRPr="00FA69E6" w:rsidRDefault="00FA69E6" w:rsidP="00FA69E6">
      <w:pPr>
        <w:rPr>
          <w:lang w:val="en-US"/>
        </w:rPr>
      </w:pPr>
      <w:r w:rsidRPr="00FA69E6">
        <w:rPr>
          <w:lang w:val="en-US"/>
        </w:rPr>
        <w:t>It is a biochemical reaction that is performed to detect the presence of cytochrome oxidase in bacteria, this enzyme is also known as indophenol oxidase. In the presence of a bacteria with cytochrome oxidase enzyme, the reduced color less reagent (N, N, N′,N′-</w:t>
      </w:r>
      <w:bookmarkStart w:id="6" w:name="_Hlk136829651"/>
      <w:r w:rsidRPr="00FA69E6">
        <w:rPr>
          <w:lang w:val="en-US"/>
        </w:rPr>
        <w:t>tetramethyl-p-phenylenediamine, TMPD</w:t>
      </w:r>
      <w:bookmarkEnd w:id="6"/>
      <w:r w:rsidRPr="00FA69E6">
        <w:rPr>
          <w:lang w:val="en-US"/>
        </w:rPr>
        <w:t xml:space="preserve">) is oxidized to colored product. During this process enzymes catalyze the transport of electrons from donor compounds (NADH) to electron acceptors (usually oxygen). The reagent TMPD acts as an electron donor for the enzyme oxidase. </w:t>
      </w:r>
      <w:r w:rsidRPr="00FA69E6">
        <w:rPr>
          <w:i/>
          <w:lang w:val="en-US"/>
        </w:rPr>
        <w:t>Pseudomonas aeruginosa</w:t>
      </w:r>
      <w:r w:rsidRPr="00FA69E6">
        <w:rPr>
          <w:lang w:val="en-US"/>
        </w:rPr>
        <w:t xml:space="preserve"> is an oxidase positive bacterium. </w:t>
      </w:r>
    </w:p>
    <w:p w14:paraId="60E4F0B9" w14:textId="77777777" w:rsidR="00FA69E6" w:rsidRPr="00FA69E6" w:rsidRDefault="00FA69E6" w:rsidP="00FA69E6">
      <w:pPr>
        <w:rPr>
          <w:b/>
          <w:lang w:val="en-US"/>
        </w:rPr>
      </w:pPr>
      <w:bookmarkStart w:id="7" w:name="_Toc138592484"/>
      <w:r w:rsidRPr="00FA69E6">
        <w:rPr>
          <w:b/>
          <w:lang w:val="en-US"/>
        </w:rPr>
        <w:t>Triple Sugar Iron Agar test</w:t>
      </w:r>
      <w:bookmarkEnd w:id="7"/>
    </w:p>
    <w:p w14:paraId="49F3E596" w14:textId="77777777" w:rsidR="00FA69E6" w:rsidRPr="00FA69E6" w:rsidRDefault="00FA69E6" w:rsidP="00FA69E6">
      <w:pPr>
        <w:rPr>
          <w:lang w:val="en-US"/>
        </w:rPr>
      </w:pPr>
    </w:p>
    <w:p w14:paraId="2CBB996A" w14:textId="77777777" w:rsidR="00FA69E6" w:rsidRPr="00FA69E6" w:rsidRDefault="00FA69E6" w:rsidP="00FA69E6">
      <w:pPr>
        <w:rPr>
          <w:lang w:val="en-US"/>
        </w:rPr>
      </w:pPr>
      <w:r w:rsidRPr="00FA69E6">
        <w:rPr>
          <w:lang w:val="en-US"/>
        </w:rPr>
        <w:t>TSI agar test is applied for identification of Enterobacteriaceae with the principle of fermentation of three sugars glucose, lactose, sucrose, and the production of gas and H2S. During the test when any of the carbohydrates are fermented, results in decline of pH followed by change of color of medium from reddish orange (the original color) to yellow. The formation of dark red color is alkalinization of the peptones. Some bacteria in the media interact with sodium thiosulfate to generate hydrogen sulfide gas which reacts with ferric ion to produce black precipitate of iron sulfide.</w:t>
      </w:r>
      <w:bookmarkStart w:id="8" w:name="_Toc138592485"/>
    </w:p>
    <w:p w14:paraId="33F93CE4" w14:textId="77777777" w:rsidR="00FA69E6" w:rsidRPr="00FA69E6" w:rsidRDefault="00FA69E6" w:rsidP="00FA69E6">
      <w:pPr>
        <w:rPr>
          <w:b/>
          <w:lang w:val="en-US"/>
        </w:rPr>
      </w:pPr>
    </w:p>
    <w:p w14:paraId="7BA1D84E" w14:textId="77777777" w:rsidR="00FA69E6" w:rsidRPr="00FA69E6" w:rsidRDefault="00FA69E6" w:rsidP="00FA69E6">
      <w:pPr>
        <w:rPr>
          <w:lang w:val="en-US"/>
        </w:rPr>
      </w:pPr>
      <w:r w:rsidRPr="00FA69E6">
        <w:rPr>
          <w:b/>
          <w:lang w:val="en-US"/>
        </w:rPr>
        <w:t>Simmons Citrate utilization test</w:t>
      </w:r>
      <w:bookmarkEnd w:id="8"/>
    </w:p>
    <w:p w14:paraId="0AF4349B" w14:textId="77777777" w:rsidR="00FA69E6" w:rsidRPr="00FA69E6" w:rsidRDefault="00FA69E6" w:rsidP="00FA69E6">
      <w:pPr>
        <w:rPr>
          <w:lang w:val="en-US"/>
        </w:rPr>
      </w:pPr>
    </w:p>
    <w:p w14:paraId="5592D2FB" w14:textId="77777777" w:rsidR="00FA69E6" w:rsidRPr="00FA69E6" w:rsidRDefault="00FA69E6" w:rsidP="00FA69E6">
      <w:pPr>
        <w:rPr>
          <w:lang w:val="en-US"/>
        </w:rPr>
      </w:pPr>
      <w:r w:rsidRPr="00FA69E6">
        <w:rPr>
          <w:lang w:val="en-US"/>
        </w:rPr>
        <w:t xml:space="preserve">It is based on the principle that bacteria that can use citrate as carbon source and inorganic ammonium salt as source of nitrogen, can only exhibit growth on this medium. In these bacteria the enzyme citrate hydrolyses the citrate salt into oxaloacetic acid and acetic acid. A positive diagnostic test rests results in the production of alkaline by-products of citrate metabolism. Followed by an increase in the pH of the medium indicated by the color change of an indicator. Mostly two bacteria </w:t>
      </w:r>
      <w:r w:rsidRPr="00FA69E6">
        <w:rPr>
          <w:i/>
          <w:lang w:val="en-US"/>
        </w:rPr>
        <w:t xml:space="preserve">Klebsiella pneumoniae </w:t>
      </w:r>
      <w:r w:rsidRPr="00FA69E6">
        <w:rPr>
          <w:lang w:val="en-US"/>
        </w:rPr>
        <w:t>and</w:t>
      </w:r>
      <w:r w:rsidRPr="00FA69E6">
        <w:rPr>
          <w:i/>
          <w:lang w:val="en-US"/>
        </w:rPr>
        <w:t xml:space="preserve"> Proteus mirabilis</w:t>
      </w:r>
      <w:r w:rsidRPr="00FA69E6">
        <w:rPr>
          <w:lang w:val="en-US"/>
        </w:rPr>
        <w:t xml:space="preserve"> are citrate positive organisms whereas, </w:t>
      </w:r>
      <w:r w:rsidRPr="00FA69E6">
        <w:rPr>
          <w:i/>
          <w:lang w:val="en-US"/>
        </w:rPr>
        <w:t>Escherichia coli</w:t>
      </w:r>
      <w:r w:rsidRPr="00FA69E6">
        <w:rPr>
          <w:lang w:val="en-US"/>
        </w:rPr>
        <w:t xml:space="preserve"> and </w:t>
      </w:r>
      <w:r w:rsidRPr="00FA69E6">
        <w:rPr>
          <w:i/>
          <w:lang w:val="en-US"/>
        </w:rPr>
        <w:t>Shigella dysenteries</w:t>
      </w:r>
      <w:r w:rsidRPr="00FA69E6">
        <w:rPr>
          <w:lang w:val="en-US"/>
        </w:rPr>
        <w:t xml:space="preserve"> resulted negative on citrate test.</w:t>
      </w:r>
    </w:p>
    <w:p w14:paraId="7CB4DB9E" w14:textId="77777777" w:rsidR="00FA69E6" w:rsidRPr="00FA69E6" w:rsidRDefault="00FA69E6" w:rsidP="00FA69E6">
      <w:pPr>
        <w:rPr>
          <w:b/>
          <w:lang w:val="en-US"/>
        </w:rPr>
      </w:pPr>
      <w:bookmarkStart w:id="9" w:name="_Toc138592486"/>
      <w:r w:rsidRPr="00FA69E6">
        <w:rPr>
          <w:b/>
          <w:lang w:val="en-US"/>
        </w:rPr>
        <w:lastRenderedPageBreak/>
        <w:t>Urease test</w:t>
      </w:r>
      <w:bookmarkEnd w:id="9"/>
    </w:p>
    <w:p w14:paraId="415A46F1" w14:textId="77777777" w:rsidR="00FA69E6" w:rsidRPr="00FA69E6" w:rsidRDefault="00FA69E6" w:rsidP="00FA69E6">
      <w:pPr>
        <w:rPr>
          <w:lang w:val="en-US"/>
        </w:rPr>
      </w:pPr>
    </w:p>
    <w:p w14:paraId="3F605FD8" w14:textId="77777777" w:rsidR="00FA69E6" w:rsidRPr="00FA69E6" w:rsidRDefault="00FA69E6" w:rsidP="00FA69E6">
      <w:pPr>
        <w:rPr>
          <w:b/>
          <w:bCs/>
          <w:i/>
          <w:lang w:val="en-US"/>
        </w:rPr>
      </w:pPr>
      <w:r w:rsidRPr="00FA69E6">
        <w:rPr>
          <w:lang w:val="en-US"/>
        </w:rPr>
        <w:t xml:space="preserve">It is tested to detect a group of bacteria that can convert urea to ammonia and carbon dioxide, results in increase in pH and change of color of phenol red indicator from yellow orange to pink red. Following bacteria produce urease positive test, </w:t>
      </w:r>
      <w:r w:rsidRPr="00FA69E6">
        <w:rPr>
          <w:i/>
          <w:lang w:val="en-US"/>
        </w:rPr>
        <w:t xml:space="preserve">Proteus, Klebsiella, S. epidermidis, S. saprophyticus, Nocardia, Urea plasma, </w:t>
      </w:r>
      <w:r w:rsidRPr="00FA69E6">
        <w:rPr>
          <w:lang w:val="en-US"/>
        </w:rPr>
        <w:t>and</w:t>
      </w:r>
      <w:r w:rsidRPr="00FA69E6">
        <w:rPr>
          <w:i/>
          <w:lang w:val="en-US"/>
        </w:rPr>
        <w:t xml:space="preserve"> H. Pylori.</w:t>
      </w:r>
      <w:bookmarkStart w:id="10" w:name="_Toc138592487"/>
    </w:p>
    <w:p w14:paraId="6F49C891" w14:textId="77777777" w:rsidR="00FA69E6" w:rsidRPr="00FA69E6" w:rsidRDefault="00FA69E6" w:rsidP="00FA69E6">
      <w:pPr>
        <w:rPr>
          <w:b/>
          <w:bCs/>
          <w:i/>
          <w:lang w:val="en-US"/>
        </w:rPr>
      </w:pPr>
      <w:r w:rsidRPr="00FA69E6">
        <w:rPr>
          <w:b/>
          <w:lang w:val="en-US"/>
        </w:rPr>
        <w:t>Motility test</w:t>
      </w:r>
      <w:bookmarkEnd w:id="10"/>
      <w:r w:rsidRPr="00FA69E6">
        <w:rPr>
          <w:b/>
          <w:lang w:val="en-US"/>
        </w:rPr>
        <w:t xml:space="preserve"> </w:t>
      </w:r>
    </w:p>
    <w:p w14:paraId="7CA0607A" w14:textId="77777777" w:rsidR="00FA69E6" w:rsidRPr="00FA69E6" w:rsidRDefault="00FA69E6" w:rsidP="00FA69E6">
      <w:pPr>
        <w:rPr>
          <w:lang w:val="en-US"/>
        </w:rPr>
      </w:pPr>
    </w:p>
    <w:p w14:paraId="2FA227A0" w14:textId="77777777" w:rsidR="00FA69E6" w:rsidRPr="00FA69E6" w:rsidRDefault="00FA69E6" w:rsidP="00FA69E6">
      <w:pPr>
        <w:rPr>
          <w:lang w:val="en-US"/>
        </w:rPr>
      </w:pPr>
      <w:r w:rsidRPr="00FA69E6">
        <w:rPr>
          <w:lang w:val="en-US"/>
        </w:rPr>
        <w:t xml:space="preserve">This procedure can determine if the bacteria are motile or not. Bacilli predominates among the motile bacteria, yet motile cocci do exist. It's also a tool for classifying organisms into their respective families and species. In this test, triphenyl tetrazolium chloride media (oxidized from) is used, and the color of the media is changed as bacteria proliferate after absorbing the dye and causing a reduction in the media. </w:t>
      </w:r>
    </w:p>
    <w:p w14:paraId="7AD6EFFA" w14:textId="77777777" w:rsidR="00FA69E6" w:rsidRPr="00FA69E6" w:rsidRDefault="00FA69E6" w:rsidP="00FA69E6">
      <w:pPr>
        <w:rPr>
          <w:lang w:val="en-US"/>
        </w:rPr>
      </w:pPr>
    </w:p>
    <w:p w14:paraId="22C13545" w14:textId="77777777" w:rsidR="00FA69E6" w:rsidRPr="00FA69E6" w:rsidRDefault="00FA69E6" w:rsidP="00FA69E6">
      <w:pPr>
        <w:rPr>
          <w:lang w:val="en-US"/>
        </w:rPr>
      </w:pPr>
    </w:p>
    <w:p w14:paraId="69255DD3" w14:textId="77777777" w:rsidR="00FA69E6" w:rsidRPr="00FA69E6" w:rsidRDefault="00FA69E6" w:rsidP="00FA69E6">
      <w:pPr>
        <w:rPr>
          <w:b/>
          <w:lang w:val="en-US"/>
        </w:rPr>
      </w:pPr>
      <w:bookmarkStart w:id="11" w:name="_Toc138592488"/>
      <w:r w:rsidRPr="00FA69E6">
        <w:rPr>
          <w:b/>
          <w:lang w:val="en-US"/>
        </w:rPr>
        <w:t>Indole test</w:t>
      </w:r>
      <w:bookmarkEnd w:id="11"/>
      <w:r w:rsidRPr="00FA69E6">
        <w:rPr>
          <w:b/>
          <w:lang w:val="en-US"/>
        </w:rPr>
        <w:t xml:space="preserve"> </w:t>
      </w:r>
    </w:p>
    <w:p w14:paraId="598D459C" w14:textId="77777777" w:rsidR="00FA69E6" w:rsidRPr="00FA69E6" w:rsidRDefault="00FA69E6" w:rsidP="00FA69E6">
      <w:pPr>
        <w:rPr>
          <w:lang w:val="en-US"/>
        </w:rPr>
      </w:pPr>
    </w:p>
    <w:p w14:paraId="1BB46956" w14:textId="77777777" w:rsidR="00FA69E6" w:rsidRPr="00FA69E6" w:rsidRDefault="00FA69E6" w:rsidP="00FA69E6">
      <w:pPr>
        <w:rPr>
          <w:lang w:val="en-US"/>
        </w:rPr>
      </w:pPr>
      <w:r w:rsidRPr="00FA69E6">
        <w:rPr>
          <w:lang w:val="en-US"/>
        </w:rPr>
        <w:t xml:space="preserve">It is a biochemical test to separate the coliform from other Enterobacteriaceae. Coliforms can produce an enzyme named tryptophanase. which hydrolyses the amino acid tryptophan into indole, pyruvic acid, and ammonia. A positive indole result is indicated by the presence of a red or reddish violet color in the upper surface layer of alcohol at the broth. A yellow color is negative indole test. Variation in color may also occur. </w:t>
      </w:r>
    </w:p>
    <w:p w14:paraId="7339BECA" w14:textId="77777777" w:rsidR="00FA69E6" w:rsidRPr="00FA69E6" w:rsidRDefault="00FA69E6" w:rsidP="00FA69E6">
      <w:pPr>
        <w:rPr>
          <w:b/>
          <w:bCs/>
          <w:iCs/>
          <w:lang w:val="en-US"/>
        </w:rPr>
      </w:pPr>
      <w:bookmarkStart w:id="12" w:name="_Toc138592489"/>
      <w:r w:rsidRPr="00FA69E6">
        <w:rPr>
          <w:b/>
          <w:bCs/>
          <w:iCs/>
          <w:lang w:val="en-US"/>
        </w:rPr>
        <w:t xml:space="preserve"> Disk Diffusion method (Antimicrobial susceptibility test)</w:t>
      </w:r>
      <w:bookmarkEnd w:id="12"/>
    </w:p>
    <w:p w14:paraId="09592E38" w14:textId="77777777" w:rsidR="00FA69E6" w:rsidRPr="00FA69E6" w:rsidRDefault="00FA69E6" w:rsidP="00FA69E6">
      <w:pPr>
        <w:rPr>
          <w:lang w:val="en-US"/>
        </w:rPr>
      </w:pPr>
    </w:p>
    <w:p w14:paraId="3D4EBDEF" w14:textId="77777777" w:rsidR="00FA69E6" w:rsidRPr="00FA69E6" w:rsidRDefault="00FA69E6" w:rsidP="00FA69E6">
      <w:pPr>
        <w:rPr>
          <w:lang w:val="en-US"/>
        </w:rPr>
      </w:pPr>
      <w:r w:rsidRPr="00FA69E6">
        <w:rPr>
          <w:lang w:val="en-US"/>
        </w:rPr>
        <w:t>Following preliminary microbial identification, bacteria were inoculated on Mueller Hinton Agar (MHA) with specific antibiotics using the Kirby-Bauer Disc Diffusion method, as recommended by the clinical &amp; Laboratory Standards Institute (CLSI).</w:t>
      </w:r>
    </w:p>
    <w:p w14:paraId="10D95E62" w14:textId="77777777" w:rsidR="00FA69E6" w:rsidRPr="00FA69E6" w:rsidRDefault="00FA69E6" w:rsidP="00FA69E6">
      <w:pPr>
        <w:rPr>
          <w:lang w:val="en-US"/>
        </w:rPr>
      </w:pPr>
      <w:r w:rsidRPr="00FA69E6">
        <w:rPr>
          <w:lang w:val="en-US"/>
        </w:rPr>
        <w:t xml:space="preserve">Before conducting the disc diffusion test, sterilize the area with a disinfectant and an open flame. A sterile cotton swab is inserted into the inoculum, and excess medium is removed by pressing the swab against the tube wall. Sponge the entire surface area of the plate by rotating the plate. This method is referred to as turf culture or carpet culture. Allow the plates to dry for 5 minutes so that the medium can adequately absorb the inoculum. Before lifting up antibiotic discs, first sterilize the forceps with alcohol. </w:t>
      </w:r>
      <w:r w:rsidRPr="00FA69E6">
        <w:rPr>
          <w:lang w:val="en-US"/>
        </w:rPr>
        <w:lastRenderedPageBreak/>
        <w:t>Discs should be separated by 24 millimeters. To avoid misplacement, lightly touch each disc with forceps to ensure adequate contact. At 37ºC, incubate the plate inverted for 24 hours. After incubation the zone of inhibition is measured. Report the result by comparing it to CLSI guidelines. The outcomes are indicated as Susceptible (S), Intermediate (I), or Resistant (R).</w:t>
      </w:r>
    </w:p>
    <w:p w14:paraId="7E067FEF" w14:textId="77777777" w:rsidR="00FA69E6" w:rsidRPr="00FA69E6" w:rsidRDefault="00FA69E6" w:rsidP="00FA69E6">
      <w:pPr>
        <w:rPr>
          <w:lang w:val="en-US"/>
        </w:rPr>
      </w:pPr>
    </w:p>
    <w:p w14:paraId="5A66E5B7" w14:textId="77777777" w:rsidR="00FA69E6" w:rsidRPr="00FA69E6" w:rsidRDefault="00FA69E6" w:rsidP="00FA69E6">
      <w:pPr>
        <w:rPr>
          <w:lang w:val="en-US"/>
        </w:rPr>
      </w:pPr>
    </w:p>
    <w:p w14:paraId="1F6910BD"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7131CB"/>
    <w:multiLevelType w:val="hybridMultilevel"/>
    <w:tmpl w:val="02CA657C"/>
    <w:lvl w:ilvl="0" w:tplc="2000000F">
      <w:start w:val="1"/>
      <w:numFmt w:val="decimal"/>
      <w:lvlText w:val="%1."/>
      <w:lvlJc w:val="left"/>
      <w:pPr>
        <w:ind w:left="720" w:hanging="360"/>
      </w:pPr>
    </w:lvl>
    <w:lvl w:ilvl="1" w:tplc="10000019">
      <w:start w:val="1"/>
      <w:numFmt w:val="lowerLetter"/>
      <w:lvlText w:val="%2."/>
      <w:lvlJc w:val="left"/>
      <w:pPr>
        <w:ind w:left="1440" w:hanging="360"/>
      </w:pPr>
    </w:lvl>
    <w:lvl w:ilvl="2" w:tplc="1000001B">
      <w:start w:val="1"/>
      <w:numFmt w:val="lowerRoman"/>
      <w:lvlText w:val="%3."/>
      <w:lvlJc w:val="right"/>
      <w:pPr>
        <w:ind w:left="2160" w:hanging="180"/>
      </w:pPr>
    </w:lvl>
    <w:lvl w:ilvl="3" w:tplc="1000000F">
      <w:start w:val="1"/>
      <w:numFmt w:val="decimal"/>
      <w:lvlText w:val="%4."/>
      <w:lvlJc w:val="left"/>
      <w:pPr>
        <w:ind w:left="2880" w:hanging="360"/>
      </w:pPr>
    </w:lvl>
    <w:lvl w:ilvl="4" w:tplc="10000019">
      <w:start w:val="1"/>
      <w:numFmt w:val="lowerLetter"/>
      <w:lvlText w:val="%5."/>
      <w:lvlJc w:val="left"/>
      <w:pPr>
        <w:ind w:left="3600" w:hanging="360"/>
      </w:pPr>
    </w:lvl>
    <w:lvl w:ilvl="5" w:tplc="1000001B">
      <w:start w:val="1"/>
      <w:numFmt w:val="lowerRoman"/>
      <w:lvlText w:val="%6."/>
      <w:lvlJc w:val="right"/>
      <w:pPr>
        <w:ind w:left="4320" w:hanging="180"/>
      </w:pPr>
    </w:lvl>
    <w:lvl w:ilvl="6" w:tplc="1000000F">
      <w:start w:val="1"/>
      <w:numFmt w:val="decimal"/>
      <w:lvlText w:val="%7."/>
      <w:lvlJc w:val="left"/>
      <w:pPr>
        <w:ind w:left="5040" w:hanging="360"/>
      </w:pPr>
    </w:lvl>
    <w:lvl w:ilvl="7" w:tplc="10000019">
      <w:start w:val="1"/>
      <w:numFmt w:val="lowerLetter"/>
      <w:lvlText w:val="%8."/>
      <w:lvlJc w:val="left"/>
      <w:pPr>
        <w:ind w:left="5760" w:hanging="360"/>
      </w:pPr>
    </w:lvl>
    <w:lvl w:ilvl="8" w:tplc="1000001B">
      <w:start w:val="1"/>
      <w:numFmt w:val="lowerRoman"/>
      <w:lvlText w:val="%9."/>
      <w:lvlJc w:val="right"/>
      <w:pPr>
        <w:ind w:left="6480" w:hanging="180"/>
      </w:pPr>
    </w:lvl>
  </w:abstractNum>
  <w:num w:numId="1" w16cid:durableId="180658560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69E6"/>
    <w:rsid w:val="000069A8"/>
    <w:rsid w:val="00767E38"/>
    <w:rsid w:val="00866F7D"/>
    <w:rsid w:val="00EE5CC4"/>
    <w:rsid w:val="00FA69E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C36ED6"/>
  <w15:chartTrackingRefBased/>
  <w15:docId w15:val="{CD60B98D-A44E-4ADA-B1A9-18B2A181C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A69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A69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A69E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A69E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A69E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A69E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A69E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A69E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A69E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69E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A69E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A69E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A69E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A69E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A69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A69E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A69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A69E6"/>
    <w:rPr>
      <w:rFonts w:eastAsiaTheme="majorEastAsia" w:cstheme="majorBidi"/>
      <w:color w:val="272727" w:themeColor="text1" w:themeTint="D8"/>
    </w:rPr>
  </w:style>
  <w:style w:type="paragraph" w:styleId="Title">
    <w:name w:val="Title"/>
    <w:basedOn w:val="Normal"/>
    <w:next w:val="Normal"/>
    <w:link w:val="TitleChar"/>
    <w:uiPriority w:val="10"/>
    <w:qFormat/>
    <w:rsid w:val="00FA69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A69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A69E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A69E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A69E6"/>
    <w:pPr>
      <w:spacing w:before="160"/>
      <w:jc w:val="center"/>
    </w:pPr>
    <w:rPr>
      <w:i/>
      <w:iCs/>
      <w:color w:val="404040" w:themeColor="text1" w:themeTint="BF"/>
    </w:rPr>
  </w:style>
  <w:style w:type="character" w:customStyle="1" w:styleId="QuoteChar">
    <w:name w:val="Quote Char"/>
    <w:basedOn w:val="DefaultParagraphFont"/>
    <w:link w:val="Quote"/>
    <w:uiPriority w:val="29"/>
    <w:rsid w:val="00FA69E6"/>
    <w:rPr>
      <w:i/>
      <w:iCs/>
      <w:color w:val="404040" w:themeColor="text1" w:themeTint="BF"/>
    </w:rPr>
  </w:style>
  <w:style w:type="paragraph" w:styleId="ListParagraph">
    <w:name w:val="List Paragraph"/>
    <w:basedOn w:val="Normal"/>
    <w:uiPriority w:val="34"/>
    <w:qFormat/>
    <w:rsid w:val="00FA69E6"/>
    <w:pPr>
      <w:ind w:left="720"/>
      <w:contextualSpacing/>
    </w:pPr>
  </w:style>
  <w:style w:type="character" w:styleId="IntenseEmphasis">
    <w:name w:val="Intense Emphasis"/>
    <w:basedOn w:val="DefaultParagraphFont"/>
    <w:uiPriority w:val="21"/>
    <w:qFormat/>
    <w:rsid w:val="00FA69E6"/>
    <w:rPr>
      <w:i/>
      <w:iCs/>
      <w:color w:val="0F4761" w:themeColor="accent1" w:themeShade="BF"/>
    </w:rPr>
  </w:style>
  <w:style w:type="paragraph" w:styleId="IntenseQuote">
    <w:name w:val="Intense Quote"/>
    <w:basedOn w:val="Normal"/>
    <w:next w:val="Normal"/>
    <w:link w:val="IntenseQuoteChar"/>
    <w:uiPriority w:val="30"/>
    <w:qFormat/>
    <w:rsid w:val="00FA69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A69E6"/>
    <w:rPr>
      <w:i/>
      <w:iCs/>
      <w:color w:val="0F4761" w:themeColor="accent1" w:themeShade="BF"/>
    </w:rPr>
  </w:style>
  <w:style w:type="character" w:styleId="IntenseReference">
    <w:name w:val="Intense Reference"/>
    <w:basedOn w:val="DefaultParagraphFont"/>
    <w:uiPriority w:val="32"/>
    <w:qFormat/>
    <w:rsid w:val="00FA69E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7516598">
      <w:bodyDiv w:val="1"/>
      <w:marLeft w:val="0"/>
      <w:marRight w:val="0"/>
      <w:marTop w:val="0"/>
      <w:marBottom w:val="0"/>
      <w:divBdr>
        <w:top w:val="none" w:sz="0" w:space="0" w:color="auto"/>
        <w:left w:val="none" w:sz="0" w:space="0" w:color="auto"/>
        <w:bottom w:val="none" w:sz="0" w:space="0" w:color="auto"/>
        <w:right w:val="none" w:sz="0" w:space="0" w:color="auto"/>
      </w:divBdr>
    </w:div>
    <w:div w:id="1183518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828</Words>
  <Characters>4724</Characters>
  <Application>Microsoft Office Word</Application>
  <DocSecurity>0</DocSecurity>
  <Lines>39</Lines>
  <Paragraphs>11</Paragraphs>
  <ScaleCrop>false</ScaleCrop>
  <Company/>
  <LinksUpToDate>false</LinksUpToDate>
  <CharactersWithSpaces>5541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2025-08-13T09:21:00Z</dcterms:created>
  <dcterms:modified xsi:type="dcterms:W3CDTF">2025-08-13T09:22:00Z</dcterms:modified>
</cp:coreProperties>
</file>