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8DEEA" w14:textId="77777777" w:rsidR="008138E7" w:rsidRDefault="004D0086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59AC9C89" w14:textId="77777777" w:rsidR="008138E7" w:rsidRDefault="004D0086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200142034"/>
      <w:r>
        <w:rPr>
          <w:rFonts w:ascii="Times New Roman" w:hAnsi="Times New Roman" w:cs="Times New Roman"/>
          <w:b/>
          <w:bCs/>
          <w:sz w:val="28"/>
          <w:szCs w:val="28"/>
        </w:rPr>
        <w:t>A hierarchical chitosan-intercalated montmorillonite/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carboxylated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MWCNTs composites for highly-Performance non-invasive glucose sensing via salivary analysis</w:t>
      </w:r>
    </w:p>
    <w:bookmarkEnd w:id="0"/>
    <w:p w14:paraId="4DFE1254" w14:textId="77777777" w:rsidR="008138E7" w:rsidRDefault="004D0086">
      <w:pPr>
        <w:widowControl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Jie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Deng,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Yanqi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Xu,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  <w:vertAlign w:val="superscript"/>
        </w:rPr>
        <w:t>, b, ⁎</w:t>
      </w:r>
      <w:r>
        <w:rPr>
          <w:rFonts w:ascii="Times New Roman" w:hAnsi="Times New Roman" w:cs="Times New Roman"/>
          <w:sz w:val="20"/>
          <w:szCs w:val="20"/>
        </w:rPr>
        <w:t xml:space="preserve"> Cunjun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Li,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  <w:vertAlign w:val="superscript"/>
        </w:rPr>
        <w:t>, b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Linjiang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Wang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a, b</w:t>
      </w:r>
    </w:p>
    <w:p w14:paraId="27120333" w14:textId="77777777" w:rsidR="008138E7" w:rsidRDefault="004D0086">
      <w:pPr>
        <w:widowControl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College of Materials Science and Engineering, Key Laboratory of New Processing Technology for Nonferrous Metals and Materials, Ministry of Education, Guilin University of Technology, Guilin 541004, China</w:t>
      </w:r>
    </w:p>
    <w:p w14:paraId="79117778" w14:textId="77777777" w:rsidR="008138E7" w:rsidRDefault="004D0086">
      <w:pPr>
        <w:widowControl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Collaborative Innovation Center for Exploration of Nonferrous Metal Deposits and Efficient Utilization of Resources, Guilin University of Technology, Guilin 541004, China</w:t>
      </w:r>
    </w:p>
    <w:p w14:paraId="2E211C6C" w14:textId="77777777" w:rsidR="008138E7" w:rsidRDefault="004D0086">
      <w:pPr>
        <w:widowControl/>
        <w:spacing w:line="360" w:lineRule="auto"/>
        <w:rPr>
          <w:rFonts w:ascii="Times New Roman" w:eastAsia="等线" w:hAnsi="Times New Roman" w:cs="Times New Roman"/>
          <w:sz w:val="20"/>
          <w:szCs w:val="20"/>
        </w:rPr>
      </w:pPr>
      <w:r>
        <w:rPr>
          <w:rFonts w:ascii="Times New Roman" w:eastAsia="等线" w:hAnsi="Times New Roman" w:cs="Times New Roman"/>
          <w:sz w:val="20"/>
          <w:szCs w:val="20"/>
        </w:rPr>
        <w:t>Corresponding author: xuyanqi@glut.edu.cn</w:t>
      </w:r>
    </w:p>
    <w:p w14:paraId="474C2F61" w14:textId="77777777" w:rsidR="008138E7" w:rsidRDefault="008138E7">
      <w:pPr>
        <w:widowControl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F1ED01A" w14:textId="30CEA56E" w:rsidR="008138E7" w:rsidRPr="00B84432" w:rsidRDefault="004D0086" w:rsidP="00B84432">
      <w:pPr>
        <w:widowControl/>
        <w:jc w:val="left"/>
        <w:rPr>
          <w:rFonts w:ascii="Times New Roman" w:hAnsi="Times New Roman" w:cs="Times New Roman" w:hint="eastAsia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5391CF05" w14:textId="25F8F1A8" w:rsidR="00B84432" w:rsidRDefault="00B84432">
      <w:pPr>
        <w:jc w:val="center"/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  <w14:ligatures w14:val="none"/>
        </w:rPr>
        <w:lastRenderedPageBreak/>
        <w:drawing>
          <wp:inline distT="0" distB="0" distL="0" distR="0" wp14:anchorId="5A5B9179" wp14:editId="19FD615A">
            <wp:extent cx="5274310" cy="1485900"/>
            <wp:effectExtent l="0" t="0" r="2540" b="0"/>
            <wp:docPr id="7819762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76294" name="图片 781976294"/>
                    <pic:cNvPicPr/>
                  </pic:nvPicPr>
                  <pic:blipFill rotWithShape="1">
                    <a:blip r:embed="rId5"/>
                    <a:srcRect t="8858" b="1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24D8F" w14:textId="77777777" w:rsidR="008138E7" w:rsidRDefault="004D008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 S1 (a) XRD patterns of Na-MMT, CS-MMT, MWCNTs, MMT/MWCNTs and CS-MMT/MWCNTs; (b) FT-IR spectra of Na-MMT, CS, CS-MMT, MWCNTs, MMT/MWCNTs and CS-MMT/MWCNTs; (c) Raman spectra of MWCNTs, MMT/MWCNTs, and CS-MMT/MWCNTs.</w:t>
      </w:r>
    </w:p>
    <w:p w14:paraId="7B06582A" w14:textId="77777777" w:rsidR="008138E7" w:rsidRDefault="008138E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D712EC8" w14:textId="77777777" w:rsidR="008138E7" w:rsidRDefault="004D008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A982573" wp14:editId="49E18E8F">
            <wp:extent cx="5273675" cy="1656080"/>
            <wp:effectExtent l="0" t="0" r="3175" b="1270"/>
            <wp:docPr id="15489947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947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1583" t="1151" r="22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6562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7B4F" w14:textId="77777777" w:rsidR="008138E7" w:rsidRDefault="004D008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 S2 (a) Elemental distribution of CS-MMT; (b) EDX spectra of CS-MMT.</w:t>
      </w:r>
    </w:p>
    <w:p w14:paraId="71B35891" w14:textId="77777777" w:rsidR="008138E7" w:rsidRDefault="008138E7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859AED6" w14:textId="77777777" w:rsidR="008138E7" w:rsidRDefault="004D008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D26DF5C" wp14:editId="0753BD58">
            <wp:extent cx="5039995" cy="4149725"/>
            <wp:effectExtent l="0" t="0" r="8255" b="3175"/>
            <wp:docPr id="17164492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49282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9" t="16513" r="34409" b="1920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500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FA77" w14:textId="77777777" w:rsidR="008138E7" w:rsidRDefault="004D008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Fig. S3 (a) MWCNTs SEM images; (c) MWCNTs-COOH SEM images; (b) </w:t>
      </w:r>
      <w:bookmarkStart w:id="1" w:name="_Hlk204019129"/>
      <w:r>
        <w:rPr>
          <w:rFonts w:ascii="Times New Roman" w:hAnsi="Times New Roman" w:cs="Times New Roman"/>
          <w:sz w:val="20"/>
          <w:szCs w:val="20"/>
        </w:rPr>
        <w:t>EDX spectra of MWCNTs</w:t>
      </w:r>
      <w:bookmarkEnd w:id="1"/>
      <w:r>
        <w:rPr>
          <w:rFonts w:ascii="Times New Roman" w:hAnsi="Times New Roman" w:cs="Times New Roman"/>
          <w:sz w:val="20"/>
          <w:szCs w:val="20"/>
        </w:rPr>
        <w:t>; (d) EDX spectra of MWCNTs-COOH (e) TEM image of MWCNTs; (f) TEM images of MWCNTs-COOH; (g) HRTEM image of MWCNTs-COOH with an inset electron diffraction pattern of a selected region.</w:t>
      </w:r>
    </w:p>
    <w:p w14:paraId="3559A64F" w14:textId="77777777" w:rsidR="008138E7" w:rsidRDefault="008138E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B4E00F0" w14:textId="77777777" w:rsidR="008138E7" w:rsidRDefault="004D008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2938241" wp14:editId="5FF8D4AC">
            <wp:extent cx="2974975" cy="2231390"/>
            <wp:effectExtent l="0" t="0" r="0" b="0"/>
            <wp:docPr id="13943134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13428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5277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6C1AB" w14:textId="77777777" w:rsidR="008138E7" w:rsidRDefault="004D008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 S4 Nitrogen adsorption-desorption isotherms and pore size distribution curves of Na-MMT, CS-MMT, MWCNTs, MMT/MWCNTs, and CS-MMT/MWCNTs.</w:t>
      </w:r>
    </w:p>
    <w:p w14:paraId="6EC085B9" w14:textId="77777777" w:rsidR="008138E7" w:rsidRDefault="008138E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AD70AC8" w14:textId="77777777" w:rsidR="008138E7" w:rsidRDefault="004D008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2" w:name="_Hlk199945421"/>
      <w:r>
        <w:rPr>
          <w:rFonts w:ascii="Times New Roman" w:hAnsi="Times New Roman" w:cs="Times New Roman"/>
          <w:sz w:val="20"/>
          <w:szCs w:val="20"/>
        </w:rPr>
        <w:lastRenderedPageBreak/>
        <w:t>Table S1 Specific surface area, pore size, and pore volume data of samples</w:t>
      </w:r>
    </w:p>
    <w:tbl>
      <w:tblPr>
        <w:tblW w:w="4949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410"/>
        <w:gridCol w:w="1985"/>
        <w:gridCol w:w="1537"/>
        <w:gridCol w:w="2289"/>
      </w:tblGrid>
      <w:tr w:rsidR="008138E7" w14:paraId="5BC512C3" w14:textId="77777777">
        <w:trPr>
          <w:trHeight w:val="20"/>
          <w:jc w:val="center"/>
        </w:trPr>
        <w:tc>
          <w:tcPr>
            <w:tcW w:w="1466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56C58F2B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Samples</w:t>
            </w:r>
          </w:p>
        </w:tc>
        <w:tc>
          <w:tcPr>
            <w:tcW w:w="1207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74124FD7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Surface area (m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/g)</w:t>
            </w:r>
          </w:p>
        </w:tc>
        <w:tc>
          <w:tcPr>
            <w:tcW w:w="935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7D8DE888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Pore size (nm)</w:t>
            </w:r>
          </w:p>
        </w:tc>
        <w:tc>
          <w:tcPr>
            <w:tcW w:w="1392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481EAC4E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Pore volume (cm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g)</w:t>
            </w:r>
          </w:p>
        </w:tc>
      </w:tr>
      <w:tr w:rsidR="008138E7" w14:paraId="25FDA106" w14:textId="77777777">
        <w:trPr>
          <w:trHeight w:val="42"/>
          <w:jc w:val="center"/>
        </w:trPr>
        <w:tc>
          <w:tcPr>
            <w:tcW w:w="1466" w:type="pct"/>
          </w:tcPr>
          <w:p w14:paraId="326DA84B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Na-MMT</w:t>
            </w:r>
          </w:p>
        </w:tc>
        <w:tc>
          <w:tcPr>
            <w:tcW w:w="1207" w:type="pct"/>
          </w:tcPr>
          <w:p w14:paraId="33DE1CD7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36.69</w:t>
            </w:r>
          </w:p>
        </w:tc>
        <w:tc>
          <w:tcPr>
            <w:tcW w:w="935" w:type="pct"/>
          </w:tcPr>
          <w:p w14:paraId="6B05248B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5.60</w:t>
            </w:r>
          </w:p>
        </w:tc>
        <w:tc>
          <w:tcPr>
            <w:tcW w:w="1392" w:type="pct"/>
          </w:tcPr>
          <w:p w14:paraId="3F57CA6E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</w:tr>
      <w:tr w:rsidR="008138E7" w14:paraId="5D20364E" w14:textId="77777777">
        <w:trPr>
          <w:trHeight w:val="42"/>
          <w:jc w:val="center"/>
        </w:trPr>
        <w:tc>
          <w:tcPr>
            <w:tcW w:w="1466" w:type="pct"/>
            <w:shd w:val="clear" w:color="auto" w:fill="FFFFFF"/>
          </w:tcPr>
          <w:p w14:paraId="0E172C77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CS-MMT</w:t>
            </w:r>
          </w:p>
        </w:tc>
        <w:tc>
          <w:tcPr>
            <w:tcW w:w="1207" w:type="pct"/>
            <w:shd w:val="clear" w:color="auto" w:fill="FFFFFF"/>
          </w:tcPr>
          <w:p w14:paraId="2A117712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18.16</w:t>
            </w:r>
          </w:p>
        </w:tc>
        <w:tc>
          <w:tcPr>
            <w:tcW w:w="935" w:type="pct"/>
            <w:shd w:val="clear" w:color="auto" w:fill="FFFFFF"/>
          </w:tcPr>
          <w:p w14:paraId="7B11BCF6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7.09</w:t>
            </w:r>
          </w:p>
        </w:tc>
        <w:tc>
          <w:tcPr>
            <w:tcW w:w="1392" w:type="pct"/>
            <w:shd w:val="clear" w:color="auto" w:fill="FFFFFF"/>
          </w:tcPr>
          <w:p w14:paraId="728B17E2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8138E7" w14:paraId="35F0AD54" w14:textId="77777777">
        <w:trPr>
          <w:trHeight w:val="42"/>
          <w:jc w:val="center"/>
        </w:trPr>
        <w:tc>
          <w:tcPr>
            <w:tcW w:w="1466" w:type="pct"/>
            <w:shd w:val="clear" w:color="auto" w:fill="FFFFFF"/>
          </w:tcPr>
          <w:p w14:paraId="37D03C42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MWCNTs</w:t>
            </w:r>
          </w:p>
        </w:tc>
        <w:tc>
          <w:tcPr>
            <w:tcW w:w="1207" w:type="pct"/>
            <w:shd w:val="clear" w:color="auto" w:fill="FFFFFF"/>
          </w:tcPr>
          <w:p w14:paraId="4AA4755C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161.94</w:t>
            </w:r>
          </w:p>
        </w:tc>
        <w:tc>
          <w:tcPr>
            <w:tcW w:w="935" w:type="pct"/>
            <w:shd w:val="clear" w:color="auto" w:fill="FFFFFF"/>
          </w:tcPr>
          <w:p w14:paraId="22372BE8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6.03</w:t>
            </w:r>
          </w:p>
        </w:tc>
        <w:tc>
          <w:tcPr>
            <w:tcW w:w="1392" w:type="pct"/>
            <w:shd w:val="clear" w:color="auto" w:fill="FFFFFF"/>
          </w:tcPr>
          <w:p w14:paraId="399C22D2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</w:tr>
      <w:tr w:rsidR="008138E7" w14:paraId="5FAC23F3" w14:textId="77777777">
        <w:trPr>
          <w:trHeight w:val="42"/>
          <w:jc w:val="center"/>
        </w:trPr>
        <w:tc>
          <w:tcPr>
            <w:tcW w:w="1466" w:type="pct"/>
            <w:shd w:val="clear" w:color="auto" w:fill="FFFFFF"/>
          </w:tcPr>
          <w:p w14:paraId="6D363D97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MMT/MWCNTs</w:t>
            </w:r>
          </w:p>
        </w:tc>
        <w:tc>
          <w:tcPr>
            <w:tcW w:w="1207" w:type="pct"/>
            <w:shd w:val="clear" w:color="auto" w:fill="FFFFFF"/>
          </w:tcPr>
          <w:p w14:paraId="54E5AE09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108.25</w:t>
            </w:r>
          </w:p>
        </w:tc>
        <w:tc>
          <w:tcPr>
            <w:tcW w:w="935" w:type="pct"/>
            <w:shd w:val="clear" w:color="auto" w:fill="FFFFFF"/>
          </w:tcPr>
          <w:p w14:paraId="0A526391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5.69</w:t>
            </w:r>
          </w:p>
        </w:tc>
        <w:tc>
          <w:tcPr>
            <w:tcW w:w="1392" w:type="pct"/>
            <w:shd w:val="clear" w:color="auto" w:fill="FFFFFF"/>
          </w:tcPr>
          <w:p w14:paraId="15C2726B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</w:tr>
      <w:tr w:rsidR="008138E7" w14:paraId="789A7464" w14:textId="77777777">
        <w:trPr>
          <w:trHeight w:val="42"/>
          <w:jc w:val="center"/>
        </w:trPr>
        <w:tc>
          <w:tcPr>
            <w:tcW w:w="1466" w:type="pct"/>
            <w:shd w:val="clear" w:color="auto" w:fill="FFFFFF"/>
          </w:tcPr>
          <w:p w14:paraId="69EBFA24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CS-MMT/MWCNTs</w:t>
            </w:r>
          </w:p>
        </w:tc>
        <w:tc>
          <w:tcPr>
            <w:tcW w:w="1207" w:type="pct"/>
            <w:shd w:val="clear" w:color="auto" w:fill="FFFFFF"/>
          </w:tcPr>
          <w:p w14:paraId="1CE82141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110.76</w:t>
            </w:r>
          </w:p>
        </w:tc>
        <w:tc>
          <w:tcPr>
            <w:tcW w:w="935" w:type="pct"/>
            <w:shd w:val="clear" w:color="auto" w:fill="FFFFFF"/>
          </w:tcPr>
          <w:p w14:paraId="10507CDA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5.56</w:t>
            </w:r>
          </w:p>
        </w:tc>
        <w:tc>
          <w:tcPr>
            <w:tcW w:w="1392" w:type="pct"/>
            <w:shd w:val="clear" w:color="auto" w:fill="FFFFFF"/>
          </w:tcPr>
          <w:p w14:paraId="7AD2808C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</w:tr>
      <w:bookmarkEnd w:id="2"/>
    </w:tbl>
    <w:p w14:paraId="58701225" w14:textId="77777777" w:rsidR="008138E7" w:rsidRDefault="008138E7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</w:p>
    <w:p w14:paraId="5E74EBFB" w14:textId="24339856" w:rsidR="008138E7" w:rsidRDefault="00DB6CFE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14:ligatures w14:val="none"/>
        </w:rPr>
        <w:drawing>
          <wp:inline distT="0" distB="0" distL="0" distR="0" wp14:anchorId="6A67E57E" wp14:editId="3E27472C">
            <wp:extent cx="4577160" cy="1800000"/>
            <wp:effectExtent l="0" t="0" r="0" b="0"/>
            <wp:docPr id="16594147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14749" name="图片 1659414749"/>
                    <pic:cNvPicPr/>
                  </pic:nvPicPr>
                  <pic:blipFill rotWithShape="1">
                    <a:blip r:embed="rId9"/>
                    <a:srcRect l="1686" r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6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DF485" w14:textId="77777777" w:rsidR="008138E7" w:rsidRDefault="004D008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 S5 TGA curves of (a) CS, Na-MMT, CS-MMT and (b) MWCNTs, MMT/MWCNTs and CS-MMT/MWCNTs.</w:t>
      </w:r>
    </w:p>
    <w:p w14:paraId="10A05F16" w14:textId="5FCABDDF" w:rsidR="008138E7" w:rsidRDefault="00FA6B14">
      <w:pPr>
        <w:spacing w:line="360" w:lineRule="auto"/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14:ligatures w14:val="none"/>
        </w:rPr>
        <w:drawing>
          <wp:inline distT="0" distB="0" distL="0" distR="0" wp14:anchorId="0C1CF30B" wp14:editId="1713DC87">
            <wp:extent cx="4933286" cy="2412000"/>
            <wp:effectExtent l="0" t="0" r="1270" b="7620"/>
            <wp:docPr id="1169614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1411" name="图片 1169614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286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C9C3E" w14:textId="77777777" w:rsidR="008138E7" w:rsidRDefault="004D008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 S6 (a) XPS spectra of Na-MMT, CS, CS-MMT, MWCNTs, MMT/MWCNTs, and CS-MMT/MWCNTs; (b) C 1s and (c) O 1s spectra of MWCNTs, MMT/MWCNTs, and CS-MMT/MWCNTs; (d) N 1s spectra of CS, CS-MMT and CS-MMT/MWCNTs; (e) Si 2p and (f) Al 2p spectra of Na-MMT, CS-MMT, MMT/MWCNTs and CS-MMT/MWCNTs.</w:t>
      </w:r>
    </w:p>
    <w:p w14:paraId="28B2DAC7" w14:textId="77777777" w:rsidR="008138E7" w:rsidRDefault="004D008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A8F2A3E" wp14:editId="11546D42">
            <wp:extent cx="2736215" cy="2447925"/>
            <wp:effectExtent l="0" t="0" r="6985" b="9525"/>
            <wp:docPr id="3987006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0063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7224" t="2265" r="9126"/>
                    <a:stretch>
                      <a:fillRect/>
                    </a:stretch>
                  </pic:blipFill>
                  <pic:spPr>
                    <a:xfrm>
                      <a:off x="0" y="0"/>
                      <a:ext cx="2736282" cy="244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FDFA1" w14:textId="77777777" w:rsidR="008138E7" w:rsidRDefault="004D008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Fig. S7 The Tafel slopes obtained by fitting the LSV curves showed that CS-MMT/MWCNTs-COOH </w:t>
      </w:r>
      <w:r>
        <w:rPr>
          <w:rFonts w:ascii="Times New Roman" w:hAnsi="Times New Roman" w:cs="Times New Roman"/>
          <w:sz w:val="20"/>
          <w:szCs w:val="20"/>
        </w:rPr>
        <w:t>，</w:t>
      </w:r>
      <w:r>
        <w:rPr>
          <w:rFonts w:ascii="Times New Roman" w:hAnsi="Times New Roman" w:cs="Times New Roman"/>
          <w:sz w:val="20"/>
          <w:szCs w:val="20"/>
        </w:rPr>
        <w:t xml:space="preserve"> MMT/MWCNTs-COOH and MWCNTs-COOH</w:t>
      </w:r>
    </w:p>
    <w:p w14:paraId="74B30D6F" w14:textId="77777777" w:rsidR="008138E7" w:rsidRDefault="008138E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4175589" w14:textId="77777777" w:rsidR="008138E7" w:rsidRDefault="004D008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EF0438E" wp14:editId="125CA2D6">
            <wp:extent cx="5273675" cy="2653665"/>
            <wp:effectExtent l="0" t="0" r="3175" b="0"/>
            <wp:docPr id="11651487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4874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5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2622" w14:textId="77777777" w:rsidR="008138E7" w:rsidRDefault="004D008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 S8 CV curves of (a) MMT/MWCNTs, (b) CS-MMT/MWCNTs, and (c) MWCNTs with or without glucose; (d) LSV curves, (e) Tafel slopes, and (f) EIS spectra of MWCNTs, MMT/MWCNTs and CS-MMT/MWCNTs.</w:t>
      </w:r>
    </w:p>
    <w:p w14:paraId="5178DD7D" w14:textId="77777777" w:rsidR="008138E7" w:rsidRDefault="008138E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4D5D6E8" w14:textId="77777777" w:rsidR="008138E7" w:rsidRDefault="004D008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6DFB626" wp14:editId="4F5B9171">
            <wp:extent cx="4319905" cy="3296285"/>
            <wp:effectExtent l="0" t="0" r="4445" b="0"/>
            <wp:docPr id="8757224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22443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rcRect r="75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68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25B99" w14:textId="77777777" w:rsidR="008138E7" w:rsidRDefault="004D008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Fig. S9 CV curves of (a) MWCNTs-COOH, (b) MMT/MWCNTs-COOH, and (c) CS-MMT/MWCNTs-COOH measured at scan rates of 25, 50, 75, 100, and 125 mV/s; (d) double-layer capacitance values of MWCNTs-COOH, MMT/MWCNTs-COOH, and CS-MMT/MWCNTs-COOH.</w:t>
      </w:r>
    </w:p>
    <w:p w14:paraId="01A0C3D8" w14:textId="77777777" w:rsidR="008138E7" w:rsidRDefault="008138E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F85DEFB" w14:textId="77777777" w:rsidR="008138E7" w:rsidRDefault="004D008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Table S2 Comparison of non-enzymatic electrochemical glucose sensors in 0.1 M NaOH solution.</w:t>
      </w:r>
    </w:p>
    <w:tbl>
      <w:tblPr>
        <w:tblW w:w="8522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697"/>
        <w:gridCol w:w="1699"/>
        <w:gridCol w:w="1842"/>
        <w:gridCol w:w="1135"/>
        <w:gridCol w:w="1149"/>
      </w:tblGrid>
      <w:tr w:rsidR="008138E7" w14:paraId="6A61B583" w14:textId="77777777">
        <w:trPr>
          <w:trHeight w:val="20"/>
        </w:trPr>
        <w:tc>
          <w:tcPr>
            <w:tcW w:w="1582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DC80ECA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_Hlk203057738"/>
            <w:r>
              <w:rPr>
                <w:rFonts w:ascii="Times New Roman" w:hAnsi="Times New Roman" w:cs="Times New Roman"/>
                <w:sz w:val="20"/>
                <w:szCs w:val="20"/>
              </w:rPr>
              <w:t>Electrodes</w:t>
            </w:r>
          </w:p>
        </w:tc>
        <w:tc>
          <w:tcPr>
            <w:tcW w:w="997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EEC24ED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Sensitivity</w:t>
            </w:r>
          </w:p>
          <w:p w14:paraId="64516981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μA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μM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81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2497469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Linear range</w:t>
            </w:r>
          </w:p>
          <w:p w14:paraId="7703A992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66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28D468A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LOD</w:t>
            </w:r>
          </w:p>
          <w:p w14:paraId="60D809C0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μM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75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AFB00FC" w14:textId="77777777" w:rsidR="008138E7" w:rsidRDefault="004D008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Ref.</w:t>
            </w:r>
          </w:p>
        </w:tc>
      </w:tr>
      <w:tr w:rsidR="008138E7" w14:paraId="1D88AE95" w14:textId="77777777">
        <w:trPr>
          <w:trHeight w:val="42"/>
        </w:trPr>
        <w:tc>
          <w:tcPr>
            <w:tcW w:w="1582" w:type="pct"/>
            <w:tcBorders>
              <w:right w:val="nil"/>
            </w:tcBorders>
          </w:tcPr>
          <w:p w14:paraId="417D46FE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NiCo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-LDH/MWCNTs</w:t>
            </w:r>
          </w:p>
          <w:p w14:paraId="7E196765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Cu-MOF/MWNTs  </w:t>
            </w:r>
          </w:p>
        </w:tc>
        <w:tc>
          <w:tcPr>
            <w:tcW w:w="997" w:type="pct"/>
            <w:tcBorders>
              <w:left w:val="nil"/>
              <w:right w:val="nil"/>
            </w:tcBorders>
          </w:tcPr>
          <w:p w14:paraId="2FA087D3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1.15</w:t>
            </w:r>
          </w:p>
          <w:p w14:paraId="3C87867D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3878</w:t>
            </w:r>
          </w:p>
        </w:tc>
        <w:tc>
          <w:tcPr>
            <w:tcW w:w="1081" w:type="pct"/>
            <w:tcBorders>
              <w:left w:val="nil"/>
              <w:right w:val="nil"/>
            </w:tcBorders>
          </w:tcPr>
          <w:p w14:paraId="363F4546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3000-9231.8</w:t>
            </w:r>
          </w:p>
          <w:p w14:paraId="34515C6E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5×10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-2.34</w:t>
            </w:r>
          </w:p>
          <w:p w14:paraId="3053C52C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2.34-11.84</w:t>
            </w:r>
          </w:p>
        </w:tc>
        <w:tc>
          <w:tcPr>
            <w:tcW w:w="666" w:type="pct"/>
            <w:tcBorders>
              <w:left w:val="nil"/>
              <w:right w:val="nil"/>
            </w:tcBorders>
          </w:tcPr>
          <w:p w14:paraId="18C00154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  <w:p w14:paraId="18FFACEA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675" w:type="pct"/>
            <w:tcBorders>
              <w:left w:val="nil"/>
            </w:tcBorders>
          </w:tcPr>
          <w:p w14:paraId="239945BB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&lt;EndNote&gt;&lt;Cite&gt;&lt;Author&gt;Zhu&lt;/Author&gt;&lt;Year&gt;2024&lt;/Year&gt;&lt;RecNum&gt;56&lt;/RecNum&gt;&lt;DisplayText&gt;&lt;style face="superscript"&gt;[1]&lt;/style&gt;&lt;/DisplayText&gt;&lt;record&gt;&lt;rec-number&gt;56&lt;/rec-number&gt;&lt;foreign-keys&gt;&lt;key app="EN" db-id="rsvpzte2jtd90me2tt0pd9wf2etwwsx2r2ff" timestamp="1753258882"&gt;56&lt;/key&gt;&lt;/foreign-keys&gt;&lt;ref-type name="Journal Article"&gt;17&lt;/ref-type&gt;&lt;contributors&gt;&lt;authors&gt;&lt;author&gt;Zhu, Yuxuan&lt;/author&gt;&lt;author&gt;Qian, Jing&lt;/author&gt;&lt;author&gt;Xu, Ke&lt;/author&gt;&lt;author&gt;Ouyang, Wanru&lt;/author&gt;&lt;author&gt;Yang, Juan&lt;/author&gt;&lt;author&gt;Yang, Nianjun&lt;/author&gt;&lt;/authors&gt;&lt;/contributors&gt;&lt;titles&gt;&lt;title&gt;Hollow nanocages heterostructured NiCo-LDH/MWCNTs electrocatalyst for highly sensitive and non-invasive detection of saliva glucose&lt;/title&gt;&lt;secondary-title&gt;Chemical Engineering Journal&lt;/secondary-title&gt;&lt;/titles&gt;&lt;periodical&gt;&lt;full-title&gt;Chemical Engineering Journal&lt;/full-title&gt;&lt;/periodical&gt;&lt;dates&gt;&lt;year&gt;2024&lt;/year&gt;&lt;pub-dates&gt;&lt;date&gt;2024/02/17&lt;/date&gt;&lt;/pub-dates&gt;&lt;/dates&gt;&lt;urls&gt;&lt;related-urls&gt;&lt;url&gt;http://dx.doi.org/10.1016/j.cej.2024.149795&lt;/url&gt;&lt;/related-urls&gt;&lt;/urls&gt;&lt;electronic-resource-num&gt;10.1016/j.cej.2024.149795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14:paraId="4A14DDAA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&lt;EndNote&gt;&lt;Cite&gt;&lt;Author&gt;Wu&lt;/Author&gt;&lt;Year&gt;2019&lt;/Year&gt;&lt;RecNum&gt;57&lt;/RecNum&gt;&lt;DisplayText&gt;&lt;style face="superscript"&gt;[2]&lt;/style&gt;&lt;/DisplayText&gt;&lt;record&gt;&lt;rec-number&gt;57&lt;/rec-number&gt;&lt;foreign-keys&gt;&lt;key app="EN" db-id="rsvpzte2jtd90me2tt0pd9wf2etwwsx2r2ff" timestamp="1753876022"&gt;57&lt;/key&gt;&lt;/foreign-keys&gt;&lt;ref-type name="Journal Article"&gt;17&lt;/ref-type&gt;&lt;contributors&gt;&lt;authors&gt;&lt;author&gt;Wu, Lan&lt;/author&gt;&lt;author&gt;Lu, Zhiwei&lt;/author&gt;&lt;author&gt;Ye, Jianshan&lt;/author&gt;&lt;/authors&gt;&lt;/contributors&gt;&lt;titles&gt;&lt;title&gt;Enzyme-free glucose sensor based on layer-by-layer electrodeposition of multilayer films of multi-walled carbon nanotubes and Cu-based metal framework modified glassy carbon electrode&lt;/title&gt;&lt;secondary-title&gt;Biosensors and Bioelectronics&lt;/secondary-title&gt;&lt;/titles&gt;&lt;periodical&gt;&lt;full-title&gt;Biosensors and Bioelectronics&lt;/full-title&gt;&lt;/periodical&gt;&lt;dates&gt;&lt;year&gt;2019&lt;/year&gt;&lt;pub-dates&gt;&lt;date&gt;2019/04/09&lt;/date&gt;&lt;/pub-dates&gt;&lt;/dates&gt;&lt;urls&gt;&lt;related-urls&gt;&lt;url&gt;http://dx.doi.org/10.1016/j.bios.2019.03.064&lt;/url&gt;&lt;/related-urls&gt;&lt;/urls&gt;&lt;electronic-resource-num&gt;10.1016/j.bios.2019.03.064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[2]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138E7" w14:paraId="5BB91941" w14:textId="77777777">
        <w:trPr>
          <w:trHeight w:val="20"/>
        </w:trPr>
        <w:tc>
          <w:tcPr>
            <w:tcW w:w="1582" w:type="pct"/>
            <w:tcBorders>
              <w:right w:val="nil"/>
            </w:tcBorders>
          </w:tcPr>
          <w:p w14:paraId="1F9E4C38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/MWCNTs</w:t>
            </w:r>
          </w:p>
          <w:p w14:paraId="16DEBBC4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CuNPs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/HD-CNTs </w:t>
            </w:r>
          </w:p>
          <w:p w14:paraId="79D60340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NiCo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-LDH /CCCH/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CuF</w:t>
            </w:r>
            <w:proofErr w:type="spellEnd"/>
          </w:p>
        </w:tc>
        <w:tc>
          <w:tcPr>
            <w:tcW w:w="997" w:type="pct"/>
            <w:tcBorders>
              <w:left w:val="nil"/>
              <w:right w:val="nil"/>
            </w:tcBorders>
          </w:tcPr>
          <w:p w14:paraId="22479F2B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1211</w:t>
            </w:r>
          </w:p>
          <w:p w14:paraId="30B20445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1942 </w:t>
            </w:r>
          </w:p>
          <w:p w14:paraId="385AA821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10.78</w:t>
            </w:r>
          </w:p>
        </w:tc>
        <w:tc>
          <w:tcPr>
            <w:tcW w:w="1081" w:type="pct"/>
            <w:tcBorders>
              <w:left w:val="nil"/>
              <w:right w:val="nil"/>
            </w:tcBorders>
          </w:tcPr>
          <w:p w14:paraId="08F0C465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4×10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-14.5</w:t>
            </w:r>
          </w:p>
          <w:p w14:paraId="17AB1855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4774</w:t>
            </w:r>
          </w:p>
          <w:p w14:paraId="19D12CDA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0.001-1500</w:t>
            </w:r>
          </w:p>
        </w:tc>
        <w:tc>
          <w:tcPr>
            <w:tcW w:w="666" w:type="pct"/>
            <w:tcBorders>
              <w:left w:val="nil"/>
              <w:right w:val="nil"/>
            </w:tcBorders>
          </w:tcPr>
          <w:p w14:paraId="08B274F9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4.00</w:t>
            </w:r>
          </w:p>
          <w:p w14:paraId="413E3CC3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2.80</w:t>
            </w:r>
          </w:p>
          <w:p w14:paraId="0BADE98C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0.68</w:t>
            </w:r>
          </w:p>
        </w:tc>
        <w:tc>
          <w:tcPr>
            <w:tcW w:w="675" w:type="pct"/>
            <w:tcBorders>
              <w:left w:val="nil"/>
            </w:tcBorders>
          </w:tcPr>
          <w:p w14:paraId="29E55822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&lt;EndNote&gt;&lt;Cite&gt;&lt;Author&gt;Liu&lt;/Author&gt;&lt;Year&gt;2016&lt;/Year&gt;&lt;RecNum&gt;58&lt;/RecNum&gt;&lt;DisplayText&gt;&lt;style face="superscript"&gt;[3]&lt;/style&gt;&lt;/DisplayText&gt;&lt;record&gt;&lt;rec-number&gt;58&lt;/rec-number&gt;&lt;foreign-keys&gt;&lt;key app="EN" db-id="rsvpzte2jtd90me2tt0pd9wf2etwwsx2r2ff" timestamp="1753881987"&gt;58&lt;/key&gt;&lt;/foreign-keys&gt;&lt;ref-type name="Journal Article"&gt;17&lt;/ref-type&gt;&lt;contributors&gt;&lt;authors&gt;&lt;author&gt;Liu, Xue-Wen&lt;/author&gt;&lt;author&gt;Pan, Peng&lt;/author&gt;&lt;author&gt;Zhang, Zhi-Mei&lt;/author&gt;&lt;author&gt;Guo, Fu&lt;/author&gt;&lt;author&gt;Yang, Zheng-Chun&lt;/author&gt;&lt;author&gt;Wei, Jun&lt;/author&gt;&lt;author&gt;Wei, Zhen&lt;/author&gt;&lt;/authors&gt;&lt;/contributors&gt;&lt;titles&gt;&lt;title&gt;Ordered self-assembly of screen-printed flower-like CuO and CuO/MWCNTs modified graphite electrodes and applications in non-enzymatic glucose sensor&lt;/title&gt;&lt;secondary-title&gt;Journal of Electroanalytical Chemistry&lt;/secondary-title&gt;&lt;/titles&gt;&lt;periodical&gt;&lt;full-title&gt;Journal of Electroanalytical Chemistry&lt;/full-title&gt;&lt;/periodical&gt;&lt;dates&gt;&lt;year&gt;2016&lt;/year&gt;&lt;pub-dates&gt;&lt;date&gt;2016/02/01&lt;/date&gt;&lt;/pub-dates&gt;&lt;/dates&gt;&lt;urls&gt;&lt;related-urls&gt;&lt;url&gt;http://dx.doi.org/10.1016/j.jelechem.2015.12.039&lt;/url&gt;&lt;/related-urls&gt;&lt;/urls&gt;&lt;electronic-resource-num&gt;10.1016/j.jelechem.2015.12.039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[3]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14:paraId="5E72D3A3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&lt;EndNote&gt;&lt;Cite&gt;&lt;Author&gt;Pankaj&lt;/Author&gt;&lt;Year&gt;2021&lt;/Year&gt;&lt;RecNum&gt;59&lt;/RecNum&gt;&lt;DisplayText&gt;&lt;style face="superscript"&gt;[4]&lt;/style&gt;&lt;/DisplayText&gt;&lt;record&gt;&lt;rec-number&gt;59&lt;/rec-number&gt;&lt;foreign-keys&gt;&lt;key app="EN" db-id="rsvpzte2jtd90me2tt0pd9wf2etwwsx2r2ff" timestamp="1753882481"&gt;59&lt;/key&gt;&lt;/foreign-keys&gt;&lt;ref-type name="Journal Article"&gt;17&lt;/ref-type&gt;&lt;contributors&gt;&lt;authors&gt;&lt;author&gt;Pankaj, Gupta&lt;/author&gt;&lt;author&gt;Vandna, K. Gupta&lt;/author&gt;&lt;author&gt;Artur, Huseinov&lt;/author&gt;&lt;author&gt;Connor, E. Rahm&lt;/author&gt;&lt;author&gt;Kiera, Gazica&lt;/author&gt;&lt;author&gt;Noe, T. Alvarez&lt;/author&gt;&lt;/authors&gt;&lt;/contributors&gt;&lt;titles&gt;&lt;title&gt;Highly sensitive non-enzymatic glucose sensor based on carbon nanotube microelectrode set&lt;/title&gt;&lt;secondary-title&gt;Sensors and Actuators B: Chemical&lt;/secondary-title&gt;&lt;/titles&gt;&lt;periodical&gt;&lt;full-title&gt;Sensors and Actuators B: Chemical&lt;/full-title&gt;&lt;/periodical&gt;&lt;dates&gt;&lt;year&gt;2021&lt;/year&gt;&lt;pub-dates&gt;&lt;date&gt;2021/08/31&lt;/date&gt;&lt;/pub-dates&gt;&lt;/dates&gt;&lt;urls&gt;&lt;related-urls&gt;&lt;url&gt;http://dx.doi.org/10.1016/j.snb.2021.130688&lt;/url&gt;&lt;/related-urls&gt;&lt;/urls&gt;&lt;electronic-resource-num&gt;10.1016/j.snb.2021.130688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[4]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14:paraId="762DF266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&lt;EndNote&gt;&lt;Cite&gt;&lt;Author&gt;Zhao&lt;/Author&gt;&lt;Year&gt;2020&lt;/Year&gt;&lt;RecNum&gt;60&lt;/RecNum&gt;&lt;DisplayText&gt;&lt;style face="superscript"&gt;[5]&lt;/style&gt;&lt;/DisplayText&gt;&lt;record&gt;&lt;rec-number&gt;60&lt;/rec-number&gt;&lt;foreign-keys&gt;&lt;key app="EN" db-id="rsvpzte2jtd90me2tt0pd9wf2etwwsx2r2ff" timestamp="1753882527"&gt;60&lt;/key&gt;&lt;/foreign-keys&gt;&lt;ref-type name="Journal Article"&gt;17&lt;/ref-type&gt;&lt;contributors&gt;&lt;authors&gt;&lt;author&gt;Zhao, Zhenting&lt;/author&gt;&lt;author&gt;Sun, Yongjiao&lt;/author&gt;&lt;author&gt;Song, Jinxiang&lt;/author&gt;&lt;author&gt;Li, Yajia&lt;/author&gt;&lt;author&gt;Xie, Yun&lt;/author&gt;&lt;author&gt;Cui, Han&lt;/author&gt;&lt;author&gt;Gong, Weiping&lt;/author&gt;&lt;author&gt;Hu, Jie&lt;/author&gt;&lt;author&gt;Chen, Yong&lt;/author&gt;&lt;/authors&gt;&lt;/contributors&gt;&lt;titles&gt;&lt;title&gt;Highly sensitive nonenzymetic glucose sensing based on multicomponent hierarchical NiCo-LDH/CCCH/CuF nanostructures&lt;/title&gt;&lt;secondary-title&gt;Sensors and Actuators B: Chemical&lt;/secondary-title&gt;&lt;/titles&gt;&lt;periodical&gt;&lt;full-title&gt;Sensors and Actuators B: Chemical&lt;/full-title&gt;&lt;/periodical&gt;&lt;dates&gt;&lt;year&gt;2020&lt;/year&gt;&lt;pub-dates&gt;&lt;date&gt;2020/08/31&lt;/date&gt;&lt;/pub-dates&gt;&lt;/dates&gt;&lt;urls&gt;&lt;related-urls&gt;&lt;url&gt;http://dx.doi.org/10.1016/j.snb.2020.128811&lt;/url&gt;&lt;/related-urls&gt;&lt;/urls&gt;&lt;electronic-resource-num&gt;10.1016/j.snb.2020.128811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[5]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138E7" w14:paraId="7EB83417" w14:textId="77777777">
        <w:trPr>
          <w:trHeight w:val="20"/>
        </w:trPr>
        <w:tc>
          <w:tcPr>
            <w:tcW w:w="1582" w:type="pct"/>
            <w:tcBorders>
              <w:right w:val="nil"/>
            </w:tcBorders>
          </w:tcPr>
          <w:p w14:paraId="670AC986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Ni-MOF/MWCNTs-COOH</w:t>
            </w:r>
          </w:p>
        </w:tc>
        <w:tc>
          <w:tcPr>
            <w:tcW w:w="997" w:type="pct"/>
            <w:tcBorders>
              <w:left w:val="nil"/>
              <w:right w:val="nil"/>
            </w:tcBorders>
          </w:tcPr>
          <w:p w14:paraId="23E1FDA3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38.20 </w:t>
            </w:r>
          </w:p>
        </w:tc>
        <w:tc>
          <w:tcPr>
            <w:tcW w:w="1081" w:type="pct"/>
            <w:tcBorders>
              <w:left w:val="nil"/>
              <w:right w:val="nil"/>
            </w:tcBorders>
          </w:tcPr>
          <w:p w14:paraId="2FCC1588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0.28-5.88  </w:t>
            </w:r>
          </w:p>
        </w:tc>
        <w:tc>
          <w:tcPr>
            <w:tcW w:w="666" w:type="pct"/>
            <w:tcBorders>
              <w:left w:val="nil"/>
              <w:right w:val="nil"/>
            </w:tcBorders>
          </w:tcPr>
          <w:p w14:paraId="4362C88A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0.0021</w:t>
            </w:r>
          </w:p>
        </w:tc>
        <w:tc>
          <w:tcPr>
            <w:tcW w:w="675" w:type="pct"/>
            <w:tcBorders>
              <w:left w:val="nil"/>
            </w:tcBorders>
          </w:tcPr>
          <w:p w14:paraId="3FB43092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&lt;EndNote&gt;&lt;Cite&gt;&lt;Author&gt;Li&lt;/Author&gt;&lt;Year&gt;2012&lt;/Year&gt;&lt;RecNum&gt;62&lt;/RecNum&gt;&lt;DisplayText&gt;&lt;style face="superscript"&gt;[6]&lt;/style&gt;&lt;/DisplayText&gt;&lt;record&gt;&lt;rec-number&gt;62&lt;/rec-number&gt;&lt;foreign-keys&gt;&lt;key app="EN" db-id="rsvpzte2jtd90me2tt0pd9wf2etwwsx2r2ff" timestamp="1753882843"&gt;62&lt;/key&gt;&lt;/foreign-keys&gt;&lt;ref-type name="Journal Article"&gt;17&lt;/ref-type&gt;&lt;contributors&gt;&lt;authors&gt;&lt;author&gt;Li, Yancai&lt;/author&gt;&lt;author&gt;Wang, Fei&lt;/author&gt;&lt;author&gt;Huang, Fuying&lt;/author&gt;&lt;author&gt;Li, Yuanjun&lt;/author&gt;&lt;author&gt;Feng, Shuqing&lt;/author&gt;&lt;/authors&gt;&lt;/contributors&gt;&lt;titles&gt;&lt;title&gt;Direct electrochemistry of glucose oxidase and its biosensing to glucose based on the Chit-MWCNTs–AuNRs modified gold electrode&lt;/title&gt;&lt;secondary-title&gt;Journal of Electroanalytical Chemistry&lt;/secondary-title&gt;&lt;/titles&gt;&lt;periodical&gt;&lt;full-title&gt;Journal of Electroanalytical Chemistry&lt;/full-title&gt;&lt;/periodical&gt;&lt;dates&gt;&lt;year&gt;2012&lt;/year&gt;&lt;pub-dates&gt;&lt;date&gt;2012/10/01&lt;/date&gt;&lt;/pub-dates&gt;&lt;/dates&gt;&lt;urls&gt;&lt;related-urls&gt;&lt;url&gt;http://dx.doi.org/10.1016/j.jelechem.2012.08.028&lt;/url&gt;&lt;/related-urls&gt;&lt;/urls&gt;&lt;electronic-resource-num&gt;10.1016/j.jelechem.2012.08.028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[6]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138E7" w14:paraId="7DA51000" w14:textId="77777777">
        <w:trPr>
          <w:trHeight w:val="20"/>
        </w:trPr>
        <w:tc>
          <w:tcPr>
            <w:tcW w:w="1582" w:type="pct"/>
            <w:tcBorders>
              <w:bottom w:val="single" w:sz="12" w:space="0" w:color="auto"/>
              <w:right w:val="nil"/>
            </w:tcBorders>
          </w:tcPr>
          <w:p w14:paraId="7BB35B80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PdNPs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-GNPs/MWCNTs</w:t>
            </w:r>
          </w:p>
          <w:p w14:paraId="2ACA3529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CNTs/MWCNTs/PDMS</w:t>
            </w:r>
          </w:p>
          <w:p w14:paraId="2A6642E2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CS-MMT/MWCNTs-COOH</w:t>
            </w:r>
          </w:p>
        </w:tc>
        <w:tc>
          <w:tcPr>
            <w:tcW w:w="997" w:type="pct"/>
            <w:tcBorders>
              <w:left w:val="nil"/>
              <w:bottom w:val="single" w:sz="12" w:space="0" w:color="auto"/>
              <w:right w:val="nil"/>
            </w:tcBorders>
          </w:tcPr>
          <w:p w14:paraId="30209B8A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5290</w:t>
            </w:r>
          </w:p>
          <w:p w14:paraId="6DFBC2E3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71.62 </w:t>
            </w:r>
          </w:p>
          <w:p w14:paraId="6E7082C9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3.89 </w:t>
            </w:r>
          </w:p>
        </w:tc>
        <w:tc>
          <w:tcPr>
            <w:tcW w:w="1081" w:type="pct"/>
            <w:tcBorders>
              <w:left w:val="nil"/>
              <w:bottom w:val="single" w:sz="12" w:space="0" w:color="auto"/>
              <w:right w:val="nil"/>
            </w:tcBorders>
          </w:tcPr>
          <w:p w14:paraId="6D5650D4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0.025-10000 </w:t>
            </w:r>
          </w:p>
          <w:p w14:paraId="2367BFF1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20-1100 </w:t>
            </w:r>
          </w:p>
          <w:p w14:paraId="5E3B3BD1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 1.0-67</w:t>
            </w:r>
          </w:p>
          <w:p w14:paraId="2172B4C4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67-5780</w:t>
            </w:r>
          </w:p>
        </w:tc>
        <w:tc>
          <w:tcPr>
            <w:tcW w:w="666" w:type="pct"/>
            <w:tcBorders>
              <w:left w:val="nil"/>
              <w:bottom w:val="single" w:sz="12" w:space="0" w:color="auto"/>
              <w:right w:val="nil"/>
            </w:tcBorders>
          </w:tcPr>
          <w:p w14:paraId="488D9600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8.00</w:t>
            </w:r>
          </w:p>
          <w:p w14:paraId="7AC04CD2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6.78 </w:t>
            </w:r>
          </w:p>
          <w:p w14:paraId="3E5017CA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675" w:type="pct"/>
            <w:tcBorders>
              <w:left w:val="nil"/>
              <w:bottom w:val="single" w:sz="12" w:space="0" w:color="auto"/>
            </w:tcBorders>
          </w:tcPr>
          <w:p w14:paraId="21AD71D5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&lt;EndNote&gt;&lt;Cite&gt;&lt;Author&gt;Promsuwan&lt;/Author&gt;&lt;Year&gt;2019&lt;/Year&gt;&lt;RecNum&gt;63&lt;/RecNum&gt;&lt;DisplayText&gt;&lt;style face="superscript"&gt;[7]&lt;/style&gt;&lt;/DisplayText&gt;&lt;record&gt;&lt;rec-number&gt;63&lt;/rec-number&gt;&lt;foreign-keys&gt;&lt;key app="EN" db-id="rsvpzte2jtd90me2tt0pd9wf2etwwsx2r2ff" timestamp="1753882899"&gt;63&lt;/key&gt;&lt;/foreign-keys&gt;&lt;ref-type name="Journal Article"&gt;17&lt;/ref-type&gt;&lt;contributors&gt;&lt;authors&gt;&lt;author&gt;Promsuwan, Kiattisak&lt;/author&gt;&lt;author&gt;Kachatong, Napada&lt;/author&gt;&lt;author&gt;Limbut, Warakorn&lt;/author&gt;&lt;/authors&gt;&lt;/contributors&gt;&lt;titles&gt;&lt;title&gt;Simple flow injection system for non-enzymatic glucose sensing based on an electrode modified with palladium nanoparticles-graphene nanoplatelets/mullti-walled carbon nanotubes&lt;/title&gt;&lt;secondary-title&gt;Electrochimica Acta&lt;/secondary-title&gt;&lt;/titles&gt;&lt;periodical&gt;&lt;full-title&gt;Electrochimica Acta&lt;/full-title&gt;&lt;/periodical&gt;&lt;dates&gt;&lt;year&gt;2019&lt;/year&gt;&lt;pub-dates&gt;&lt;date&gt;2019/07/30&lt;/date&gt;&lt;/pub-dates&gt;&lt;/dates&gt;&lt;urls&gt;&lt;related-urls&gt;&lt;url&gt;http://dx.doi.org/10.1016/j.electacta.2019.134621&lt;/url&gt;&lt;/related-urls&gt;&lt;/urls&gt;&lt;electronic-resource-num&gt;10.1016/j.electacta.2019.134621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[7]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14:paraId="15F4BCDE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&lt;EndNote&gt;&lt;Cite&gt;&lt;Author&gt;Xia&lt;/Author&gt;&lt;Year&gt;2023&lt;/Year&gt;&lt;RecNum&gt;64&lt;/RecNum&gt;&lt;DisplayText&gt;&lt;style face="superscript"&gt;[8]&lt;/style&gt;&lt;/DisplayText&gt;&lt;record&gt;&lt;rec-number&gt;64&lt;/rec-number&gt;&lt;foreign-keys&gt;&lt;key app="EN" db-id="rsvpzte2jtd90me2tt0pd9wf2etwwsx2r2ff" timestamp="1753883071"&gt;64&lt;/key&gt;&lt;/foreign-keys&gt;&lt;ref-type name="Journal Article"&gt;17&lt;/ref-type&gt;&lt;contributors&gt;&lt;authors&gt;&lt;author&gt;Xia, Youyuan&lt;/author&gt;&lt;author&gt;Su, Tong&lt;/author&gt;&lt;author&gt;Mi, Ziyi&lt;/author&gt;&lt;author&gt;Feng, Ziyou&lt;/author&gt;&lt;author&gt;Hong, Yawen&lt;/author&gt;&lt;author&gt;Hu, Xiaoya&lt;/author&gt;&lt;author&gt;Shu, Yun&lt;/author&gt;&lt;/authors&gt;&lt;/contributors&gt;&lt;titles&gt;&lt;title&gt;Wearable electrochemical sensor based on bimetallic MOF coated CNT/PDMS film electrode via a dual-stamping method for real-time sweat glucose analysis&lt;/title&gt;&lt;secondary-title&gt;Analytica Chimica Acta&lt;/secondary-title&gt;&lt;/titles&gt;&lt;periodical&gt;&lt;full-title&gt;Analytica Chimica Acta&lt;/full-title&gt;&lt;/periodical&gt;&lt;dates&gt;&lt;year&gt;2023&lt;/year&gt;&lt;pub-dates&gt;&lt;date&gt;2023/08/24&lt;/date&gt;&lt;/pub-dates&gt;&lt;/dates&gt;&lt;urls&gt;&lt;related-urls&gt;&lt;url&gt;http://dx.doi.org/10.1016/j.aca.2023.341754&lt;/url&gt;&lt;/related-urls&gt;&lt;/urls&gt;&lt;electronic-resource-num&gt;10.1016/j.aca.2023.341754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[8]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14:paraId="68FE44DF" w14:textId="77777777" w:rsidR="008138E7" w:rsidRDefault="004D00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This work</w:t>
            </w:r>
          </w:p>
        </w:tc>
      </w:tr>
      <w:bookmarkEnd w:id="3"/>
    </w:tbl>
    <w:p w14:paraId="4063CCE8" w14:textId="77777777" w:rsidR="008138E7" w:rsidRDefault="008138E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FB8B254" w14:textId="77777777" w:rsidR="008138E7" w:rsidRDefault="008138E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B9E1661" w14:textId="77777777" w:rsidR="008138E7" w:rsidRDefault="008138E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ACD8D95" w14:textId="77777777" w:rsidR="008138E7" w:rsidRDefault="008138E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ABD8132" w14:textId="77777777" w:rsidR="008138E7" w:rsidRDefault="004D0086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lastRenderedPageBreak/>
        <w:t xml:space="preserve">Experimental design </w:t>
      </w:r>
      <w:r>
        <w:rPr>
          <w:rFonts w:ascii="Times New Roman" w:hAnsi="Times New Roman" w:cs="Times New Roman" w:hint="eastAsia"/>
          <w:sz w:val="20"/>
          <w:szCs w:val="20"/>
        </w:rPr>
        <w:t>Actual saliva samples were collected from two fasting healthy volunteers in our laboratory, and saliva samples were collected at 30, 60, and 120 min after a meal.</w:t>
      </w:r>
    </w:p>
    <w:p w14:paraId="13121C94" w14:textId="77777777" w:rsidR="008138E7" w:rsidRDefault="004D0086">
      <w:pPr>
        <w:spacing w:line="360" w:lineRule="auto"/>
        <w:rPr>
          <w:rFonts w:ascii="Times New Roman" w:eastAsia="等线" w:hAnsi="Times New Roman" w:cs="Times New Roman"/>
          <w:sz w:val="20"/>
          <w:szCs w:val="20"/>
        </w:rPr>
      </w:pPr>
      <w:r>
        <w:rPr>
          <w:rFonts w:ascii="Times New Roman" w:eastAsia="等线" w:hAnsi="Times New Roman" w:cs="Times New Roman" w:hint="eastAsia"/>
          <w:b/>
          <w:bCs/>
          <w:sz w:val="20"/>
          <w:szCs w:val="20"/>
        </w:rPr>
        <w:t xml:space="preserve">Informed Consent Form </w:t>
      </w:r>
      <w:r>
        <w:rPr>
          <w:rFonts w:ascii="Times New Roman" w:eastAsia="等线" w:hAnsi="Times New Roman" w:cs="Times New Roman" w:hint="eastAsia"/>
          <w:sz w:val="20"/>
          <w:szCs w:val="20"/>
        </w:rPr>
        <w:t>The volunteer understands the content of this study and is willing to participate, having checked and signed below on the informed consent form.</w:t>
      </w:r>
    </w:p>
    <w:tbl>
      <w:tblPr>
        <w:tblW w:w="7807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1"/>
        <w:gridCol w:w="1417"/>
        <w:gridCol w:w="1134"/>
        <w:gridCol w:w="1276"/>
        <w:gridCol w:w="1276"/>
        <w:gridCol w:w="1057"/>
        <w:gridCol w:w="236"/>
      </w:tblGrid>
      <w:tr w:rsidR="008138E7" w14:paraId="0A9A0A73" w14:textId="77777777">
        <w:trPr>
          <w:trHeight w:val="254"/>
          <w:jc w:val="center"/>
        </w:trPr>
        <w:tc>
          <w:tcPr>
            <w:tcW w:w="904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38DF2332" w14:textId="76BA4DBA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Name</w:t>
            </w:r>
          </w:p>
        </w:tc>
        <w:tc>
          <w:tcPr>
            <w:tcW w:w="908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3560F4D" w14:textId="7777777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Gender</w:t>
            </w:r>
          </w:p>
        </w:tc>
        <w:tc>
          <w:tcPr>
            <w:tcW w:w="726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7795EA84" w14:textId="7777777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Age</w:t>
            </w:r>
          </w:p>
        </w:tc>
        <w:tc>
          <w:tcPr>
            <w:tcW w:w="817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4D52B939" w14:textId="7777777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Literacy</w:t>
            </w:r>
          </w:p>
        </w:tc>
        <w:tc>
          <w:tcPr>
            <w:tcW w:w="817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79988F81" w14:textId="7777777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Agree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CC632DC" w14:textId="7777777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Disagree</w:t>
            </w:r>
          </w:p>
        </w:tc>
      </w:tr>
      <w:tr w:rsidR="008138E7" w14:paraId="6DBB6F12" w14:textId="77777777">
        <w:trPr>
          <w:trHeight w:val="569"/>
          <w:jc w:val="center"/>
        </w:trPr>
        <w:tc>
          <w:tcPr>
            <w:tcW w:w="904" w:type="pct"/>
          </w:tcPr>
          <w:p w14:paraId="528FA03D" w14:textId="1F68131A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noProof/>
                <w:sz w:val="20"/>
                <w:szCs w:val="20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76B18204" wp14:editId="2FC2EBEC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-115570</wp:posOffset>
                  </wp:positionV>
                  <wp:extent cx="234950" cy="463550"/>
                  <wp:effectExtent l="0" t="0" r="0" b="0"/>
                  <wp:wrapNone/>
                  <wp:docPr id="5220425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042519" name="图片 522042519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40000" contrast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778" t="27603" r="42260" b="2659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4950" cy="46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B03226B" w14:textId="5FA81F1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noProof/>
                <w:sz w:val="20"/>
                <w:szCs w:val="20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4FBDA812" wp14:editId="4B015455">
                  <wp:simplePos x="0" y="0"/>
                  <wp:positionH relativeFrom="column">
                    <wp:posOffset>114617</wp:posOffset>
                  </wp:positionH>
                  <wp:positionV relativeFrom="paragraph">
                    <wp:posOffset>-107632</wp:posOffset>
                  </wp:positionV>
                  <wp:extent cx="203200" cy="425450"/>
                  <wp:effectExtent l="3175" t="0" r="9525" b="9525"/>
                  <wp:wrapNone/>
                  <wp:docPr id="156193599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935993" name="图片 1561935993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50000" contras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778" t="23048" r="46444" b="4543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3200" cy="42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8" w:type="pct"/>
          </w:tcPr>
          <w:p w14:paraId="724C500A" w14:textId="7777777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Male</w:t>
            </w:r>
          </w:p>
          <w:p w14:paraId="74A7827F" w14:textId="7777777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Female</w:t>
            </w:r>
          </w:p>
        </w:tc>
        <w:tc>
          <w:tcPr>
            <w:tcW w:w="726" w:type="pct"/>
          </w:tcPr>
          <w:p w14:paraId="59462D82" w14:textId="7777777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23</w:t>
            </w:r>
          </w:p>
          <w:p w14:paraId="744CB94D" w14:textId="7777777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26</w:t>
            </w:r>
          </w:p>
        </w:tc>
        <w:tc>
          <w:tcPr>
            <w:tcW w:w="817" w:type="pct"/>
          </w:tcPr>
          <w:p w14:paraId="3E6DC073" w14:textId="7777777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Master</w:t>
            </w:r>
          </w:p>
          <w:p w14:paraId="137CD0D3" w14:textId="7777777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Master</w:t>
            </w:r>
          </w:p>
        </w:tc>
        <w:tc>
          <w:tcPr>
            <w:tcW w:w="1494" w:type="pct"/>
            <w:gridSpan w:val="2"/>
          </w:tcPr>
          <w:p w14:paraId="3663E859" w14:textId="7777777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noProof/>
                <w:sz w:val="20"/>
                <w:szCs w:val="20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06E77A64" wp14:editId="794EF5B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11430</wp:posOffset>
                  </wp:positionV>
                  <wp:extent cx="160020" cy="180975"/>
                  <wp:effectExtent l="8255" t="0" r="1270" b="1270"/>
                  <wp:wrapNone/>
                  <wp:docPr id="16695491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54918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50000" contrast="100000"/>
                                    </a14:imgEffect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612" t="87692" r="2310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9766" cy="181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D572ED" w14:textId="77777777" w:rsidR="008138E7" w:rsidRDefault="004D0086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noProof/>
                <w:sz w:val="20"/>
                <w:szCs w:val="20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65364254" wp14:editId="6D9B754B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-1270</wp:posOffset>
                  </wp:positionV>
                  <wp:extent cx="160020" cy="180975"/>
                  <wp:effectExtent l="8255" t="0" r="1270" b="1270"/>
                  <wp:wrapNone/>
                  <wp:docPr id="6742053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053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50000" contrast="100000"/>
                                    </a14:imgEffect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612" t="87692" r="2310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9766" cy="181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" w:type="pct"/>
          </w:tcPr>
          <w:p w14:paraId="64A6CAB5" w14:textId="77777777" w:rsidR="008138E7" w:rsidRDefault="008138E7">
            <w:pPr>
              <w:spacing w:line="360" w:lineRule="auto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</w:tbl>
    <w:p w14:paraId="4AA10644" w14:textId="77777777" w:rsidR="008138E7" w:rsidRDefault="008138E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E7A3AF1" w14:textId="77777777" w:rsidR="008138E7" w:rsidRDefault="004D0086">
      <w:pPr>
        <w:widowControl/>
        <w:spacing w:line="36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>References</w:t>
      </w:r>
    </w:p>
    <w:p w14:paraId="5233FA07" w14:textId="77777777" w:rsidR="008138E7" w:rsidRDefault="004D0086">
      <w:pPr>
        <w:pStyle w:val="EndNoteBibliography"/>
        <w:ind w:left="500" w:hangingChars="250" w:hanging="50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fldChar w:fldCharType="begin"/>
      </w:r>
      <w:r>
        <w:rPr>
          <w:rFonts w:ascii="Times New Roman" w:hAnsi="Times New Roman" w:cs="Times New Roman"/>
          <w:szCs w:val="20"/>
        </w:rPr>
        <w:instrText xml:space="preserve"> ADDIN EN.REFLIST </w:instrText>
      </w:r>
      <w:r>
        <w:rPr>
          <w:rFonts w:ascii="Times New Roman" w:hAnsi="Times New Roman" w:cs="Times New Roman"/>
          <w:szCs w:val="20"/>
        </w:rPr>
        <w:fldChar w:fldCharType="separate"/>
      </w:r>
      <w:r>
        <w:rPr>
          <w:rFonts w:ascii="Times New Roman" w:hAnsi="Times New Roman" w:cs="Times New Roman"/>
          <w:szCs w:val="20"/>
        </w:rPr>
        <w:t>1.</w:t>
      </w:r>
      <w:r>
        <w:rPr>
          <w:rFonts w:ascii="Times New Roman" w:hAnsi="Times New Roman" w:cs="Times New Roman"/>
          <w:szCs w:val="20"/>
        </w:rPr>
        <w:tab/>
        <w:t xml:space="preserve">Zhu Y, Qian J, Xu K, et al (2024) Hollow nanocages heterostructured NiCo-LDH/MWCNTs electrocatalyst for highly sensitive and non-invasive detection of saliva glucose. Chemical Engineering Journal 485: 149795. </w:t>
      </w:r>
      <w:hyperlink r:id="rId20" w:history="1">
        <w:r>
          <w:rPr>
            <w:rStyle w:val="af1"/>
            <w:rFonts w:ascii="Times New Roman" w:hAnsi="Times New Roman" w:cs="Times New Roman"/>
            <w:szCs w:val="20"/>
          </w:rPr>
          <w:t>http://dx.doi.org/10.1016/j.cej.2024.149795</w:t>
        </w:r>
      </w:hyperlink>
    </w:p>
    <w:p w14:paraId="2F0BCD83" w14:textId="77777777" w:rsidR="008138E7" w:rsidRDefault="004D0086">
      <w:pPr>
        <w:pStyle w:val="EndNoteBibliography"/>
        <w:ind w:left="500" w:hangingChars="250" w:hanging="50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2.</w:t>
      </w:r>
      <w:r>
        <w:rPr>
          <w:rFonts w:ascii="Times New Roman" w:hAnsi="Times New Roman" w:cs="Times New Roman"/>
          <w:szCs w:val="20"/>
        </w:rPr>
        <w:tab/>
        <w:t xml:space="preserve">Wu L, Lu Z, Ye J (2019) Enzyme-free glucose sensor based on layer-by-layer electrodeposition of multilayer films of multi-walled carbon nanotubes and Cu-based metal framework modified glassy carbon electrode. Biosensors and Bioelectronics 135: 45-49. </w:t>
      </w:r>
      <w:hyperlink r:id="rId21" w:history="1">
        <w:r>
          <w:rPr>
            <w:rStyle w:val="af1"/>
            <w:rFonts w:ascii="Times New Roman" w:hAnsi="Times New Roman" w:cs="Times New Roman"/>
            <w:szCs w:val="20"/>
          </w:rPr>
          <w:t>http://dx.doi.org/10.1016/j.bios.2019.03.064</w:t>
        </w:r>
      </w:hyperlink>
    </w:p>
    <w:p w14:paraId="72D7F4CD" w14:textId="77777777" w:rsidR="008138E7" w:rsidRDefault="004D0086">
      <w:pPr>
        <w:pStyle w:val="EndNoteBibliography"/>
        <w:ind w:left="500" w:hangingChars="250" w:hanging="50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3.</w:t>
      </w:r>
      <w:r>
        <w:rPr>
          <w:rFonts w:ascii="Times New Roman" w:hAnsi="Times New Roman" w:cs="Times New Roman"/>
          <w:szCs w:val="20"/>
        </w:rPr>
        <w:tab/>
        <w:t xml:space="preserve">Liu X-W, Pan P, Zhang Z-M, et al (2016) Ordered self-assembly of screen-printed flower-like CuO and CuO/MWCNTs modified graphite electrodes and applications in non-enzymatic glucose sensor. Journal of Electroanalytical Chemistry 763: 37-44. </w:t>
      </w:r>
      <w:hyperlink r:id="rId22" w:history="1">
        <w:r>
          <w:rPr>
            <w:rStyle w:val="af1"/>
            <w:rFonts w:ascii="Times New Roman" w:hAnsi="Times New Roman" w:cs="Times New Roman"/>
            <w:szCs w:val="20"/>
          </w:rPr>
          <w:t>http://dx.doi.org/10.1016/j.jelechem.2015.12.039</w:t>
        </w:r>
      </w:hyperlink>
    </w:p>
    <w:p w14:paraId="61D750FC" w14:textId="77777777" w:rsidR="008138E7" w:rsidRDefault="004D0086">
      <w:pPr>
        <w:pStyle w:val="EndNoteBibliography"/>
        <w:ind w:left="500" w:hangingChars="250" w:hanging="50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4.</w:t>
      </w:r>
      <w:r>
        <w:rPr>
          <w:rFonts w:ascii="Times New Roman" w:hAnsi="Times New Roman" w:cs="Times New Roman"/>
          <w:szCs w:val="20"/>
        </w:rPr>
        <w:tab/>
        <w:t xml:space="preserve">Pankaj G, Vandna K G, Artur H, et al (2021) Highly sensitive non-enzymatic glucose sensor based on carbon nanotube microelectrode set. Sensors and Actuators B: Chemical 348:130688. </w:t>
      </w:r>
      <w:hyperlink r:id="rId23" w:history="1">
        <w:r>
          <w:rPr>
            <w:rStyle w:val="af1"/>
            <w:rFonts w:ascii="Times New Roman" w:hAnsi="Times New Roman" w:cs="Times New Roman"/>
            <w:szCs w:val="20"/>
          </w:rPr>
          <w:t>http://dx.doi.org/10.1016/j.snb.2021.130688</w:t>
        </w:r>
      </w:hyperlink>
    </w:p>
    <w:p w14:paraId="1C4ABEC6" w14:textId="77777777" w:rsidR="008138E7" w:rsidRDefault="004D0086">
      <w:pPr>
        <w:pStyle w:val="EndNoteBibliography"/>
        <w:ind w:left="500" w:hangingChars="250" w:hanging="50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5.</w:t>
      </w:r>
      <w:r>
        <w:rPr>
          <w:rFonts w:ascii="Times New Roman" w:hAnsi="Times New Roman" w:cs="Times New Roman"/>
          <w:szCs w:val="20"/>
        </w:rPr>
        <w:tab/>
        <w:t>Zhao Z, Sun Y, Song J, et al (2020) Highly sensitive nonenzymetic glucose sensing based on multicomponent hierarchical NiCo-LDH/CCCH/CuF nanostructures. Sensors and Actuators B: Chemical 326:</w:t>
      </w:r>
      <w:r>
        <w:rPr>
          <w:rFonts w:ascii="Times New Roman" w:eastAsiaTheme="minorEastAsia" w:hAnsi="Times New Roman" w:cs="Times New Roman"/>
          <w:color w:val="1F1F1F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128811.</w:t>
      </w:r>
      <w:r>
        <w:rPr>
          <w:rFonts w:ascii="Times New Roman" w:eastAsiaTheme="minorEastAsia" w:hAnsi="Times New Roman" w:cs="Times New Roman"/>
          <w:kern w:val="0"/>
          <w:szCs w:val="20"/>
        </w:rPr>
        <w:t xml:space="preserve"> </w:t>
      </w:r>
      <w:hyperlink r:id="rId24" w:history="1">
        <w:r>
          <w:rPr>
            <w:rStyle w:val="af1"/>
            <w:rFonts w:ascii="Times New Roman" w:hAnsi="Times New Roman" w:cs="Times New Roman"/>
            <w:szCs w:val="20"/>
          </w:rPr>
          <w:t>http://dx.doi.org/10.1016/j.snb.2020.128811</w:t>
        </w:r>
      </w:hyperlink>
    </w:p>
    <w:p w14:paraId="7A8562A1" w14:textId="77777777" w:rsidR="008138E7" w:rsidRDefault="004D0086">
      <w:pPr>
        <w:pStyle w:val="EndNoteBibliography"/>
        <w:ind w:left="500" w:hangingChars="250" w:hanging="50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6.</w:t>
      </w:r>
      <w:r>
        <w:rPr>
          <w:rFonts w:ascii="Times New Roman" w:hAnsi="Times New Roman" w:cs="Times New Roman"/>
          <w:szCs w:val="20"/>
        </w:rPr>
        <w:tab/>
        <w:t>Li Y, Wang F, Huang F, et al (2012) Direct electrochemistry of glucose oxidase and its biosensing to glucose based on the Chit-MWCNTs-AuNRs modified gold electrode. Journal of Electroanalytical Chemistry</w:t>
      </w:r>
      <w:r>
        <w:rPr>
          <w:rFonts w:ascii="Times New Roman" w:eastAsiaTheme="minorEastAsia" w:hAnsi="Times New Roman" w:cs="Times New Roman"/>
          <w:color w:val="1F1F1F"/>
          <w:szCs w:val="20"/>
        </w:rPr>
        <w:t xml:space="preserve"> 685:</w:t>
      </w:r>
      <w:r>
        <w:rPr>
          <w:rFonts w:ascii="Times New Roman" w:hAnsi="Times New Roman" w:cs="Times New Roman"/>
          <w:szCs w:val="20"/>
        </w:rPr>
        <w:t>86-90.</w:t>
      </w:r>
      <w:r>
        <w:rPr>
          <w:rFonts w:ascii="Times New Roman" w:eastAsiaTheme="minorEastAsia" w:hAnsi="Times New Roman" w:cs="Times New Roman"/>
          <w:kern w:val="0"/>
          <w:szCs w:val="20"/>
        </w:rPr>
        <w:t xml:space="preserve"> </w:t>
      </w:r>
      <w:hyperlink r:id="rId25" w:history="1">
        <w:r>
          <w:rPr>
            <w:rStyle w:val="af1"/>
            <w:rFonts w:ascii="Times New Roman" w:hAnsi="Times New Roman" w:cs="Times New Roman"/>
            <w:szCs w:val="20"/>
          </w:rPr>
          <w:t>http://dx.doi.org/10.1016/j.jelechem.2012.08.028</w:t>
        </w:r>
      </w:hyperlink>
    </w:p>
    <w:p w14:paraId="6A25BD3C" w14:textId="77777777" w:rsidR="008138E7" w:rsidRDefault="004D0086">
      <w:pPr>
        <w:pStyle w:val="EndNoteBibliography"/>
        <w:ind w:left="500" w:hangingChars="250" w:hanging="50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7.</w:t>
      </w:r>
      <w:r>
        <w:rPr>
          <w:rFonts w:ascii="Times New Roman" w:hAnsi="Times New Roman" w:cs="Times New Roman"/>
          <w:szCs w:val="20"/>
        </w:rPr>
        <w:tab/>
        <w:t>Promsuwan K, Kachatong N, Limbut W (2019) Simple flow injection system for non-enzymatic glucose sensing based on an electrode modified with palladium nanoparticles-graphene nanoplatelets/mullti-walled carbon nanotubes. Electrochimica Acta 320:</w:t>
      </w:r>
      <w:r>
        <w:rPr>
          <w:rFonts w:ascii="Times New Roman" w:eastAsiaTheme="minorEastAsia" w:hAnsi="Times New Roman" w:cs="Times New Roman"/>
          <w:color w:val="1F1F1F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134621. </w:t>
      </w:r>
      <w:hyperlink r:id="rId26" w:history="1">
        <w:r>
          <w:rPr>
            <w:rStyle w:val="af1"/>
            <w:rFonts w:ascii="Times New Roman" w:hAnsi="Times New Roman" w:cs="Times New Roman"/>
            <w:szCs w:val="20"/>
          </w:rPr>
          <w:t>http://dx.doi.org/10.1016/j.electacta.2019.134621</w:t>
        </w:r>
      </w:hyperlink>
    </w:p>
    <w:p w14:paraId="44D9A5A7" w14:textId="77777777" w:rsidR="008138E7" w:rsidRDefault="004D0086">
      <w:pPr>
        <w:pStyle w:val="EndNoteBibliography"/>
        <w:ind w:left="500" w:hangingChars="250" w:hanging="50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8.</w:t>
      </w:r>
      <w:r>
        <w:rPr>
          <w:rFonts w:ascii="Times New Roman" w:hAnsi="Times New Roman" w:cs="Times New Roman"/>
          <w:szCs w:val="20"/>
        </w:rPr>
        <w:tab/>
        <w:t>Xia Y, Su T, Mi Z, et al (2023) Warable electrochemical sensor based on bimetallic MOF coated CNT/PDMS film electrode via a dual-stamping method for real-time sweat glucose analysis. Analytica Chimica Acta 1278: 341754.</w:t>
      </w:r>
      <w:r>
        <w:rPr>
          <w:rFonts w:ascii="Times New Roman" w:hAnsi="Times New Roman" w:cs="Times New Roman"/>
          <w:kern w:val="0"/>
          <w:szCs w:val="20"/>
        </w:rPr>
        <w:t xml:space="preserve"> </w:t>
      </w:r>
      <w:hyperlink r:id="rId27" w:history="1">
        <w:r>
          <w:rPr>
            <w:rStyle w:val="af1"/>
            <w:rFonts w:ascii="Times New Roman" w:hAnsi="Times New Roman" w:cs="Times New Roman"/>
            <w:szCs w:val="20"/>
          </w:rPr>
          <w:t>http://dx.doi.org/10.1016/j.aca.2023.341754</w:t>
        </w:r>
      </w:hyperlink>
    </w:p>
    <w:p w14:paraId="6CB4BEFF" w14:textId="77777777" w:rsidR="008138E7" w:rsidRDefault="008138E7">
      <w:pPr>
        <w:pStyle w:val="EndNoteBibliography"/>
        <w:ind w:left="500" w:hangingChars="250" w:hanging="500"/>
        <w:rPr>
          <w:rFonts w:ascii="Times New Roman" w:hAnsi="Times New Roman" w:cs="Times New Roman"/>
          <w:szCs w:val="20"/>
        </w:rPr>
      </w:pPr>
    </w:p>
    <w:p w14:paraId="6D1039D7" w14:textId="5D9D93DE" w:rsidR="008138E7" w:rsidRDefault="004D0086">
      <w:pPr>
        <w:ind w:left="500" w:hangingChars="250" w:hanging="5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8138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87AD9"/>
    <w:multiLevelType w:val="multilevel"/>
    <w:tmpl w:val="18787AD9"/>
    <w:lvl w:ilvl="0">
      <w:start w:val="1"/>
      <w:numFmt w:val="decimal"/>
      <w:pStyle w:val="EndNoteBibliographyTitle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819031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Std GBT7714 (numeric)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svpzte2jtd90me2tt0pd9wf2etwwsx2r2ff&quot;&gt;My EndNote Library&lt;record-ids&gt;&lt;item&gt;56&lt;/item&gt;&lt;item&gt;57&lt;/item&gt;&lt;item&gt;58&lt;/item&gt;&lt;item&gt;59&lt;/item&gt;&lt;item&gt;60&lt;/item&gt;&lt;item&gt;62&lt;/item&gt;&lt;item&gt;63&lt;/item&gt;&lt;item&gt;64&lt;/item&gt;&lt;/record-ids&gt;&lt;/item&gt;&lt;/Libraries&gt;"/>
  </w:docVars>
  <w:rsids>
    <w:rsidRoot w:val="00E60EA5"/>
    <w:rsid w:val="00000477"/>
    <w:rsid w:val="00005997"/>
    <w:rsid w:val="000264E5"/>
    <w:rsid w:val="0003249C"/>
    <w:rsid w:val="00055C1E"/>
    <w:rsid w:val="0006329C"/>
    <w:rsid w:val="000804F2"/>
    <w:rsid w:val="00085B10"/>
    <w:rsid w:val="000A002F"/>
    <w:rsid w:val="000C0EEF"/>
    <w:rsid w:val="000C1682"/>
    <w:rsid w:val="000C7F52"/>
    <w:rsid w:val="000D0ECA"/>
    <w:rsid w:val="000D709D"/>
    <w:rsid w:val="000E106E"/>
    <w:rsid w:val="00100482"/>
    <w:rsid w:val="001123CD"/>
    <w:rsid w:val="0012222F"/>
    <w:rsid w:val="00122F20"/>
    <w:rsid w:val="0012455C"/>
    <w:rsid w:val="0013127A"/>
    <w:rsid w:val="00134E02"/>
    <w:rsid w:val="00137231"/>
    <w:rsid w:val="00137ED4"/>
    <w:rsid w:val="00140745"/>
    <w:rsid w:val="001439AA"/>
    <w:rsid w:val="0014544B"/>
    <w:rsid w:val="001556F8"/>
    <w:rsid w:val="00161AAF"/>
    <w:rsid w:val="00172F96"/>
    <w:rsid w:val="001916AD"/>
    <w:rsid w:val="001B2758"/>
    <w:rsid w:val="001C6D22"/>
    <w:rsid w:val="001C7CEC"/>
    <w:rsid w:val="001E1B83"/>
    <w:rsid w:val="001E50E1"/>
    <w:rsid w:val="0021490C"/>
    <w:rsid w:val="00216A15"/>
    <w:rsid w:val="0023293A"/>
    <w:rsid w:val="00235BCF"/>
    <w:rsid w:val="002421F3"/>
    <w:rsid w:val="0025746F"/>
    <w:rsid w:val="00271088"/>
    <w:rsid w:val="002933B1"/>
    <w:rsid w:val="00297127"/>
    <w:rsid w:val="002A2A14"/>
    <w:rsid w:val="002B5C49"/>
    <w:rsid w:val="002D0BC8"/>
    <w:rsid w:val="002D421C"/>
    <w:rsid w:val="002E0033"/>
    <w:rsid w:val="002E7FA0"/>
    <w:rsid w:val="00316A1D"/>
    <w:rsid w:val="0038401C"/>
    <w:rsid w:val="0039794C"/>
    <w:rsid w:val="003A0F4D"/>
    <w:rsid w:val="003C2BF8"/>
    <w:rsid w:val="003D5790"/>
    <w:rsid w:val="003E1C44"/>
    <w:rsid w:val="004025E8"/>
    <w:rsid w:val="00424221"/>
    <w:rsid w:val="00446999"/>
    <w:rsid w:val="00454F98"/>
    <w:rsid w:val="00465DD2"/>
    <w:rsid w:val="00490C95"/>
    <w:rsid w:val="004A29DB"/>
    <w:rsid w:val="004D0086"/>
    <w:rsid w:val="004D139B"/>
    <w:rsid w:val="004D1BF4"/>
    <w:rsid w:val="004F16BA"/>
    <w:rsid w:val="00514E08"/>
    <w:rsid w:val="00516778"/>
    <w:rsid w:val="00552260"/>
    <w:rsid w:val="0055529B"/>
    <w:rsid w:val="00576950"/>
    <w:rsid w:val="00577477"/>
    <w:rsid w:val="005839B0"/>
    <w:rsid w:val="00596DB0"/>
    <w:rsid w:val="005C3E84"/>
    <w:rsid w:val="005D10AA"/>
    <w:rsid w:val="005D5F39"/>
    <w:rsid w:val="005D7260"/>
    <w:rsid w:val="005E5699"/>
    <w:rsid w:val="005E6F05"/>
    <w:rsid w:val="005F5708"/>
    <w:rsid w:val="00624FB6"/>
    <w:rsid w:val="0065128B"/>
    <w:rsid w:val="00657410"/>
    <w:rsid w:val="006877CB"/>
    <w:rsid w:val="00691F2E"/>
    <w:rsid w:val="006C0DA7"/>
    <w:rsid w:val="006E452A"/>
    <w:rsid w:val="00713BC4"/>
    <w:rsid w:val="0071422D"/>
    <w:rsid w:val="00714CA9"/>
    <w:rsid w:val="00721713"/>
    <w:rsid w:val="00743224"/>
    <w:rsid w:val="007552B2"/>
    <w:rsid w:val="00756A61"/>
    <w:rsid w:val="00757768"/>
    <w:rsid w:val="00785C61"/>
    <w:rsid w:val="007C6436"/>
    <w:rsid w:val="007D0436"/>
    <w:rsid w:val="007D331B"/>
    <w:rsid w:val="007D6E14"/>
    <w:rsid w:val="008138E7"/>
    <w:rsid w:val="00832971"/>
    <w:rsid w:val="008407EF"/>
    <w:rsid w:val="00846481"/>
    <w:rsid w:val="0085160C"/>
    <w:rsid w:val="008646B0"/>
    <w:rsid w:val="00883285"/>
    <w:rsid w:val="00885A5A"/>
    <w:rsid w:val="008B005D"/>
    <w:rsid w:val="008B20D7"/>
    <w:rsid w:val="008D0F85"/>
    <w:rsid w:val="008D62A0"/>
    <w:rsid w:val="008E0924"/>
    <w:rsid w:val="0090685C"/>
    <w:rsid w:val="00912383"/>
    <w:rsid w:val="00913322"/>
    <w:rsid w:val="00916518"/>
    <w:rsid w:val="0093363F"/>
    <w:rsid w:val="00933BF7"/>
    <w:rsid w:val="009456B0"/>
    <w:rsid w:val="00947C9C"/>
    <w:rsid w:val="009509B8"/>
    <w:rsid w:val="00957B41"/>
    <w:rsid w:val="009733A7"/>
    <w:rsid w:val="009735C7"/>
    <w:rsid w:val="009A16BD"/>
    <w:rsid w:val="009A71A5"/>
    <w:rsid w:val="009B3734"/>
    <w:rsid w:val="009D7280"/>
    <w:rsid w:val="009D7844"/>
    <w:rsid w:val="009E2D3E"/>
    <w:rsid w:val="00A11DE4"/>
    <w:rsid w:val="00A22C49"/>
    <w:rsid w:val="00A610CD"/>
    <w:rsid w:val="00A67208"/>
    <w:rsid w:val="00A832DE"/>
    <w:rsid w:val="00A9390C"/>
    <w:rsid w:val="00AB39AB"/>
    <w:rsid w:val="00AB5E13"/>
    <w:rsid w:val="00AD79B4"/>
    <w:rsid w:val="00AE7A7B"/>
    <w:rsid w:val="00B05914"/>
    <w:rsid w:val="00B06F98"/>
    <w:rsid w:val="00B137AA"/>
    <w:rsid w:val="00B13DCA"/>
    <w:rsid w:val="00B35567"/>
    <w:rsid w:val="00B61FE7"/>
    <w:rsid w:val="00B67B87"/>
    <w:rsid w:val="00B71D80"/>
    <w:rsid w:val="00B84432"/>
    <w:rsid w:val="00BB1D4F"/>
    <w:rsid w:val="00BB44EA"/>
    <w:rsid w:val="00BC1386"/>
    <w:rsid w:val="00BC2A80"/>
    <w:rsid w:val="00BE4307"/>
    <w:rsid w:val="00BE462B"/>
    <w:rsid w:val="00BF52EE"/>
    <w:rsid w:val="00C1649D"/>
    <w:rsid w:val="00C209EF"/>
    <w:rsid w:val="00C27816"/>
    <w:rsid w:val="00C31B9A"/>
    <w:rsid w:val="00C3514A"/>
    <w:rsid w:val="00C47859"/>
    <w:rsid w:val="00C53571"/>
    <w:rsid w:val="00C56604"/>
    <w:rsid w:val="00C56E98"/>
    <w:rsid w:val="00C65539"/>
    <w:rsid w:val="00C71615"/>
    <w:rsid w:val="00C95BD0"/>
    <w:rsid w:val="00CB020F"/>
    <w:rsid w:val="00CB3371"/>
    <w:rsid w:val="00CF0ED9"/>
    <w:rsid w:val="00CF3EBD"/>
    <w:rsid w:val="00CF5889"/>
    <w:rsid w:val="00D15F41"/>
    <w:rsid w:val="00D16332"/>
    <w:rsid w:val="00D5406E"/>
    <w:rsid w:val="00D63260"/>
    <w:rsid w:val="00D66E53"/>
    <w:rsid w:val="00D92127"/>
    <w:rsid w:val="00DB12B8"/>
    <w:rsid w:val="00DB6CFE"/>
    <w:rsid w:val="00DC1F33"/>
    <w:rsid w:val="00DE1F69"/>
    <w:rsid w:val="00E21AD7"/>
    <w:rsid w:val="00E22FDC"/>
    <w:rsid w:val="00E4759C"/>
    <w:rsid w:val="00E54EFE"/>
    <w:rsid w:val="00E60EA5"/>
    <w:rsid w:val="00E72DAC"/>
    <w:rsid w:val="00E8275E"/>
    <w:rsid w:val="00EA016B"/>
    <w:rsid w:val="00F02687"/>
    <w:rsid w:val="00F372E0"/>
    <w:rsid w:val="00F40B46"/>
    <w:rsid w:val="00F740E4"/>
    <w:rsid w:val="00F81A17"/>
    <w:rsid w:val="00F84B2A"/>
    <w:rsid w:val="00F95570"/>
    <w:rsid w:val="00FA001D"/>
    <w:rsid w:val="00FA1B3B"/>
    <w:rsid w:val="00FA6B14"/>
    <w:rsid w:val="00FD6C15"/>
    <w:rsid w:val="00FD6C17"/>
    <w:rsid w:val="00FE4182"/>
    <w:rsid w:val="13056694"/>
    <w:rsid w:val="19B70E69"/>
    <w:rsid w:val="241E5CD3"/>
    <w:rsid w:val="3C073099"/>
    <w:rsid w:val="6888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39651E2"/>
  <w14:defaultImageDpi w14:val="32767"/>
  <w15:docId w15:val="{13764532-971F-4F66-B542-264C094D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d">
    <w:name w:val="Title"/>
    <w:basedOn w:val="a"/>
    <w:next w:val="a"/>
    <w:link w:val="ae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annotation subject"/>
    <w:basedOn w:val="a3"/>
    <w:next w:val="a3"/>
    <w:link w:val="af0"/>
    <w:uiPriority w:val="99"/>
    <w:semiHidden/>
    <w:unhideWhenUsed/>
    <w:qFormat/>
    <w:rPr>
      <w:b/>
      <w:bCs/>
    </w:rPr>
  </w:style>
  <w:style w:type="character" w:styleId="af1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qFormat/>
    <w:rPr>
      <w:sz w:val="21"/>
      <w:szCs w:val="21"/>
    </w:rPr>
  </w:style>
  <w:style w:type="table" w:customStyle="1" w:styleId="af3">
    <w:name w:val="三线表"/>
    <w:basedOn w:val="a1"/>
    <w:uiPriority w:val="99"/>
    <w:qFormat/>
    <w:tblPr/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e">
    <w:name w:val="标题 字符"/>
    <w:basedOn w:val="a0"/>
    <w:link w:val="ad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副标题 字符"/>
    <w:basedOn w:val="a0"/>
    <w:link w:val="ab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4">
    <w:name w:val="Quote"/>
    <w:basedOn w:val="a"/>
    <w:next w:val="a"/>
    <w:link w:val="af5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5">
    <w:name w:val="引用 字符"/>
    <w:basedOn w:val="a0"/>
    <w:link w:val="af4"/>
    <w:uiPriority w:val="29"/>
    <w:qFormat/>
    <w:rPr>
      <w:i/>
      <w:iCs/>
      <w:color w:val="404040" w:themeColor="text1" w:themeTint="BF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7">
    <w:name w:val="Intense Quote"/>
    <w:basedOn w:val="a"/>
    <w:next w:val="a"/>
    <w:link w:val="af8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8">
    <w:name w:val="明显引用 字符"/>
    <w:basedOn w:val="a0"/>
    <w:link w:val="af7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f0">
    <w:name w:val="批注主题 字符"/>
    <w:basedOn w:val="a4"/>
    <w:link w:val="af"/>
    <w:uiPriority w:val="99"/>
    <w:semiHidden/>
    <w:qFormat/>
    <w:rPr>
      <w:b/>
      <w:bCs/>
    </w:rPr>
  </w:style>
  <w:style w:type="paragraph" w:customStyle="1" w:styleId="13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customStyle="1" w:styleId="EndNoteBibliographyTitle">
    <w:name w:val="EndNote Bibliography Title"/>
    <w:basedOn w:val="a"/>
    <w:link w:val="EndNoteBibliographyTitle0"/>
    <w:qFormat/>
    <w:pPr>
      <w:numPr>
        <w:numId w:val="1"/>
      </w:numPr>
      <w:jc w:val="center"/>
    </w:pPr>
    <w:rPr>
      <w:rFonts w:ascii="等线" w:eastAsia="Times New Roman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等线" w:eastAsia="Times New Roman" w:hAnsi="等线"/>
      <w:sz w:val="20"/>
    </w:rPr>
  </w:style>
  <w:style w:type="paragraph" w:customStyle="1" w:styleId="EndNoteBibliography">
    <w:name w:val="EndNote Bibliography"/>
    <w:basedOn w:val="a"/>
    <w:link w:val="EndNoteBibliography0"/>
    <w:qFormat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等线" w:eastAsia="等线" w:hAnsi="等线"/>
      <w:sz w:val="20"/>
    </w:rPr>
  </w:style>
  <w:style w:type="character" w:customStyle="1" w:styleId="14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hyperlink" Target="http://dx.doi.org/10.1016/j.electacta.2019.13462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x.doi.org/10.1016/j.bios.2019.03.064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5" Type="http://schemas.openxmlformats.org/officeDocument/2006/relationships/hyperlink" Target="http://dx.doi.org/10.1016/j.jelechem.2012.08.028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dx.doi.org/10.1016/j.cej.2024.149795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dx.doi.org/10.1016/j.snb.2020.128811" TargetMode="External"/><Relationship Id="rId5" Type="http://schemas.openxmlformats.org/officeDocument/2006/relationships/image" Target="media/image1.jpg"/><Relationship Id="rId15" Type="http://schemas.microsoft.com/office/2007/relationships/hdphoto" Target="media/hdphoto1.wdp"/><Relationship Id="rId23" Type="http://schemas.openxmlformats.org/officeDocument/2006/relationships/hyperlink" Target="http://dx.doi.org/10.1016/j.snb.2021.130688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hyperlink" Target="http://dx.doi.org/10.1016/j.jelechem.2015.12.039" TargetMode="External"/><Relationship Id="rId27" Type="http://schemas.openxmlformats.org/officeDocument/2006/relationships/hyperlink" Target="http://dx.doi.org/10.1016/j.aca.2023.341754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777</Words>
  <Characters>14884</Characters>
  <Application>Microsoft Office Word</Application>
  <DocSecurity>0</DocSecurity>
  <Lines>595</Lines>
  <Paragraphs>372</Paragraphs>
  <ScaleCrop>false</ScaleCrop>
  <Company/>
  <LinksUpToDate>false</LinksUpToDate>
  <CharactersWithSpaces>15289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洁 邓</dc:creator>
  <cp:lastModifiedBy>洁 邓</cp:lastModifiedBy>
  <cp:revision>26</cp:revision>
  <dcterms:created xsi:type="dcterms:W3CDTF">2025-07-13T14:10:00Z</dcterms:created>
  <dcterms:modified xsi:type="dcterms:W3CDTF">2025-08-09T05:47:00Z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eyJoZGlkIjoiYTZmYTMyOWVjZTdkZGRiMzIyNjNhMzQ5ZDBhZjhjNDMiLCJ1c2VySWQiOiI1ODk1MjIxMjgifQ==</vt:lpwstr>
  </property>
  <property fmtid="{D5CDD505-2E9C-101B-9397-08002B2CF9AE}" pid="3" name="KSOProductBuildVer">
    <vt:lpwstr>2052-12.1.0.21915</vt:lpwstr>
  </property>
  <property fmtid="{D5CDD505-2E9C-101B-9397-08002B2CF9AE}" pid="4" name="ICV">
    <vt:lpwstr>1A67C5CBD4C64DB09B7184D7DAC219EE_13</vt:lpwstr>
  </property>
</Properties>
</file>