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2676C">
      <w:pPr>
        <w:rPr>
          <w:rFonts w:hint="default" w:ascii="Arial" w:hAnsi="Arial" w:cs="Arial" w:eastAsiaTheme="minorEastAsia"/>
          <w:b/>
          <w:kern w:val="2"/>
          <w:sz w:val="20"/>
          <w:szCs w:val="16"/>
          <w:lang w:val="en-US" w:eastAsia="zh-CN" w:bidi="ar-SA"/>
        </w:rPr>
      </w:pPr>
      <w:bookmarkStart w:id="0" w:name="_GoBack"/>
      <w:r>
        <w:rPr>
          <w:rFonts w:hint="default" w:ascii="Arial" w:hAnsi="Arial" w:cs="Arial" w:eastAsiaTheme="minorEastAsia"/>
          <w:b/>
          <w:kern w:val="2"/>
          <w:sz w:val="20"/>
          <w:szCs w:val="16"/>
          <w:lang w:val="en-US" w:eastAsia="zh-CN" w:bidi="ar-SA"/>
        </w:rPr>
        <w:t>Nursing quality supervision feedback environment needs assessment questionnaire</w:t>
      </w:r>
    </w:p>
    <w:p w14:paraId="15151D8B">
      <w:pPr>
        <w:rPr>
          <w:rFonts w:hint="default" w:ascii="Arial" w:hAnsi="Arial" w:cs="Arial" w:eastAsiaTheme="minorEastAsia"/>
          <w:b w:val="0"/>
          <w:bCs/>
          <w:kern w:val="2"/>
          <w:sz w:val="20"/>
          <w:szCs w:val="16"/>
          <w:lang w:val="en-US" w:eastAsia="zh-CN" w:bidi="ar-SA"/>
        </w:rPr>
      </w:pPr>
    </w:p>
    <w:p w14:paraId="157B5C34">
      <w:pPr>
        <w:rPr>
          <w:rFonts w:hint="default" w:ascii="Arial" w:hAnsi="Arial" w:cs="Arial" w:eastAsiaTheme="minorEastAsia"/>
          <w:b w:val="0"/>
          <w:bCs/>
          <w:kern w:val="2"/>
          <w:sz w:val="20"/>
          <w:szCs w:val="16"/>
          <w:lang w:val="en-US" w:eastAsia="zh-CN" w:bidi="ar-SA"/>
        </w:rPr>
      </w:pPr>
      <w:r>
        <w:rPr>
          <w:rFonts w:hint="default" w:ascii="Arial" w:hAnsi="Arial" w:cs="Arial" w:eastAsiaTheme="minorEastAsia"/>
          <w:b w:val="0"/>
          <w:bCs/>
          <w:kern w:val="2"/>
          <w:sz w:val="20"/>
          <w:szCs w:val="16"/>
          <w:lang w:val="en-US" w:eastAsia="zh-CN" w:bidi="ar-SA"/>
        </w:rPr>
        <w:t xml:space="preserve">Dear Head Nurses, </w:t>
      </w:r>
    </w:p>
    <w:p w14:paraId="1BD498B2">
      <w:pPr>
        <w:rPr>
          <w:rFonts w:hint="default" w:ascii="Arial" w:hAnsi="Arial" w:cs="Arial" w:eastAsiaTheme="minorEastAsia"/>
          <w:b w:val="0"/>
          <w:bCs/>
          <w:kern w:val="2"/>
          <w:sz w:val="20"/>
          <w:szCs w:val="16"/>
          <w:lang w:val="en-US" w:eastAsia="zh-CN" w:bidi="ar-SA"/>
        </w:rPr>
      </w:pPr>
    </w:p>
    <w:p w14:paraId="2450C85F">
      <w:pPr>
        <w:rPr>
          <w:rFonts w:hint="eastAsia" w:ascii="Arial" w:hAnsi="Arial" w:cs="Arial"/>
          <w:b w:val="0"/>
          <w:bCs/>
          <w:kern w:val="2"/>
          <w:sz w:val="20"/>
          <w:szCs w:val="16"/>
          <w:lang w:val="en-US" w:eastAsia="zh-CN" w:bidi="ar-SA"/>
        </w:rPr>
      </w:pPr>
      <w:r>
        <w:rPr>
          <w:rFonts w:hint="default" w:ascii="Arial" w:hAnsi="Arial" w:cs="Arial" w:eastAsiaTheme="minorEastAsia"/>
          <w:b w:val="0"/>
          <w:bCs/>
          <w:kern w:val="2"/>
          <w:sz w:val="20"/>
          <w:szCs w:val="16"/>
          <w:lang w:val="en-US" w:eastAsia="zh-CN" w:bidi="ar-SA"/>
        </w:rPr>
        <w:t>we are now standardizing the feedback environment for nursing quality inspections. Through preliminary literature analysis and semi-structured interviews, we have identified four core elements: feedback sources, information content, communication methods, and request mechanisms, with detailed specifications for each component. As head nurses serve dual roles as both inspectors and feedback providers during routine quality checks, we aim to assess their agreement levels regarding these requirements. "Completion and submission of this questionnaire shall be deemed as i</w:t>
      </w:r>
      <w:bookmarkEnd w:id="0"/>
      <w:r>
        <w:rPr>
          <w:rFonts w:hint="default" w:ascii="Arial" w:hAnsi="Arial" w:cs="Arial" w:eastAsiaTheme="minorEastAsia"/>
          <w:b w:val="0"/>
          <w:bCs/>
          <w:kern w:val="2"/>
          <w:sz w:val="20"/>
          <w:szCs w:val="16"/>
          <w:lang w:val="en-US" w:eastAsia="zh-CN" w:bidi="ar-SA"/>
        </w:rPr>
        <w:t>nformed consent"</w:t>
      </w:r>
      <w:r>
        <w:rPr>
          <w:rFonts w:hint="eastAsia" w:ascii="Arial" w:hAnsi="Arial" w:cs="Arial"/>
          <w:b w:val="0"/>
          <w:bCs/>
          <w:kern w:val="2"/>
          <w:sz w:val="20"/>
          <w:szCs w:val="16"/>
          <w:lang w:val="en-US" w:eastAsia="zh-CN" w:bidi="ar-SA"/>
        </w:rPr>
        <w:t>.</w:t>
      </w:r>
    </w:p>
    <w:p w14:paraId="583EA306">
      <w:pPr>
        <w:rPr>
          <w:rFonts w:hint="default" w:ascii="Arial" w:hAnsi="Arial" w:eastAsia="宋体" w:cs="Arial"/>
          <w:b w:val="0"/>
          <w:bCs/>
          <w:kern w:val="2"/>
          <w:sz w:val="20"/>
          <w:szCs w:val="16"/>
          <w:lang w:val="en-US" w:eastAsia="zh-CN" w:bidi="ar-SA"/>
        </w:rPr>
      </w:pPr>
      <w:r>
        <w:rPr>
          <w:rFonts w:hint="default" w:ascii="Arial" w:hAnsi="Arial" w:eastAsia="宋体" w:cs="Arial"/>
          <w:sz w:val="20"/>
          <w:szCs w:val="20"/>
        </w:rPr>
        <w:t>Contact number: 1</w:t>
      </w:r>
      <w:r>
        <w:rPr>
          <w:rFonts w:hint="eastAsia" w:ascii="Arial" w:hAnsi="Arial" w:eastAsia="宋体" w:cs="Arial"/>
          <w:sz w:val="20"/>
          <w:szCs w:val="20"/>
          <w:lang w:val="en-US" w:eastAsia="zh-CN"/>
        </w:rPr>
        <w:t>5703410025.</w:t>
      </w:r>
    </w:p>
    <w:p w14:paraId="1B631DC3">
      <w:pPr>
        <w:rPr>
          <w:rFonts w:hint="default" w:ascii="Arial" w:hAnsi="Arial" w:eastAsia="宋体" w:cs="Arial"/>
          <w:sz w:val="20"/>
          <w:szCs w:val="20"/>
        </w:rPr>
      </w:pPr>
    </w:p>
    <w:p w14:paraId="6D71AF30">
      <w:pPr>
        <w:rPr>
          <w:rFonts w:hint="default" w:ascii="Arial" w:hAnsi="Arial" w:cs="Arial" w:eastAsiaTheme="minorEastAsia"/>
          <w:b/>
          <w:kern w:val="2"/>
          <w:sz w:val="20"/>
          <w:szCs w:val="16"/>
          <w:lang w:val="en-US" w:eastAsia="zh-CN" w:bidi="ar-SA"/>
        </w:rPr>
      </w:pPr>
      <w:r>
        <w:rPr>
          <w:rFonts w:hint="default" w:ascii="Arial" w:hAnsi="Arial" w:eastAsia="宋体" w:cs="Arial"/>
          <w:b/>
          <w:bCs/>
          <w:sz w:val="20"/>
          <w:szCs w:val="20"/>
        </w:rPr>
        <w:t>Part I: General information</w:t>
      </w:r>
    </w:p>
    <w:tbl>
      <w:tblPr>
        <w:tblStyle w:val="4"/>
        <w:tblW w:w="5000" w:type="pct"/>
        <w:tblInd w:w="0" w:type="dxa"/>
        <w:tblLayout w:type="autofit"/>
        <w:tblCellMar>
          <w:top w:w="0" w:type="dxa"/>
          <w:left w:w="108" w:type="dxa"/>
          <w:bottom w:w="0" w:type="dxa"/>
          <w:right w:w="108" w:type="dxa"/>
        </w:tblCellMar>
      </w:tblPr>
      <w:tblGrid>
        <w:gridCol w:w="8522"/>
      </w:tblGrid>
      <w:tr w14:paraId="1225FDD6">
        <w:tblPrEx>
          <w:tblCellMar>
            <w:top w:w="0" w:type="dxa"/>
            <w:left w:w="108" w:type="dxa"/>
            <w:bottom w:w="0" w:type="dxa"/>
            <w:right w:w="108" w:type="dxa"/>
          </w:tblCellMar>
        </w:tblPrEx>
        <w:trPr>
          <w:trHeight w:val="432" w:hRule="atLeast"/>
        </w:trPr>
        <w:tc>
          <w:tcPr>
            <w:tcW w:w="5000" w:type="pct"/>
            <w:tcBorders>
              <w:top w:val="single" w:color="auto" w:sz="12" w:space="0"/>
              <w:left w:val="nil"/>
              <w:bottom w:val="single" w:color="auto" w:sz="6" w:space="0"/>
              <w:right w:val="nil"/>
            </w:tcBorders>
            <w:vAlign w:val="center"/>
          </w:tcPr>
          <w:p w14:paraId="595F8A45">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Item</w:t>
            </w:r>
          </w:p>
        </w:tc>
      </w:tr>
      <w:tr w14:paraId="461741C6">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5687C871">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Gender</w:t>
            </w:r>
          </w:p>
        </w:tc>
      </w:tr>
      <w:tr w14:paraId="25F9CEA2">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05432B17">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Male</w:t>
            </w:r>
          </w:p>
        </w:tc>
      </w:tr>
      <w:tr w14:paraId="0879E072">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7B78E408">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Female</w:t>
            </w:r>
          </w:p>
        </w:tc>
      </w:tr>
      <w:tr w14:paraId="07329F8D">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16F22906">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Age(years)</w:t>
            </w:r>
          </w:p>
        </w:tc>
      </w:tr>
      <w:tr w14:paraId="7FBBEF85">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3C1F9620">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≤29</w:t>
            </w:r>
          </w:p>
        </w:tc>
      </w:tr>
      <w:tr w14:paraId="44A2BA02">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67E0BCA5">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30~39</w:t>
            </w:r>
          </w:p>
        </w:tc>
      </w:tr>
      <w:tr w14:paraId="78A78A37">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31C6B0A0">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40~49</w:t>
            </w:r>
          </w:p>
        </w:tc>
      </w:tr>
      <w:tr w14:paraId="529F760F">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4E6E649A">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≥50</w:t>
            </w:r>
          </w:p>
        </w:tc>
      </w:tr>
      <w:tr w14:paraId="49A9777D">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7882847A">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Educational background</w:t>
            </w:r>
          </w:p>
        </w:tc>
      </w:tr>
      <w:tr w14:paraId="131FC0F1">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0559E0F6">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Associate degree</w:t>
            </w:r>
          </w:p>
        </w:tc>
      </w:tr>
      <w:tr w14:paraId="0C4A5A4B">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4439A482">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Bachelor degree</w:t>
            </w:r>
          </w:p>
        </w:tc>
      </w:tr>
      <w:tr w14:paraId="70BADE99">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1B76B35C">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i/>
                <w:iCs/>
                <w:sz w:val="20"/>
                <w:szCs w:val="20"/>
              </w:rPr>
            </w:pPr>
            <w:r>
              <w:rPr>
                <w:rFonts w:hint="default" w:ascii="Arial" w:hAnsi="Arial" w:cs="Arial"/>
                <w:sz w:val="20"/>
                <w:szCs w:val="20"/>
              </w:rPr>
              <w:t>Master degree or above</w:t>
            </w:r>
          </w:p>
        </w:tc>
      </w:tr>
      <w:tr w14:paraId="7076F4C2">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78B858A8">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Professional Title</w:t>
            </w:r>
          </w:p>
        </w:tc>
      </w:tr>
      <w:tr w14:paraId="2AD92E8F">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1E98A872">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Registered Nurse</w:t>
            </w:r>
          </w:p>
        </w:tc>
      </w:tr>
      <w:tr w14:paraId="3E6DF2D3">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68DBFEAF">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Senior Staff Nurse</w:t>
            </w:r>
          </w:p>
        </w:tc>
      </w:tr>
      <w:tr w14:paraId="08E5E283">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1B09700E">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Nurse-in-Charge</w:t>
            </w:r>
          </w:p>
        </w:tc>
      </w:tr>
      <w:tr w14:paraId="7A29F3B2">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762F66D2">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Associate Chief Nurse</w:t>
            </w:r>
          </w:p>
        </w:tc>
      </w:tr>
      <w:tr w14:paraId="72BCC708">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3676DBAA">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Chief Nurse</w:t>
            </w:r>
          </w:p>
        </w:tc>
      </w:tr>
      <w:tr w14:paraId="7B8E4EBB">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4F2C8274">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Years of Management Experience</w:t>
            </w:r>
          </w:p>
        </w:tc>
      </w:tr>
      <w:tr w14:paraId="466E990F">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1D6F679A">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≤9</w:t>
            </w:r>
          </w:p>
        </w:tc>
      </w:tr>
      <w:tr w14:paraId="21730906">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1BF29C9C">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10~19</w:t>
            </w:r>
          </w:p>
        </w:tc>
      </w:tr>
      <w:tr w14:paraId="5DAC88E5">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552DE5B3">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20~29</w:t>
            </w:r>
          </w:p>
        </w:tc>
      </w:tr>
      <w:tr w14:paraId="50642448">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3F0CB233">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≥30</w:t>
            </w:r>
          </w:p>
        </w:tc>
      </w:tr>
      <w:tr w14:paraId="7696DEAF">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78814412">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Hospital grade</w:t>
            </w:r>
          </w:p>
        </w:tc>
      </w:tr>
      <w:tr w14:paraId="075332E4">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vAlign w:val="bottom"/>
          </w:tcPr>
          <w:p w14:paraId="2621921B">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Tertiary Grade A</w:t>
            </w:r>
          </w:p>
        </w:tc>
      </w:tr>
      <w:tr w14:paraId="4CC18C90">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vAlign w:val="bottom"/>
          </w:tcPr>
          <w:p w14:paraId="1F8EA0AF">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Tertiary Grade B</w:t>
            </w:r>
          </w:p>
        </w:tc>
      </w:tr>
      <w:tr w14:paraId="3791F8D8">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vAlign w:val="bottom"/>
          </w:tcPr>
          <w:p w14:paraId="788C6484">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Secondary Grade A</w:t>
            </w:r>
          </w:p>
        </w:tc>
      </w:tr>
      <w:tr w14:paraId="09CF97B1">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vAlign w:val="bottom"/>
          </w:tcPr>
          <w:p w14:paraId="49E0AE86">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Secondary Grade B</w:t>
            </w:r>
          </w:p>
        </w:tc>
      </w:tr>
      <w:tr w14:paraId="44A0CBC4">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3E1351E0">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Whether they had received training related to quality issue feedback</w:t>
            </w:r>
          </w:p>
        </w:tc>
      </w:tr>
      <w:tr w14:paraId="78B623B9">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67B5F172">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Yes</w:t>
            </w:r>
          </w:p>
        </w:tc>
      </w:tr>
      <w:tr w14:paraId="2BDE5CED">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7E857A13">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No</w:t>
            </w:r>
          </w:p>
        </w:tc>
      </w:tr>
      <w:tr w14:paraId="0F303D05">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noWrap/>
          </w:tcPr>
          <w:p w14:paraId="1E0E57CB">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The frequency of receiving supervision feedback results</w:t>
            </w:r>
          </w:p>
        </w:tc>
      </w:tr>
      <w:tr w14:paraId="3EE82A5B">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shd w:val="clear" w:color="auto" w:fill="auto"/>
            <w:noWrap/>
            <w:vAlign w:val="bottom"/>
          </w:tcPr>
          <w:p w14:paraId="48A1AB21">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color w:val="262626"/>
                <w:sz w:val="20"/>
                <w:szCs w:val="20"/>
              </w:rPr>
            </w:pPr>
            <w:r>
              <w:rPr>
                <w:rFonts w:hint="default" w:ascii="Arial" w:hAnsi="Arial" w:cs="Arial"/>
                <w:color w:val="262626"/>
                <w:sz w:val="20"/>
                <w:szCs w:val="20"/>
              </w:rPr>
              <w:t>Real-time feedback reception</w:t>
            </w:r>
          </w:p>
        </w:tc>
      </w:tr>
      <w:tr w14:paraId="1DD2991F">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shd w:val="clear" w:color="auto" w:fill="auto"/>
            <w:noWrap/>
            <w:vAlign w:val="bottom"/>
          </w:tcPr>
          <w:p w14:paraId="6BADBAB3">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color w:val="262626"/>
                <w:sz w:val="20"/>
                <w:szCs w:val="20"/>
              </w:rPr>
            </w:pPr>
            <w:r>
              <w:rPr>
                <w:rFonts w:hint="default" w:ascii="Arial" w:hAnsi="Arial" w:cs="Arial"/>
                <w:color w:val="262626"/>
                <w:sz w:val="20"/>
                <w:szCs w:val="20"/>
              </w:rPr>
              <w:t>Daily feedback reception</w:t>
            </w:r>
          </w:p>
        </w:tc>
      </w:tr>
      <w:tr w14:paraId="230FD71E">
        <w:tblPrEx>
          <w:tblCellMar>
            <w:top w:w="0" w:type="dxa"/>
            <w:left w:w="108" w:type="dxa"/>
            <w:bottom w:w="0" w:type="dxa"/>
            <w:right w:w="108" w:type="dxa"/>
          </w:tblCellMar>
        </w:tblPrEx>
        <w:trPr>
          <w:trHeight w:val="240" w:hRule="atLeast"/>
        </w:trPr>
        <w:tc>
          <w:tcPr>
            <w:tcW w:w="5000" w:type="pct"/>
            <w:tcBorders>
              <w:top w:val="nil"/>
              <w:left w:val="nil"/>
              <w:bottom w:val="nil"/>
              <w:right w:val="nil"/>
            </w:tcBorders>
            <w:shd w:val="clear" w:color="auto" w:fill="auto"/>
            <w:noWrap/>
            <w:vAlign w:val="bottom"/>
          </w:tcPr>
          <w:p w14:paraId="334900EC">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color w:val="262626"/>
                <w:sz w:val="20"/>
                <w:szCs w:val="20"/>
              </w:rPr>
            </w:pPr>
            <w:r>
              <w:rPr>
                <w:rFonts w:hint="default" w:ascii="Arial" w:hAnsi="Arial" w:cs="Arial"/>
                <w:color w:val="262626"/>
                <w:sz w:val="20"/>
                <w:szCs w:val="20"/>
              </w:rPr>
              <w:t>Weekly feedback reception</w:t>
            </w:r>
          </w:p>
        </w:tc>
      </w:tr>
      <w:tr w14:paraId="57F70CB1">
        <w:tblPrEx>
          <w:tblCellMar>
            <w:top w:w="0" w:type="dxa"/>
            <w:left w:w="108" w:type="dxa"/>
            <w:bottom w:w="0" w:type="dxa"/>
            <w:right w:w="108" w:type="dxa"/>
          </w:tblCellMar>
        </w:tblPrEx>
        <w:trPr>
          <w:trHeight w:val="240" w:hRule="atLeast"/>
        </w:trPr>
        <w:tc>
          <w:tcPr>
            <w:tcW w:w="5000" w:type="pct"/>
            <w:tcBorders>
              <w:top w:val="nil"/>
              <w:left w:val="nil"/>
              <w:right w:val="nil"/>
            </w:tcBorders>
            <w:shd w:val="clear" w:color="auto" w:fill="auto"/>
            <w:noWrap/>
            <w:vAlign w:val="bottom"/>
          </w:tcPr>
          <w:p w14:paraId="13409B04">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color w:val="262626"/>
                <w:sz w:val="20"/>
                <w:szCs w:val="20"/>
              </w:rPr>
            </w:pPr>
            <w:r>
              <w:rPr>
                <w:rFonts w:hint="default" w:ascii="Arial" w:hAnsi="Arial" w:cs="Arial"/>
                <w:color w:val="262626"/>
                <w:sz w:val="20"/>
                <w:szCs w:val="20"/>
              </w:rPr>
              <w:t>Biweekly feedback reception</w:t>
            </w:r>
          </w:p>
        </w:tc>
      </w:tr>
      <w:tr w14:paraId="4F7F8738">
        <w:tblPrEx>
          <w:tblCellMar>
            <w:top w:w="0" w:type="dxa"/>
            <w:left w:w="108" w:type="dxa"/>
            <w:bottom w:w="0" w:type="dxa"/>
            <w:right w:w="108" w:type="dxa"/>
          </w:tblCellMar>
        </w:tblPrEx>
        <w:trPr>
          <w:trHeight w:val="240" w:hRule="atLeast"/>
        </w:trPr>
        <w:tc>
          <w:tcPr>
            <w:tcW w:w="5000" w:type="pct"/>
            <w:tcBorders>
              <w:top w:val="nil"/>
              <w:left w:val="nil"/>
              <w:right w:val="nil"/>
            </w:tcBorders>
            <w:shd w:val="clear" w:color="auto" w:fill="auto"/>
            <w:noWrap/>
            <w:vAlign w:val="bottom"/>
          </w:tcPr>
          <w:p w14:paraId="048969A0">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color w:val="262626"/>
                <w:sz w:val="20"/>
                <w:szCs w:val="20"/>
              </w:rPr>
            </w:pPr>
            <w:r>
              <w:rPr>
                <w:rFonts w:hint="default" w:ascii="Arial" w:hAnsi="Arial" w:cs="Arial"/>
                <w:color w:val="262626"/>
                <w:sz w:val="20"/>
                <w:szCs w:val="20"/>
              </w:rPr>
              <w:t>Monthly feedback reception</w:t>
            </w:r>
          </w:p>
        </w:tc>
      </w:tr>
      <w:tr w14:paraId="50659839">
        <w:tblPrEx>
          <w:tblCellMar>
            <w:top w:w="0" w:type="dxa"/>
            <w:left w:w="108" w:type="dxa"/>
            <w:bottom w:w="0" w:type="dxa"/>
            <w:right w:w="108" w:type="dxa"/>
          </w:tblCellMar>
        </w:tblPrEx>
        <w:trPr>
          <w:trHeight w:val="240" w:hRule="atLeast"/>
        </w:trPr>
        <w:tc>
          <w:tcPr>
            <w:tcW w:w="5000" w:type="pct"/>
            <w:tcBorders>
              <w:left w:val="nil"/>
              <w:right w:val="nil"/>
            </w:tcBorders>
            <w:noWrap/>
            <w:vAlign w:val="bottom"/>
          </w:tcPr>
          <w:p w14:paraId="30966E8B">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color w:val="262626"/>
                <w:sz w:val="20"/>
                <w:szCs w:val="20"/>
              </w:rPr>
            </w:pPr>
            <w:r>
              <w:rPr>
                <w:rFonts w:hint="default" w:ascii="Arial" w:hAnsi="Arial" w:cs="Arial"/>
                <w:color w:val="262626"/>
                <w:sz w:val="20"/>
                <w:szCs w:val="20"/>
              </w:rPr>
              <w:t>Quarterly feedback reception</w:t>
            </w:r>
          </w:p>
        </w:tc>
      </w:tr>
      <w:tr w14:paraId="7B70F253">
        <w:tblPrEx>
          <w:tblCellMar>
            <w:top w:w="0" w:type="dxa"/>
            <w:left w:w="108" w:type="dxa"/>
            <w:bottom w:w="0" w:type="dxa"/>
            <w:right w:w="108" w:type="dxa"/>
          </w:tblCellMar>
        </w:tblPrEx>
        <w:trPr>
          <w:trHeight w:val="240" w:hRule="atLeast"/>
        </w:trPr>
        <w:tc>
          <w:tcPr>
            <w:tcW w:w="5000" w:type="pct"/>
            <w:tcBorders>
              <w:left w:val="nil"/>
              <w:bottom w:val="single" w:color="auto" w:sz="12" w:space="0"/>
              <w:right w:val="nil"/>
            </w:tcBorders>
            <w:noWrap/>
            <w:vAlign w:val="bottom"/>
          </w:tcPr>
          <w:p w14:paraId="1336AB36">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color w:val="262626"/>
                <w:sz w:val="20"/>
                <w:szCs w:val="20"/>
              </w:rPr>
            </w:pPr>
            <w:r>
              <w:rPr>
                <w:rFonts w:hint="default" w:ascii="Arial" w:hAnsi="Arial" w:cs="Arial"/>
                <w:color w:val="262626"/>
                <w:sz w:val="20"/>
                <w:szCs w:val="20"/>
              </w:rPr>
              <w:t>Else</w:t>
            </w:r>
          </w:p>
        </w:tc>
      </w:tr>
    </w:tbl>
    <w:p w14:paraId="249C1230">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eastAsia="宋体" w:cs="Arial"/>
          <w:b/>
          <w:bCs/>
          <w:sz w:val="20"/>
          <w:szCs w:val="20"/>
        </w:rPr>
        <w:t>Part II:</w:t>
      </w:r>
      <w:r>
        <w:rPr>
          <w:rFonts w:hint="eastAsia" w:ascii="Arial" w:hAnsi="Arial" w:eastAsia="宋体" w:cs="Arial"/>
          <w:b/>
          <w:bCs/>
          <w:sz w:val="20"/>
          <w:szCs w:val="20"/>
          <w:lang w:val="en-US" w:eastAsia="zh-CN"/>
        </w:rPr>
        <w:t xml:space="preserve"> </w:t>
      </w:r>
      <w:r>
        <w:rPr>
          <w:rFonts w:hint="default" w:ascii="Arial" w:hAnsi="Arial" w:eastAsia="宋体" w:cs="Arial"/>
          <w:b/>
          <w:bCs/>
          <w:sz w:val="20"/>
          <w:szCs w:val="20"/>
        </w:rPr>
        <w:t>Content and requirements of core elements</w:t>
      </w:r>
      <w:r>
        <w:rPr>
          <w:rFonts w:hint="eastAsia" w:ascii="Arial" w:hAnsi="Arial" w:eastAsia="宋体" w:cs="Arial"/>
          <w:b/>
          <w:bCs/>
          <w:sz w:val="20"/>
          <w:szCs w:val="20"/>
          <w:lang w:val="en-US" w:eastAsia="zh-CN"/>
        </w:rPr>
        <w:t>.</w:t>
      </w:r>
      <w:r>
        <w:rPr>
          <w:rFonts w:hint="default" w:ascii="Arial" w:hAnsi="Arial" w:cs="Arial"/>
          <w:sz w:val="20"/>
          <w:szCs w:val="20"/>
        </w:rPr>
        <w:t xml:space="preserve"> </w:t>
      </w:r>
    </w:p>
    <w:p w14:paraId="1E48AE35">
      <w:pPr>
        <w:keepNext w:val="0"/>
        <w:keepLines w:val="0"/>
        <w:pageBreakBefore w:val="0"/>
        <w:kinsoku/>
        <w:wordWrap/>
        <w:overflowPunct/>
        <w:topLinePunct w:val="0"/>
        <w:autoSpaceDE/>
        <w:autoSpaceDN/>
        <w:bidi w:val="0"/>
        <w:adjustRightInd/>
        <w:snapToGrid/>
        <w:spacing w:line="480" w:lineRule="auto"/>
        <w:jc w:val="both"/>
        <w:rPr>
          <w:rFonts w:hint="eastAsia" w:ascii="Arial" w:hAnsi="Arial" w:eastAsia="宋体" w:cs="Arial"/>
          <w:b/>
          <w:bCs/>
          <w:sz w:val="20"/>
          <w:szCs w:val="20"/>
          <w:lang w:val="en-US" w:eastAsia="zh-CN"/>
        </w:rPr>
      </w:pPr>
      <w:r>
        <w:rPr>
          <w:rFonts w:hint="eastAsia" w:ascii="Arial" w:hAnsi="Arial" w:cs="Arial"/>
          <w:sz w:val="20"/>
          <w:szCs w:val="20"/>
          <w:lang w:val="en-US" w:eastAsia="zh-CN"/>
        </w:rPr>
        <w:t>Instructions: It includes four dimensions, including feedback source, feedback information, feedback method and feedback seeking, with a total of 18 items. The Likert five-point scale is used for scoring.</w:t>
      </w:r>
    </w:p>
    <w:tbl>
      <w:tblPr>
        <w:tblStyle w:val="4"/>
        <w:tblpPr w:leftFromText="180" w:rightFromText="180" w:vertAnchor="text" w:horzAnchor="page" w:tblpX="1794" w:tblpY="272"/>
        <w:tblOverlap w:val="never"/>
        <w:tblW w:w="5000" w:type="pct"/>
        <w:tblInd w:w="0" w:type="dxa"/>
        <w:tblLayout w:type="autofit"/>
        <w:tblCellMar>
          <w:top w:w="0" w:type="dxa"/>
          <w:left w:w="108" w:type="dxa"/>
          <w:bottom w:w="0" w:type="dxa"/>
          <w:right w:w="108" w:type="dxa"/>
        </w:tblCellMar>
      </w:tblPr>
      <w:tblGrid>
        <w:gridCol w:w="8522"/>
      </w:tblGrid>
      <w:tr w14:paraId="161A07E2">
        <w:tblPrEx>
          <w:tblCellMar>
            <w:top w:w="0" w:type="dxa"/>
            <w:left w:w="108" w:type="dxa"/>
            <w:bottom w:w="0" w:type="dxa"/>
            <w:right w:w="108" w:type="dxa"/>
          </w:tblCellMar>
        </w:tblPrEx>
        <w:tc>
          <w:tcPr>
            <w:tcW w:w="5000" w:type="pct"/>
            <w:tcBorders>
              <w:top w:val="single" w:color="auto" w:sz="12" w:space="0"/>
              <w:left w:val="nil"/>
              <w:bottom w:val="single" w:color="auto" w:sz="6" w:space="0"/>
              <w:right w:val="nil"/>
            </w:tcBorders>
            <w:vAlign w:val="center"/>
          </w:tcPr>
          <w:p w14:paraId="20C51172">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Item</w:t>
            </w:r>
          </w:p>
        </w:tc>
      </w:tr>
      <w:tr w14:paraId="459AA7B1">
        <w:tblPrEx>
          <w:tblCellMar>
            <w:top w:w="0" w:type="dxa"/>
            <w:left w:w="108" w:type="dxa"/>
            <w:bottom w:w="0" w:type="dxa"/>
            <w:right w:w="108" w:type="dxa"/>
          </w:tblCellMar>
        </w:tblPrEx>
        <w:tc>
          <w:tcPr>
            <w:tcW w:w="5000" w:type="pct"/>
            <w:tcBorders>
              <w:top w:val="single" w:color="auto" w:sz="12" w:space="0"/>
              <w:left w:val="nil"/>
              <w:bottom w:val="single" w:color="auto" w:sz="6" w:space="0"/>
              <w:right w:val="nil"/>
            </w:tcBorders>
            <w:vAlign w:val="center"/>
          </w:tcPr>
          <w:p w14:paraId="3EB314E4">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sz w:val="20"/>
                <w:szCs w:val="20"/>
              </w:rPr>
            </w:pPr>
            <w:r>
              <w:rPr>
                <w:rFonts w:hint="default" w:ascii="Arial" w:hAnsi="Arial" w:cs="Arial"/>
                <w:b/>
                <w:bCs/>
                <w:sz w:val="20"/>
                <w:szCs w:val="20"/>
              </w:rPr>
              <w:t>Feedback source dimension</w:t>
            </w:r>
          </w:p>
        </w:tc>
      </w:tr>
      <w:tr w14:paraId="6D843620">
        <w:tblPrEx>
          <w:tblCellMar>
            <w:top w:w="0" w:type="dxa"/>
            <w:left w:w="108" w:type="dxa"/>
            <w:bottom w:w="0" w:type="dxa"/>
            <w:right w:w="108" w:type="dxa"/>
          </w:tblCellMar>
        </w:tblPrEx>
        <w:trPr>
          <w:trHeight w:val="450" w:hRule="atLeast"/>
        </w:trPr>
        <w:tc>
          <w:tcPr>
            <w:tcW w:w="5000" w:type="pct"/>
            <w:tcBorders>
              <w:top w:val="nil"/>
              <w:left w:val="nil"/>
              <w:bottom w:val="nil"/>
              <w:right w:val="nil"/>
            </w:tcBorders>
            <w:vAlign w:val="center"/>
          </w:tcPr>
          <w:p w14:paraId="6FABA28F">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b/>
                <w:bCs/>
                <w:color w:val="000000"/>
                <w:sz w:val="20"/>
                <w:szCs w:val="20"/>
              </w:rPr>
              <w:t>ⅠRequirements for Supervisors:</w:t>
            </w:r>
          </w:p>
        </w:tc>
      </w:tr>
      <w:tr w14:paraId="287D7E0E">
        <w:tblPrEx>
          <w:tblCellMar>
            <w:top w:w="0" w:type="dxa"/>
            <w:left w:w="108" w:type="dxa"/>
            <w:bottom w:w="0" w:type="dxa"/>
            <w:right w:w="108" w:type="dxa"/>
          </w:tblCellMar>
        </w:tblPrEx>
        <w:trPr>
          <w:trHeight w:val="450" w:hRule="atLeast"/>
        </w:trPr>
        <w:tc>
          <w:tcPr>
            <w:tcW w:w="5000" w:type="pct"/>
            <w:tcBorders>
              <w:top w:val="nil"/>
              <w:left w:val="nil"/>
              <w:bottom w:val="nil"/>
              <w:right w:val="nil"/>
            </w:tcBorders>
            <w:vAlign w:val="center"/>
          </w:tcPr>
          <w:p w14:paraId="3B43CBDD">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I-1 Knowledge reserve: Supervisors should have professional knowledge, inspection ideas and methods.</w:t>
            </w:r>
          </w:p>
        </w:tc>
      </w:tr>
      <w:tr w14:paraId="54DCEBEB">
        <w:tblPrEx>
          <w:tblCellMar>
            <w:top w:w="0" w:type="dxa"/>
            <w:left w:w="108" w:type="dxa"/>
            <w:bottom w:w="0" w:type="dxa"/>
            <w:right w:w="108" w:type="dxa"/>
          </w:tblCellMar>
        </w:tblPrEx>
        <w:trPr>
          <w:trHeight w:val="450" w:hRule="atLeast"/>
        </w:trPr>
        <w:tc>
          <w:tcPr>
            <w:tcW w:w="5000" w:type="pct"/>
            <w:tcBorders>
              <w:top w:val="nil"/>
              <w:left w:val="nil"/>
              <w:bottom w:val="nil"/>
              <w:right w:val="nil"/>
            </w:tcBorders>
            <w:vAlign w:val="center"/>
          </w:tcPr>
          <w:p w14:paraId="45E5F2C7">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I-2 Evaluation &amp; Judgment: Supervisors should have the ability to assess innovative content and determine the accuracy of nurses' work.</w:t>
            </w:r>
          </w:p>
        </w:tc>
      </w:tr>
      <w:tr w14:paraId="5A6C19EA">
        <w:tblPrEx>
          <w:tblCellMar>
            <w:top w:w="0" w:type="dxa"/>
            <w:left w:w="108" w:type="dxa"/>
            <w:bottom w:w="0" w:type="dxa"/>
            <w:right w:w="108" w:type="dxa"/>
          </w:tblCellMar>
        </w:tblPrEx>
        <w:trPr>
          <w:trHeight w:val="450" w:hRule="atLeast"/>
        </w:trPr>
        <w:tc>
          <w:tcPr>
            <w:tcW w:w="5000" w:type="pct"/>
            <w:tcBorders>
              <w:top w:val="nil"/>
              <w:left w:val="nil"/>
              <w:bottom w:val="nil"/>
              <w:right w:val="nil"/>
            </w:tcBorders>
            <w:vAlign w:val="center"/>
          </w:tcPr>
          <w:p w14:paraId="665A34A4">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b/>
                <w:bCs/>
                <w:color w:val="000000"/>
                <w:sz w:val="20"/>
                <w:szCs w:val="20"/>
              </w:rPr>
              <w:t>ⅡRequirements for Feedback providers:</w:t>
            </w:r>
          </w:p>
        </w:tc>
      </w:tr>
      <w:tr w14:paraId="563E2B3E">
        <w:tblPrEx>
          <w:tblCellMar>
            <w:top w:w="0" w:type="dxa"/>
            <w:left w:w="108" w:type="dxa"/>
            <w:bottom w:w="0" w:type="dxa"/>
            <w:right w:w="108" w:type="dxa"/>
          </w:tblCellMar>
        </w:tblPrEx>
        <w:trPr>
          <w:trHeight w:val="450" w:hRule="atLeast"/>
        </w:trPr>
        <w:tc>
          <w:tcPr>
            <w:tcW w:w="5000" w:type="pct"/>
            <w:tcBorders>
              <w:top w:val="nil"/>
              <w:left w:val="nil"/>
              <w:bottom w:val="nil"/>
              <w:right w:val="nil"/>
            </w:tcBorders>
            <w:vAlign w:val="center"/>
          </w:tcPr>
          <w:p w14:paraId="63CAA42F">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Ⅱ-1 Classification and integration: Feedback providers should have the ability to classify and integrate feedback information from different channels.</w:t>
            </w:r>
          </w:p>
        </w:tc>
      </w:tr>
      <w:tr w14:paraId="35F07968">
        <w:tblPrEx>
          <w:tblCellMar>
            <w:top w:w="0" w:type="dxa"/>
            <w:left w:w="108" w:type="dxa"/>
            <w:bottom w:w="0" w:type="dxa"/>
            <w:right w:w="108" w:type="dxa"/>
          </w:tblCellMar>
        </w:tblPrEx>
        <w:trPr>
          <w:trHeight w:val="450" w:hRule="atLeast"/>
        </w:trPr>
        <w:tc>
          <w:tcPr>
            <w:tcW w:w="5000" w:type="pct"/>
            <w:tcBorders>
              <w:top w:val="nil"/>
              <w:left w:val="nil"/>
              <w:bottom w:val="nil"/>
              <w:right w:val="nil"/>
            </w:tcBorders>
            <w:vAlign w:val="center"/>
          </w:tcPr>
          <w:p w14:paraId="233C067E">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sz w:val="20"/>
                <w:szCs w:val="20"/>
              </w:rPr>
              <w:t>Ⅱ-2 Clear expression: Feedback providers should have a clear ability to express their questions without ambiguity.</w:t>
            </w:r>
          </w:p>
        </w:tc>
      </w:tr>
      <w:tr w14:paraId="1B6F47E7">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433D08B3">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b/>
                <w:bCs/>
                <w:sz w:val="20"/>
                <w:szCs w:val="20"/>
              </w:rPr>
              <w:t>Feedback information dimension</w:t>
            </w:r>
          </w:p>
        </w:tc>
      </w:tr>
      <w:tr w14:paraId="54D11FA6">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0E6C3C1E">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b/>
                <w:bCs/>
                <w:color w:val="000000"/>
                <w:sz w:val="20"/>
                <w:szCs w:val="20"/>
              </w:rPr>
              <w:t>Ⅲ Requirements for sorting and screening:</w:t>
            </w:r>
            <w:r>
              <w:rPr>
                <w:rStyle w:val="6"/>
                <w:rFonts w:hint="default" w:ascii="Arial" w:hAnsi="Arial" w:cs="Arial"/>
                <w:sz w:val="20"/>
                <w:szCs w:val="20"/>
              </w:rPr>
              <w:t>：</w:t>
            </w:r>
          </w:p>
        </w:tc>
      </w:tr>
      <w:tr w14:paraId="6A96D2CE">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794B42AA">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color w:val="000000"/>
                <w:sz w:val="20"/>
                <w:szCs w:val="20"/>
              </w:rPr>
              <w:t>Ⅲ</w:t>
            </w:r>
            <w:r>
              <w:rPr>
                <w:rStyle w:val="7"/>
                <w:rFonts w:hint="default" w:ascii="Arial" w:hAnsi="Arial" w:cs="Arial"/>
                <w:sz w:val="20"/>
                <w:szCs w:val="20"/>
              </w:rPr>
              <w:t>-1 Focus on key points: Feedback providers should have the ability to sift through a large number of feedback information to select key and representative information.</w:t>
            </w:r>
          </w:p>
        </w:tc>
      </w:tr>
      <w:tr w14:paraId="78478F42">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2D54CDD9">
            <w:pPr>
              <w:keepNext w:val="0"/>
              <w:keepLines w:val="0"/>
              <w:pageBreakBefore w:val="0"/>
              <w:kinsoku/>
              <w:wordWrap/>
              <w:overflowPunct/>
              <w:topLinePunct w:val="0"/>
              <w:autoSpaceDE/>
              <w:autoSpaceDN/>
              <w:bidi w:val="0"/>
              <w:adjustRightInd/>
              <w:snapToGrid/>
              <w:spacing w:line="480" w:lineRule="auto"/>
              <w:jc w:val="both"/>
              <w:rPr>
                <w:rFonts w:hint="default" w:ascii="Arial" w:hAnsi="Arial" w:eastAsia="宋体" w:cs="Arial"/>
                <w:sz w:val="20"/>
                <w:szCs w:val="20"/>
              </w:rPr>
            </w:pPr>
            <w:r>
              <w:rPr>
                <w:rFonts w:hint="default" w:ascii="Arial" w:hAnsi="Arial" w:cs="Arial"/>
                <w:color w:val="000000"/>
                <w:sz w:val="20"/>
                <w:szCs w:val="20"/>
              </w:rPr>
              <w:t>Ⅲ</w:t>
            </w:r>
            <w:r>
              <w:rPr>
                <w:rStyle w:val="7"/>
                <w:rFonts w:hint="default" w:ascii="Arial" w:hAnsi="Arial" w:cs="Arial"/>
                <w:sz w:val="20"/>
                <w:szCs w:val="20"/>
              </w:rPr>
              <w:t xml:space="preserve">-2 </w:t>
            </w:r>
            <w:r>
              <w:rPr>
                <w:rStyle w:val="8"/>
                <w:rFonts w:hint="default" w:ascii="Arial" w:hAnsi="Arial" w:cs="Arial"/>
                <w:sz w:val="20"/>
                <w:szCs w:val="20"/>
              </w:rPr>
              <w:t>Integration and refinement: Feedback providers should be able to summarize fragmented questions, eliminate duplication and unimportant content.</w:t>
            </w:r>
          </w:p>
        </w:tc>
      </w:tr>
      <w:tr w14:paraId="34AF092A">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1AC44F7F">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sz w:val="20"/>
                <w:szCs w:val="20"/>
              </w:rPr>
            </w:pPr>
            <w:r>
              <w:rPr>
                <w:rFonts w:hint="default" w:ascii="Arial" w:hAnsi="Arial" w:cs="Arial"/>
                <w:b/>
                <w:bCs/>
                <w:color w:val="000000"/>
                <w:sz w:val="20"/>
                <w:szCs w:val="20"/>
              </w:rPr>
              <w:t xml:space="preserve">Ⅳ </w:t>
            </w:r>
            <w:r>
              <w:rPr>
                <w:rStyle w:val="6"/>
                <w:rFonts w:hint="default" w:ascii="Arial" w:hAnsi="Arial" w:cs="Arial"/>
                <w:sz w:val="20"/>
                <w:szCs w:val="20"/>
              </w:rPr>
              <w:t>Requirements for describing strategies:</w:t>
            </w:r>
          </w:p>
        </w:tc>
      </w:tr>
      <w:tr w14:paraId="7671FEAD">
        <w:tblPrEx>
          <w:tblCellMar>
            <w:top w:w="0" w:type="dxa"/>
            <w:left w:w="108" w:type="dxa"/>
            <w:bottom w:w="0" w:type="dxa"/>
            <w:right w:w="108" w:type="dxa"/>
          </w:tblCellMar>
        </w:tblPrEx>
        <w:trPr>
          <w:trHeight w:val="90" w:hRule="atLeast"/>
        </w:trPr>
        <w:tc>
          <w:tcPr>
            <w:tcW w:w="5000" w:type="pct"/>
            <w:tcBorders>
              <w:top w:val="single" w:color="auto" w:sz="6" w:space="0"/>
              <w:left w:val="nil"/>
              <w:bottom w:val="single" w:color="auto" w:sz="6" w:space="0"/>
              <w:right w:val="nil"/>
            </w:tcBorders>
            <w:vAlign w:val="center"/>
          </w:tcPr>
          <w:p w14:paraId="7D392AF6">
            <w:pPr>
              <w:keepNext w:val="0"/>
              <w:keepLines w:val="0"/>
              <w:pageBreakBefore w:val="0"/>
              <w:kinsoku/>
              <w:wordWrap/>
              <w:overflowPunct/>
              <w:topLinePunct w:val="0"/>
              <w:autoSpaceDE/>
              <w:autoSpaceDN/>
              <w:bidi w:val="0"/>
              <w:adjustRightInd/>
              <w:snapToGrid/>
              <w:spacing w:line="480" w:lineRule="auto"/>
              <w:jc w:val="both"/>
              <w:rPr>
                <w:rFonts w:hint="default" w:ascii="Arial" w:hAnsi="Arial" w:eastAsia="宋体" w:cs="Arial"/>
                <w:b/>
                <w:bCs/>
                <w:color w:val="000000"/>
                <w:sz w:val="20"/>
                <w:szCs w:val="20"/>
              </w:rPr>
            </w:pPr>
            <w:r>
              <w:rPr>
                <w:rFonts w:hint="default" w:ascii="Arial" w:hAnsi="Arial" w:cs="Arial"/>
                <w:color w:val="000000"/>
                <w:sz w:val="20"/>
                <w:szCs w:val="20"/>
              </w:rPr>
              <w:t xml:space="preserve">Ⅳ-1 </w:t>
            </w:r>
            <w:r>
              <w:rPr>
                <w:rStyle w:val="8"/>
                <w:rFonts w:hint="default" w:ascii="Arial" w:hAnsi="Arial" w:cs="Arial"/>
                <w:sz w:val="20"/>
                <w:szCs w:val="20"/>
              </w:rPr>
              <w:t>The feedbacker's description of feedback information should be structured.</w:t>
            </w:r>
          </w:p>
        </w:tc>
      </w:tr>
      <w:tr w14:paraId="56FFAC1E">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45A66369">
            <w:pPr>
              <w:keepNext w:val="0"/>
              <w:keepLines w:val="0"/>
              <w:pageBreakBefore w:val="0"/>
              <w:kinsoku/>
              <w:wordWrap/>
              <w:overflowPunct/>
              <w:topLinePunct w:val="0"/>
              <w:autoSpaceDE/>
              <w:autoSpaceDN/>
              <w:bidi w:val="0"/>
              <w:adjustRightInd/>
              <w:snapToGrid/>
              <w:spacing w:line="480" w:lineRule="auto"/>
              <w:jc w:val="both"/>
              <w:rPr>
                <w:rFonts w:hint="default" w:ascii="Arial" w:hAnsi="Arial" w:eastAsia="宋体" w:cs="Arial"/>
                <w:b/>
                <w:bCs/>
                <w:color w:val="000000"/>
                <w:sz w:val="20"/>
                <w:szCs w:val="20"/>
              </w:rPr>
            </w:pPr>
            <w:r>
              <w:rPr>
                <w:rFonts w:hint="default" w:ascii="Arial" w:hAnsi="Arial" w:cs="Arial"/>
                <w:color w:val="000000"/>
                <w:sz w:val="20"/>
                <w:szCs w:val="20"/>
              </w:rPr>
              <w:t>Ⅳ-2 The feedbacker's description of feedback information should be multimodal.</w:t>
            </w:r>
          </w:p>
        </w:tc>
      </w:tr>
      <w:tr w14:paraId="228D6896">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4312F328">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color w:val="000000"/>
                <w:sz w:val="20"/>
                <w:szCs w:val="20"/>
              </w:rPr>
            </w:pPr>
            <w:r>
              <w:rPr>
                <w:rFonts w:hint="default" w:ascii="Arial" w:hAnsi="Arial" w:cs="Arial"/>
                <w:b/>
                <w:bCs/>
                <w:sz w:val="20"/>
                <w:szCs w:val="20"/>
              </w:rPr>
              <w:t>Feedback method dimension</w:t>
            </w:r>
          </w:p>
        </w:tc>
      </w:tr>
      <w:tr w14:paraId="5B1194A6">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2891E03F">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b/>
                <w:bCs/>
                <w:color w:val="000000"/>
                <w:kern w:val="0"/>
                <w:sz w:val="20"/>
                <w:szCs w:val="20"/>
                <w:lang w:bidi="ar"/>
              </w:rPr>
              <w:t>ⅤRequirements for attitude and behavior:</w:t>
            </w:r>
          </w:p>
        </w:tc>
      </w:tr>
      <w:tr w14:paraId="00074557">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6B5D3007">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color w:val="000000"/>
                <w:kern w:val="0"/>
                <w:sz w:val="20"/>
                <w:szCs w:val="20"/>
                <w:lang w:bidi="ar"/>
              </w:rPr>
              <w:t xml:space="preserve">Ⅴ-1 Fairness: </w:t>
            </w:r>
            <w:r>
              <w:rPr>
                <w:rFonts w:hint="default" w:ascii="Arial" w:hAnsi="Arial" w:cs="Arial"/>
                <w:color w:val="000000"/>
                <w:sz w:val="20"/>
                <w:szCs w:val="20"/>
              </w:rPr>
              <w:t>Feedback providers should treat all feedback recipients equally, without bias or discrimination.</w:t>
            </w:r>
          </w:p>
        </w:tc>
      </w:tr>
      <w:tr w14:paraId="6F0BC90E">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58729013">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color w:val="000000"/>
                <w:kern w:val="0"/>
                <w:sz w:val="20"/>
                <w:szCs w:val="20"/>
                <w:lang w:bidi="ar"/>
              </w:rPr>
              <w:t>Ⅴ-2 Respect: Feedback providers should uphold the dignity of all recipients, avoiding belittling, blaming, or public shaming.</w:t>
            </w:r>
          </w:p>
        </w:tc>
      </w:tr>
      <w:tr w14:paraId="0B3EE4BA">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7949E445">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color w:val="000000"/>
                <w:kern w:val="0"/>
                <w:sz w:val="20"/>
                <w:szCs w:val="20"/>
                <w:lang w:bidi="ar"/>
              </w:rPr>
              <w:t>Ⅴ-3 Guidance: Feedback providers should offer concrete improvement suggestions to recipients, rather than merely pointing out problems.</w:t>
            </w:r>
          </w:p>
        </w:tc>
      </w:tr>
      <w:tr w14:paraId="61C90193">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1882FA85">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b/>
                <w:bCs/>
                <w:color w:val="000000"/>
                <w:kern w:val="0"/>
                <w:sz w:val="20"/>
                <w:szCs w:val="20"/>
                <w:lang w:bidi="ar"/>
              </w:rPr>
              <w:t>Ⅵ Feedback methods should be adjusted according to objectives：</w:t>
            </w:r>
          </w:p>
        </w:tc>
      </w:tr>
      <w:tr w14:paraId="7BD257E0">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7C3ECC44">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color w:val="000000"/>
                <w:kern w:val="0"/>
                <w:sz w:val="20"/>
                <w:szCs w:val="20"/>
                <w:lang w:bidi="ar"/>
              </w:rPr>
              <w:t>Ⅵ-1 Appropriate frequency: Feedback frequency should vary based on the stage of the target (e.g., high frequency for urgent improvements, low frequency for long-term monitoring)</w:t>
            </w:r>
          </w:p>
        </w:tc>
      </w:tr>
      <w:tr w14:paraId="23E8B823">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2C7ADD0B">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color w:val="000000"/>
                <w:kern w:val="0"/>
                <w:sz w:val="20"/>
                <w:szCs w:val="20"/>
                <w:lang w:bidi="ar"/>
              </w:rPr>
              <w:t>Ⅵ--2 Feedback valence (positive/negative) : Feedback valence (positive/negative) should differ according to the stage of the target (criticism should include corrective guidance, and praise should not be given indiscriminately).</w:t>
            </w:r>
          </w:p>
        </w:tc>
      </w:tr>
      <w:tr w14:paraId="7E71B40A">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129FE47B">
            <w:pPr>
              <w:keepNext w:val="0"/>
              <w:keepLines w:val="0"/>
              <w:pageBreakBefore w:val="0"/>
              <w:kinsoku/>
              <w:wordWrap/>
              <w:overflowPunct/>
              <w:topLinePunct w:val="0"/>
              <w:autoSpaceDE/>
              <w:autoSpaceDN/>
              <w:bidi w:val="0"/>
              <w:adjustRightInd/>
              <w:snapToGrid/>
              <w:spacing w:line="480" w:lineRule="auto"/>
              <w:jc w:val="both"/>
              <w:rPr>
                <w:rFonts w:hint="default" w:ascii="Arial" w:hAnsi="Arial" w:cs="Arial"/>
                <w:b/>
                <w:bCs/>
                <w:color w:val="000000"/>
                <w:sz w:val="20"/>
                <w:szCs w:val="20"/>
              </w:rPr>
            </w:pPr>
            <w:r>
              <w:rPr>
                <w:rFonts w:hint="default" w:ascii="Arial" w:hAnsi="Arial" w:cs="Arial"/>
                <w:b/>
                <w:bCs/>
                <w:sz w:val="20"/>
                <w:szCs w:val="20"/>
              </w:rPr>
              <w:t>Feedback seeking dimension</w:t>
            </w:r>
          </w:p>
        </w:tc>
      </w:tr>
      <w:tr w14:paraId="02778719">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549DB948">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b/>
                <w:bCs/>
                <w:color w:val="000000"/>
                <w:kern w:val="0"/>
                <w:sz w:val="20"/>
                <w:szCs w:val="20"/>
                <w:lang w:bidi="ar"/>
              </w:rPr>
              <w:t>Ⅶ Requirements for Feedback Channels：</w:t>
            </w:r>
          </w:p>
        </w:tc>
      </w:tr>
      <w:tr w14:paraId="2F0CFF41">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07569860">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eastAsia="宋体" w:cs="Arial"/>
                <w:b/>
                <w:bCs/>
                <w:color w:val="000000"/>
                <w:sz w:val="20"/>
                <w:szCs w:val="20"/>
              </w:rPr>
            </w:pPr>
            <w:r>
              <w:rPr>
                <w:rFonts w:hint="default" w:ascii="Arial" w:hAnsi="Arial" w:eastAsia="宋体" w:cs="Arial"/>
                <w:color w:val="000000"/>
                <w:kern w:val="0"/>
                <w:sz w:val="20"/>
                <w:szCs w:val="20"/>
                <w:lang w:bidi="ar"/>
              </w:rPr>
              <w:t>Ⅶ-1 Observation &amp; Inquiry: Supervisees may seek feedback through direct inquiry or indirect observation based on actual situations.</w:t>
            </w:r>
          </w:p>
        </w:tc>
      </w:tr>
      <w:tr w14:paraId="1121A8DB">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672AB6F4">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color w:val="000000"/>
                <w:kern w:val="0"/>
                <w:sz w:val="20"/>
                <w:szCs w:val="20"/>
                <w:lang w:bidi="ar"/>
              </w:rPr>
              <w:t>Ⅶ-2 Clarity &amp; Accessibility: Clear feedback-seeking channels should be established to assist supervisees in obtaining feedback.</w:t>
            </w:r>
          </w:p>
        </w:tc>
      </w:tr>
      <w:tr w14:paraId="7D7F3DF6">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51C03DF8">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b/>
                <w:bCs/>
                <w:color w:val="000000"/>
                <w:kern w:val="0"/>
                <w:sz w:val="20"/>
                <w:szCs w:val="20"/>
                <w:lang w:bidi="ar"/>
              </w:rPr>
              <w:t>Ⅷ Requirements for Knowledge Translation：</w:t>
            </w:r>
          </w:p>
        </w:tc>
      </w:tr>
      <w:tr w14:paraId="149E29C3">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5DA4CEED">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color w:val="000000"/>
                <w:kern w:val="0"/>
                <w:sz w:val="20"/>
                <w:szCs w:val="20"/>
                <w:lang w:bidi="ar"/>
              </w:rPr>
              <w:t>Ⅷ-1 Broad Collection: Comprehensively gather feedback information (input) to prepare for systematization.</w:t>
            </w:r>
          </w:p>
        </w:tc>
      </w:tr>
      <w:tr w14:paraId="03058B66">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6" w:space="0"/>
              <w:right w:val="nil"/>
            </w:tcBorders>
            <w:vAlign w:val="center"/>
          </w:tcPr>
          <w:p w14:paraId="25894827">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color w:val="000000"/>
                <w:kern w:val="0"/>
                <w:sz w:val="20"/>
                <w:szCs w:val="20"/>
                <w:lang w:bidi="ar"/>
              </w:rPr>
              <w:t>Ⅷ-2 Systematization: Scientifically integrate knowledge (processing) to form a systematic structure.</w:t>
            </w:r>
          </w:p>
        </w:tc>
      </w:tr>
      <w:tr w14:paraId="429A4B0A">
        <w:tblPrEx>
          <w:tblCellMar>
            <w:top w:w="0" w:type="dxa"/>
            <w:left w:w="108" w:type="dxa"/>
            <w:bottom w:w="0" w:type="dxa"/>
            <w:right w:w="108" w:type="dxa"/>
          </w:tblCellMar>
        </w:tblPrEx>
        <w:trPr>
          <w:trHeight w:val="450" w:hRule="atLeast"/>
        </w:trPr>
        <w:tc>
          <w:tcPr>
            <w:tcW w:w="5000" w:type="pct"/>
            <w:tcBorders>
              <w:top w:val="single" w:color="auto" w:sz="6" w:space="0"/>
              <w:left w:val="nil"/>
              <w:bottom w:val="single" w:color="auto" w:sz="12" w:space="0"/>
              <w:right w:val="nil"/>
            </w:tcBorders>
            <w:vAlign w:val="center"/>
          </w:tcPr>
          <w:p w14:paraId="796EEF94">
            <w:pPr>
              <w:keepNext w:val="0"/>
              <w:keepLines w:val="0"/>
              <w:pageBreakBefore w:val="0"/>
              <w:widowControl/>
              <w:kinsoku/>
              <w:wordWrap/>
              <w:overflowPunct/>
              <w:topLinePunct w:val="0"/>
              <w:autoSpaceDE/>
              <w:autoSpaceDN/>
              <w:bidi w:val="0"/>
              <w:adjustRightInd/>
              <w:snapToGrid/>
              <w:spacing w:line="480" w:lineRule="auto"/>
              <w:jc w:val="both"/>
              <w:textAlignment w:val="center"/>
              <w:rPr>
                <w:rFonts w:hint="default" w:ascii="Arial" w:hAnsi="Arial" w:cs="Arial"/>
                <w:b/>
                <w:bCs/>
                <w:color w:val="000000"/>
                <w:sz w:val="20"/>
                <w:szCs w:val="20"/>
              </w:rPr>
            </w:pPr>
            <w:r>
              <w:rPr>
                <w:rFonts w:hint="default" w:ascii="Arial" w:hAnsi="Arial" w:eastAsia="宋体" w:cs="Arial"/>
                <w:color w:val="000000"/>
                <w:kern w:val="0"/>
                <w:sz w:val="20"/>
                <w:szCs w:val="20"/>
                <w:lang w:bidi="ar"/>
              </w:rPr>
              <w:t>Ⅷ-3 Replicability: Consolidate knowledge into shareable resources (output) to facilitate dissemination and replication</w:t>
            </w:r>
          </w:p>
        </w:tc>
      </w:tr>
    </w:tbl>
    <w:p w14:paraId="5AB0A036">
      <w:pPr>
        <w:rPr>
          <w:rFonts w:hint="default" w:ascii="Arial" w:hAnsi="Arial" w:eastAsia="宋体" w:cs="Arial"/>
          <w:b/>
          <w:bCs/>
          <w:sz w:val="20"/>
          <w:szCs w:val="20"/>
          <w:lang w:val="en-US" w:eastAsia="zh-CN"/>
        </w:rPr>
      </w:pPr>
      <w:r>
        <w:rPr>
          <w:rFonts w:hint="default" w:ascii="Arial" w:hAnsi="Arial" w:cs="Arial"/>
          <w:color w:val="000000" w:themeColor="text1"/>
          <w:sz w:val="20"/>
          <w:szCs w:val="20"/>
          <w14:textFill>
            <w14:solidFill>
              <w14:schemeClr w14:val="tx1"/>
            </w14:solidFill>
          </w14:textFill>
        </w:rPr>
        <w:t>Thank you again for completing the questionnaire and wish you good health and success in your work!</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744A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616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0BEA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97E8">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470A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8C4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F656A"/>
    <w:rsid w:val="6AB87A25"/>
    <w:rsid w:val="778F6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b/>
      <w:bCs/>
      <w:color w:val="000000"/>
      <w:sz w:val="18"/>
      <w:szCs w:val="18"/>
      <w:u w:val="none"/>
    </w:rPr>
  </w:style>
  <w:style w:type="character" w:customStyle="1" w:styleId="7">
    <w:name w:val="font41"/>
    <w:basedOn w:val="5"/>
    <w:qFormat/>
    <w:uiPriority w:val="0"/>
    <w:rPr>
      <w:rFonts w:hint="default" w:ascii="Times New Roman" w:hAnsi="Times New Roman" w:cs="Times New Roman"/>
      <w:color w:val="000000"/>
      <w:sz w:val="18"/>
      <w:szCs w:val="18"/>
      <w:u w:val="none"/>
    </w:rPr>
  </w:style>
  <w:style w:type="character" w:customStyle="1" w:styleId="8">
    <w:name w:val="font21"/>
    <w:basedOn w:val="5"/>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2025-08-08T03:21:00Z</dcterms:created>
  <dc:creator>依</dc:creator>
  <cp:lastModifiedBy>依</cp:lastModifiedBy>
  <dcterms:modified xsi:type="dcterms:W3CDTF">2025-08-08T03:34:48Z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6381F9A226374D4AB63BC764E74DA019_11</vt:lpwstr>
  </property>
  <property fmtid="{D5CDD505-2E9C-101B-9397-08002B2CF9AE}" pid="4" name="KSOTemplateDocerSaveRecord">
    <vt:lpwstr>eyJoZGlkIjoiMjI1OWI2OWU3NWE1ZGQ1YjJhNzYzNzljYzYwNjk1MTMiLCJ1c2VySWQiOiIzNDYwNzk3NjYifQ==</vt:lpwstr>
  </property>
</Properties>
</file>