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742" w:type="dxa"/>
        <w:tblInd w:w="-387" w:type="dxa"/>
        <w:tblLayout w:type="fixed"/>
        <w:tblLook w:val="04A0" w:firstRow="1" w:lastRow="0" w:firstColumn="1" w:lastColumn="0" w:noHBand="0" w:noVBand="1"/>
      </w:tblPr>
      <w:tblGrid>
        <w:gridCol w:w="2376"/>
        <w:gridCol w:w="3011"/>
        <w:gridCol w:w="2693"/>
        <w:gridCol w:w="6662"/>
      </w:tblGrid>
      <w:tr w:rsidR="00DB162A" w:rsidRPr="008655F3" w:rsidTr="0073346B">
        <w:trPr>
          <w:trHeight w:val="523"/>
        </w:trPr>
        <w:tc>
          <w:tcPr>
            <w:tcW w:w="1474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bookmarkStart w:id="0" w:name="_GoBack" w:colFirst="0" w:colLast="0"/>
            <w:r w:rsidRPr="008655F3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Supplementary Table 1</w:t>
            </w:r>
            <w:r w:rsidRPr="008655F3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>.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Techniques and devices for catheter-based therapy and catheter-directed thrombolysis of </w:t>
            </w:r>
            <w:r w:rsidRPr="008655F3">
              <w:rPr>
                <w:rFonts w:ascii="Times New Roman" w:hAnsi="Times New Roman"/>
                <w:color w:val="000000"/>
                <w:sz w:val="24"/>
                <w:lang w:bidi="ar"/>
              </w:rPr>
              <w:t>Acute Ischemia Patients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.</w:t>
            </w:r>
          </w:p>
        </w:tc>
      </w:tr>
      <w:tr w:rsidR="00DB162A" w:rsidRPr="008655F3" w:rsidTr="0073346B">
        <w:trPr>
          <w:trHeight w:val="280"/>
        </w:trPr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Technique (Type)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Device used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Angiographic thrombus characteristics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Procedural details</w:t>
            </w:r>
          </w:p>
        </w:tc>
      </w:tr>
      <w:tr w:rsidR="00DB162A" w:rsidRPr="008655F3" w:rsidTr="0073346B">
        <w:trPr>
          <w:trHeight w:val="960"/>
        </w:trPr>
        <w:tc>
          <w:tcPr>
            <w:tcW w:w="23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Catheter-directed thrombolysis (CDT)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Uni*fuse catheter (4F);</w:t>
            </w:r>
          </w:p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F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ountain catheter (4F)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Slight, fresh thrombus/emboli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The distal end of the guidewire was placed over the site of the thrombus, a multiple side hole infusion catheter was delivered traversing the occlusion and low-dose alteplase was delivered via the catheter.</w:t>
            </w:r>
          </w:p>
        </w:tc>
      </w:tr>
      <w:tr w:rsidR="00DB162A" w:rsidRPr="008655F3" w:rsidTr="0073346B">
        <w:trPr>
          <w:trHeight w:val="1129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Thrombo-aspiration thrombectomy (CBT)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Guiding catheter (8F), syringe (50 mL)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Massive, fresh thrombus/emboli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An</w:t>
            </w: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 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8F </w:t>
            </w: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guiding catheter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</w:t>
            </w: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combined 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with a regular 50 mL syringe with a detachable hemostatic valve for suction is used to slowly withdraw the clot through the introducer sheath to aspirate it from the vessel.</w:t>
            </w:r>
          </w:p>
        </w:tc>
      </w:tr>
      <w:tr w:rsidR="00DB162A" w:rsidRPr="008655F3" w:rsidTr="0073346B">
        <w:trPr>
          <w:trHeight w:val="532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Microfragmentation thrombectomy (CBT)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R</w:t>
            </w: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otarex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catheter </w:t>
            </w: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(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8F) (Straub Medical,</w:t>
            </w: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 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Switzerland)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Massive, slight older thrombus/emboli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R</w:t>
            </w: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otarex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catheter was introduced over a 0.018-inch guidewire and then advanced across the thrombus segment. The catheter was gently withdrawn and pulled back during aspiration.</w:t>
            </w:r>
          </w:p>
        </w:tc>
      </w:tr>
      <w:tr w:rsidR="00DB162A" w:rsidRPr="008655F3" w:rsidTr="0073346B">
        <w:trPr>
          <w:trHeight w:val="145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Pharmaco-mechanical thrombectomy (CBT)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AngioJet (6F) thrombectomy with </w:t>
            </w: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p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ower </w:t>
            </w: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p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ulse thrombolysis (Boston Scientific, Fremont, CA)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Massive, fresh thrombus/emboli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Care was taken to advance the AngioJet catheter slowly through the thrombosed segment (only in vessels estimated to be greater than 6 mm in diameter). Then, 25 million units of urokinase was delivered under the power pulse model and waiting 30 minutes. The pump unit was active during slow catheter passages (3 mm/s to 5 mm/s) across the thrombus segment in a distal-to-proximal or adverse direction and under fluoroscopic guidance. Individual run times were monitored and kept at less than 20 s.</w:t>
            </w:r>
          </w:p>
        </w:tc>
      </w:tr>
      <w:tr w:rsidR="00DB162A" w:rsidRPr="008655F3" w:rsidTr="0073346B">
        <w:trPr>
          <w:trHeight w:val="508"/>
        </w:trPr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Combined techniques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CBT combined with reduced-dose thrombolysis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Situ thrombus residual or distal embolism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Alteplase 20 mg diluted in 500 ml of 0.9% saline was administered through catheter at an infusion rate of 0.01 mg/kg.h following CDT; the maximum rate was no more than 1.0 mg/h.</w:t>
            </w:r>
          </w:p>
        </w:tc>
      </w:tr>
    </w:tbl>
    <w:bookmarkEnd w:id="0"/>
    <w:p w:rsidR="00DB162A" w:rsidRPr="008655F3" w:rsidRDefault="00DB162A" w:rsidP="00DB162A">
      <w:pPr>
        <w:rPr>
          <w:rFonts w:ascii="Times New Roman" w:hAnsi="Times New Roman"/>
          <w:sz w:val="24"/>
        </w:rPr>
      </w:pPr>
      <w:r w:rsidRPr="008655F3">
        <w:rPr>
          <w:rFonts w:ascii="Times New Roman" w:hAnsi="Times New Roman"/>
          <w:sz w:val="24"/>
        </w:rPr>
        <w:t>CDT = catheter-</w:t>
      </w:r>
      <w:r w:rsidRPr="008655F3">
        <w:rPr>
          <w:rFonts w:ascii="Times New Roman" w:hAnsi="Times New Roman" w:hint="eastAsia"/>
          <w:sz w:val="24"/>
        </w:rPr>
        <w:t>di</w:t>
      </w:r>
      <w:r w:rsidRPr="008655F3">
        <w:rPr>
          <w:rFonts w:ascii="Times New Roman" w:hAnsi="Times New Roman"/>
          <w:sz w:val="24"/>
        </w:rPr>
        <w:t xml:space="preserve">rected thrombolysis, F = </w:t>
      </w:r>
      <w:bookmarkStart w:id="1" w:name="_Hlk41511805"/>
      <w:bookmarkStart w:id="2" w:name="OLE_LINK4"/>
      <w:r w:rsidRPr="008655F3">
        <w:rPr>
          <w:rFonts w:ascii="Times New Roman" w:hAnsi="Times New Roman"/>
          <w:sz w:val="24"/>
        </w:rPr>
        <w:t>French</w:t>
      </w:r>
      <w:bookmarkEnd w:id="1"/>
      <w:bookmarkEnd w:id="2"/>
      <w:r w:rsidRPr="008655F3">
        <w:rPr>
          <w:rFonts w:ascii="Times New Roman" w:hAnsi="Times New Roman"/>
          <w:sz w:val="24"/>
        </w:rPr>
        <w:t xml:space="preserve"> (refers to catheter diameter)</w:t>
      </w:r>
      <w:r w:rsidRPr="008655F3">
        <w:rPr>
          <w:rFonts w:ascii="Times New Roman" w:hAnsi="Times New Roman" w:hint="eastAsia"/>
          <w:sz w:val="24"/>
        </w:rPr>
        <w:t>.</w:t>
      </w:r>
    </w:p>
    <w:p w:rsidR="00DB162A" w:rsidRPr="008655F3" w:rsidRDefault="00DB162A" w:rsidP="00DB162A">
      <w:pPr>
        <w:rPr>
          <w:rFonts w:ascii="Times New Roman" w:hAnsi="Times New Roman"/>
          <w:sz w:val="24"/>
        </w:rPr>
      </w:pPr>
      <w:r w:rsidRPr="008655F3">
        <w:rPr>
          <w:rFonts w:ascii="Times New Roman" w:hAnsi="Times New Roman"/>
          <w:sz w:val="24"/>
        </w:rPr>
        <w:t>This is an identical replica of the table in the 1997 publication by Rutherford et al.,</w:t>
      </w:r>
      <w:r w:rsidRPr="008655F3">
        <w:rPr>
          <w:rFonts w:ascii="Times New Roman" w:hAnsi="Times New Roman"/>
          <w:sz w:val="24"/>
          <w:vertAlign w:val="superscript"/>
        </w:rPr>
        <w:t xml:space="preserve">2 </w:t>
      </w:r>
      <w:r w:rsidRPr="008655F3">
        <w:rPr>
          <w:rFonts w:ascii="Times New Roman" w:hAnsi="Times New Roman"/>
          <w:sz w:val="24"/>
        </w:rPr>
        <w:t>with the exception of the asterisks (*).</w:t>
      </w:r>
    </w:p>
    <w:tbl>
      <w:tblPr>
        <w:tblpPr w:leftFromText="180" w:rightFromText="180" w:vertAnchor="page" w:horzAnchor="page" w:tblpX="1320" w:tblpY="1908"/>
        <w:tblOverlap w:val="never"/>
        <w:tblW w:w="14460" w:type="dxa"/>
        <w:tblLayout w:type="fixed"/>
        <w:tblLook w:val="04A0" w:firstRow="1" w:lastRow="0" w:firstColumn="1" w:lastColumn="0" w:noHBand="0" w:noVBand="1"/>
      </w:tblPr>
      <w:tblGrid>
        <w:gridCol w:w="2326"/>
        <w:gridCol w:w="3934"/>
        <w:gridCol w:w="2990"/>
        <w:gridCol w:w="2381"/>
        <w:gridCol w:w="1371"/>
        <w:gridCol w:w="1458"/>
      </w:tblGrid>
      <w:tr w:rsidR="00DB162A" w:rsidRPr="008655F3" w:rsidTr="0073346B">
        <w:trPr>
          <w:trHeight w:val="382"/>
        </w:trPr>
        <w:tc>
          <w:tcPr>
            <w:tcW w:w="1446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lastRenderedPageBreak/>
              <w:t>Supplementary Table 2</w:t>
            </w:r>
            <w:r w:rsidRPr="008655F3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>.</w:t>
            </w:r>
            <w:r w:rsidRPr="008655F3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R</w:t>
            </w: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ut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herford </w:t>
            </w: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c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ategories of </w:t>
            </w:r>
            <w:r w:rsidRPr="008655F3">
              <w:rPr>
                <w:rFonts w:ascii="Times New Roman" w:hAnsi="Times New Roman"/>
                <w:color w:val="000000"/>
                <w:sz w:val="24"/>
                <w:lang w:bidi="ar"/>
              </w:rPr>
              <w:t>Acute Ischemia Patients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.</w:t>
            </w:r>
          </w:p>
        </w:tc>
      </w:tr>
      <w:tr w:rsidR="00DB162A" w:rsidRPr="008655F3" w:rsidTr="0073346B">
        <w:trPr>
          <w:trHeight w:val="315"/>
        </w:trPr>
        <w:tc>
          <w:tcPr>
            <w:tcW w:w="232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393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Description/prognosis</w:t>
            </w:r>
          </w:p>
        </w:tc>
        <w:tc>
          <w:tcPr>
            <w:tcW w:w="5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Findings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Doppler signal</w:t>
            </w:r>
          </w:p>
        </w:tc>
      </w:tr>
      <w:tr w:rsidR="00DB162A" w:rsidRPr="008655F3" w:rsidTr="0073346B">
        <w:trPr>
          <w:trHeight w:val="315"/>
        </w:trPr>
        <w:tc>
          <w:tcPr>
            <w:tcW w:w="232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93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 w:themeColor="text1"/>
                <w:kern w:val="0"/>
                <w:sz w:val="24"/>
              </w:rPr>
              <w:t>Sensory loss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Muscle weakness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Arterial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Venous</w:t>
            </w:r>
          </w:p>
        </w:tc>
      </w:tr>
      <w:tr w:rsidR="00DB162A" w:rsidRPr="008655F3" w:rsidTr="0073346B">
        <w:trPr>
          <w:trHeight w:val="315"/>
        </w:trPr>
        <w:tc>
          <w:tcPr>
            <w:tcW w:w="23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I. Viable</w:t>
            </w:r>
          </w:p>
        </w:tc>
        <w:tc>
          <w:tcPr>
            <w:tcW w:w="39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Not immediately threatened</w:t>
            </w:r>
          </w:p>
        </w:tc>
        <w:tc>
          <w:tcPr>
            <w:tcW w:w="2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None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None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Audible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Audible</w:t>
            </w:r>
          </w:p>
        </w:tc>
      </w:tr>
      <w:tr w:rsidR="00DB162A" w:rsidRPr="008655F3" w:rsidTr="0073346B">
        <w:trPr>
          <w:trHeight w:val="305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II. Threatened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DB162A" w:rsidRPr="008655F3" w:rsidTr="0073346B">
        <w:trPr>
          <w:trHeight w:val="317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DB162A" w:rsidRPr="008655F3" w:rsidRDefault="00DB162A" w:rsidP="0073346B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a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. Marginally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Salvageable if promptly treated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Minimal (toes) or none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None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Inaudible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Audible</w:t>
            </w:r>
          </w:p>
        </w:tc>
      </w:tr>
      <w:tr w:rsidR="00DB162A" w:rsidRPr="008655F3" w:rsidTr="0073346B">
        <w:trPr>
          <w:trHeight w:val="609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:rsidR="00DB162A" w:rsidRPr="008655F3" w:rsidRDefault="00DB162A" w:rsidP="0073346B">
            <w:pPr>
              <w:widowControl/>
              <w:ind w:firstLineChars="100" w:firstLine="240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b. Immediately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S</w:t>
            </w: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alvageable with immediate revascularization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More than toes, associated with rest pain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Mild, moderate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Inaudible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Audible</w:t>
            </w:r>
          </w:p>
        </w:tc>
      </w:tr>
      <w:tr w:rsidR="00DB162A" w:rsidRPr="008655F3" w:rsidTr="0073346B">
        <w:trPr>
          <w:trHeight w:val="619"/>
        </w:trPr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III. Irreversible</w:t>
            </w:r>
          </w:p>
        </w:tc>
        <w:tc>
          <w:tcPr>
            <w:tcW w:w="3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Major tissue loss or permanent nerve damage inevitable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>Profound, anesthetic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Profound, </w:t>
            </w: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paralysis (rigor)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Inaudible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DB162A" w:rsidRPr="008655F3" w:rsidRDefault="00DB162A" w:rsidP="007334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8655F3">
              <w:rPr>
                <w:rFonts w:ascii="Times New Roman" w:hAnsi="Times New Roman" w:hint="eastAsia"/>
                <w:color w:val="000000"/>
                <w:kern w:val="0"/>
                <w:sz w:val="24"/>
              </w:rPr>
              <w:t>Inaudible</w:t>
            </w:r>
          </w:p>
        </w:tc>
      </w:tr>
    </w:tbl>
    <w:p w:rsidR="00DB162A" w:rsidRPr="00D25413" w:rsidRDefault="00DB162A" w:rsidP="00DB16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55780" w:rsidRDefault="00755780"/>
    <w:sectPr w:rsidR="0075578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62A"/>
    <w:rsid w:val="00755780"/>
    <w:rsid w:val="00DB1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293F56-66BB-4B7A-AC82-442640896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162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2515</Characters>
  <Application>Microsoft Office Word</Application>
  <DocSecurity>0</DocSecurity>
  <Lines>20</Lines>
  <Paragraphs>5</Paragraphs>
  <ScaleCrop>false</ScaleCrop>
  <Company>Springer Nature IT</Company>
  <LinksUpToDate>false</LinksUpToDate>
  <CharactersWithSpaces>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2021-08-09T10:39:00Z</dcterms:created>
  <dcterms:modified xsi:type="dcterms:W3CDTF">2021-08-09T10:39:00Z</dcterms:modified>
</cp:coreProperties>
</file>