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012DA3" w:rsidR="00012DA3" w:rsidP="18EBBB11" w:rsidRDefault="001D2EF8" w14:paraId="77D82E85" w14:textId="643D37B3">
      <w:pPr>
        <w:pStyle w:val="NormalWeb"/>
        <w:rPr>
          <w:rFonts w:ascii="Calibri" w:hAnsi="Calibri" w:eastAsia="Calibri" w:cs="Calibri"/>
        </w:rPr>
      </w:pPr>
      <w:r w:rsidRPr="18EBBB11" w:rsidR="18EBBB11">
        <w:rPr>
          <w:rStyle w:val="fadeinm1hgl8"/>
          <w:rFonts w:ascii="Calibri" w:hAnsi="Calibri" w:eastAsia="Calibri" w:cs="Calibri"/>
          <w:b w:val="1"/>
          <w:bCs w:val="1"/>
        </w:rPr>
        <w:t>Supplementary Figure 1.</w:t>
      </w:r>
      <w:r w:rsidRPr="18EBBB11" w:rsidR="18EBBB11">
        <w:rPr>
          <w:rStyle w:val="fadeinm1hgl8"/>
          <w:rFonts w:ascii="Calibri" w:hAnsi="Calibri" w:eastAsia="Calibri" w:cs="Calibri"/>
        </w:rPr>
        <w:t xml:space="preserve"> </w:t>
      </w:r>
      <w:r w:rsidRPr="18EBBB11" w:rsidR="18EBBB11">
        <w:rPr>
          <w:rStyle w:val="fadeinm1hgl8"/>
          <w:rFonts w:ascii="Calibri" w:hAnsi="Calibri" w:eastAsia="Calibri" w:cs="Calibri"/>
          <w:i w:val="1"/>
          <w:iCs w:val="1"/>
        </w:rPr>
        <w:t>Genome-wide association results for estimated MME opioid dose following knee arthroplasty in EUR individuals.</w:t>
      </w:r>
      <w:r w:rsidRPr="18EBBB11" w:rsidR="18EBBB11">
        <w:rPr>
          <w:rStyle w:val="fadeinm1hgl8"/>
          <w:rFonts w:ascii="Calibri" w:hAnsi="Calibri" w:eastAsia="Calibri" w:cs="Calibri"/>
        </w:rPr>
        <w:t xml:space="preserve"> The Manhattan plot displays the –log₁₀(P) values of SNP associations across the genome. The red horizontal line </w:t>
      </w:r>
      <w:r w:rsidRPr="18EBBB11" w:rsidR="18EBBB11">
        <w:rPr>
          <w:rStyle w:val="fadeinm1hgl8"/>
          <w:rFonts w:ascii="Calibri" w:hAnsi="Calibri" w:eastAsia="Calibri" w:cs="Calibri"/>
        </w:rPr>
        <w:t>indicates</w:t>
      </w:r>
      <w:r w:rsidRPr="18EBBB11" w:rsidR="18EBBB11">
        <w:rPr>
          <w:rStyle w:val="fadeinm1hgl8"/>
          <w:rFonts w:ascii="Calibri" w:hAnsi="Calibri" w:eastAsia="Calibri" w:cs="Calibri"/>
        </w:rPr>
        <w:t xml:space="preserve"> the genome-wide significance threshold (P = 5 × 10</w:t>
      </w:r>
      <w:r w:rsidRPr="18EBBB11" w:rsidR="18EBBB11">
        <w:rPr>
          <w:rStyle w:val="fadeinm1hgl8"/>
          <w:rFonts w:ascii="Calibri" w:hAnsi="Calibri" w:eastAsia="Calibri" w:cs="Calibri"/>
          <w:vertAlign w:val="superscript"/>
        </w:rPr>
        <w:t>-8</w:t>
      </w:r>
      <w:r w:rsidRPr="18EBBB11" w:rsidR="18EBBB11">
        <w:rPr>
          <w:rStyle w:val="fadeinm1hgl8"/>
          <w:rFonts w:ascii="Calibri" w:hAnsi="Calibri" w:eastAsia="Calibri" w:cs="Calibri"/>
        </w:rPr>
        <w:t>), and the blue line marks the suggestive significance threshold (P = 1 × 10⁻</w:t>
      </w:r>
      <w:r w:rsidRPr="18EBBB11" w:rsidR="18EBBB11">
        <w:rPr>
          <w:rStyle w:val="fadeinm1hgl8"/>
          <w:rFonts w:ascii="Calibri" w:hAnsi="Calibri" w:eastAsia="Calibri" w:cs="Calibri"/>
          <w:vertAlign w:val="superscript"/>
        </w:rPr>
        <w:t>6</w:t>
      </w:r>
      <w:r w:rsidRPr="18EBBB11" w:rsidR="18EBBB11">
        <w:rPr>
          <w:rStyle w:val="fadeinm1hgl8"/>
          <w:rFonts w:ascii="Calibri" w:hAnsi="Calibri" w:eastAsia="Calibri" w:cs="Calibri"/>
        </w:rPr>
        <w:t xml:space="preserve">). SNPs exceeding the suggestive threshold are labeled with </w:t>
      </w:r>
      <w:r w:rsidRPr="18EBBB11" w:rsidR="18EBBB11">
        <w:rPr>
          <w:rStyle w:val="fadeinm1hgl8"/>
          <w:rFonts w:ascii="Calibri" w:hAnsi="Calibri" w:eastAsia="Calibri" w:cs="Calibri"/>
        </w:rPr>
        <w:t>rsIDs</w:t>
      </w:r>
      <w:r w:rsidRPr="18EBBB11" w:rsidR="18EBBB11">
        <w:rPr>
          <w:rStyle w:val="fadeinm1hgl8"/>
          <w:rFonts w:ascii="Calibri" w:hAnsi="Calibri" w:eastAsia="Calibri" w:cs="Calibri"/>
        </w:rPr>
        <w:t xml:space="preserve">. The plot in the upper right corner shows the quantile–quantile (QQ) plot of </w:t>
      </w:r>
      <w:r w:rsidRPr="18EBBB11" w:rsidR="18EBBB11">
        <w:rPr>
          <w:rStyle w:val="fadeinm1hgl8"/>
          <w:rFonts w:ascii="Calibri" w:hAnsi="Calibri" w:eastAsia="Calibri" w:cs="Calibri"/>
        </w:rPr>
        <w:t>observed</w:t>
      </w:r>
      <w:r w:rsidRPr="18EBBB11" w:rsidR="18EBBB11">
        <w:rPr>
          <w:rStyle w:val="fadeinm1hgl8"/>
          <w:rFonts w:ascii="Calibri" w:hAnsi="Calibri" w:eastAsia="Calibri" w:cs="Calibri"/>
        </w:rPr>
        <w:t xml:space="preserve"> versus expected P-values.</w:t>
      </w:r>
    </w:p>
    <w:p w:rsidRPr="00012DA3" w:rsidR="00041216" w:rsidP="18EBBB11" w:rsidRDefault="00041216" w14:paraId="69D63AF4" w14:textId="77777777">
      <w:pPr>
        <w:rPr>
          <w:rFonts w:ascii="Calibri" w:hAnsi="Calibri" w:eastAsia="Calibri" w:cs="Calibri"/>
        </w:rPr>
      </w:pPr>
    </w:p>
    <w:p w:rsidRPr="00012DA3" w:rsidR="00041216" w:rsidP="00041216" w:rsidRDefault="00041216" w14:paraId="5AA09641" w14:textId="77777777">
      <w:pPr>
        <w:jc w:val="right"/>
        <w:rPr>
          <w:rFonts w:ascii="Calibri" w:hAnsi="Calibri" w:cs="Calibri"/>
        </w:rPr>
      </w:pPr>
      <w:r w:rsidRPr="00012DA3">
        <w:rPr>
          <w:rFonts w:ascii="Calibri" w:hAnsi="Calibri" w:cs="Calibri"/>
          <w:noProof/>
        </w:rPr>
        <w:drawing>
          <wp:inline distT="0" distB="0" distL="0" distR="0" wp14:anchorId="44736B28" wp14:editId="1AE2B62D">
            <wp:extent cx="1596678" cy="1602300"/>
            <wp:effectExtent l="0" t="0" r="3810" b="0"/>
            <wp:docPr id="538121052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21052" name="Picture 1" descr="A graph of a graph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8509" cy="16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2DA3" w:rsidR="00041216" w:rsidRDefault="00A67412" w14:paraId="5DB11FDE" w14:textId="77777777">
      <w:pPr>
        <w:rPr>
          <w:rFonts w:ascii="Calibri" w:hAnsi="Calibri" w:cs="Calibri"/>
        </w:rPr>
      </w:pPr>
      <w:r>
        <w:drawing>
          <wp:inline wp14:editId="0FEFC68E" wp14:anchorId="06738B42">
            <wp:extent cx="5943600" cy="3343275"/>
            <wp:effectExtent l="0" t="0" r="0" b="0"/>
            <wp:docPr id="1739618087" name="Picture 4" descr="A graph with red and grey lines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28a60c3a449546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2DB94B65" w14:textId="5128CE40">
      <w:pPr>
        <w:rPr>
          <w:rFonts w:ascii="Calibri" w:hAnsi="Calibri" w:cs="Calibri"/>
        </w:rPr>
      </w:pPr>
    </w:p>
    <w:p w:rsidR="11070946" w:rsidP="11070946" w:rsidRDefault="11070946" w14:paraId="70A87EC3" w14:textId="57BCFCE1">
      <w:pPr>
        <w:rPr>
          <w:rFonts w:ascii="Calibri" w:hAnsi="Calibri" w:cs="Calibri"/>
        </w:rPr>
      </w:pPr>
    </w:p>
    <w:p w:rsidR="11070946" w:rsidP="11070946" w:rsidRDefault="11070946" w14:paraId="741FDEB8" w14:textId="572636A8">
      <w:pPr>
        <w:rPr>
          <w:rFonts w:ascii="Calibri" w:hAnsi="Calibri" w:cs="Calibri"/>
        </w:rPr>
      </w:pPr>
    </w:p>
    <w:p w:rsidR="11070946" w:rsidP="11070946" w:rsidRDefault="11070946" w14:paraId="26A49691" w14:textId="063ED918">
      <w:pPr>
        <w:rPr>
          <w:rFonts w:ascii="Calibri" w:hAnsi="Calibri" w:cs="Calibri"/>
        </w:rPr>
      </w:pPr>
    </w:p>
    <w:p w:rsidR="11070946" w:rsidP="11070946" w:rsidRDefault="11070946" w14:paraId="4EB83AD9" w14:textId="64DD5E1E">
      <w:pPr>
        <w:pStyle w:val="NormalWeb"/>
        <w:rPr>
          <w:rFonts w:ascii="Calibri" w:hAnsi="Calibri" w:cs="Calibri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>Supplementary Figure 2.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</w:t>
      </w:r>
      <w:r w:rsidRPr="11070946" w:rsidR="11070946">
        <w:rPr>
          <w:rStyle w:val="fadeinm1hgl8"/>
          <w:rFonts w:ascii="Calibri" w:hAnsi="Calibri" w:eastAsia="" w:cs="Calibri" w:eastAsiaTheme="majorEastAsia"/>
          <w:i w:val="1"/>
          <w:iCs w:val="1"/>
        </w:rPr>
        <w:t>Genome-wide association results for estimated MME opioid dose following hip arthroplasty in EUR individuals.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Manhattan plot displays the –log₁₀(P) values of SNP associations across the genome. The red horizontal line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indicates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genome-wide significance threshold </w:t>
      </w:r>
      <w:r w:rsidRPr="11070946" w:rsidR="11070946">
        <w:rPr>
          <w:rStyle w:val="fadeinm1hgl8"/>
          <w:rFonts w:ascii="Calibri" w:hAnsi="Calibri" w:eastAsia="Calibri" w:cs="Calibri"/>
        </w:rPr>
        <w:t>(P = 5 × 10</w:t>
      </w:r>
      <w:r w:rsidRPr="11070946" w:rsidR="11070946">
        <w:rPr>
          <w:rStyle w:val="fadeinm1hgl8"/>
          <w:rFonts w:ascii="Calibri" w:hAnsi="Calibri" w:eastAsia="Calibri" w:cs="Calibri"/>
          <w:vertAlign w:val="superscript"/>
        </w:rPr>
        <w:t>-8</w:t>
      </w:r>
      <w:r w:rsidRPr="11070946" w:rsidR="11070946">
        <w:rPr>
          <w:rStyle w:val="fadeinm1hgl8"/>
          <w:rFonts w:ascii="Calibri" w:hAnsi="Calibri" w:eastAsia="Calibri" w:cs="Calibri"/>
        </w:rPr>
        <w:t>)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, and the blue line marks the suggestive significance threshold (P = 1 × 10⁻</w:t>
      </w:r>
      <w:r w:rsidRPr="11070946" w:rsidR="11070946">
        <w:rPr>
          <w:rStyle w:val="fadeinm1hgl8"/>
          <w:rFonts w:ascii="Calibri" w:hAnsi="Calibri" w:eastAsia="" w:cs="Calibri" w:eastAsiaTheme="majorEastAsia"/>
          <w:vertAlign w:val="superscript"/>
        </w:rPr>
        <w:t>6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). SNPs exceeding the suggestive threshold are labeled with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rsIDs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. The plot in the upper right corner shows the quantile–quantile (QQ) plot of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observed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versus expected P-values.</w:t>
      </w:r>
    </w:p>
    <w:p w:rsidR="11070946" w:rsidP="11070946" w:rsidRDefault="11070946" w14:paraId="6DB8A842" w14:textId="7912D14B">
      <w:pPr>
        <w:pStyle w:val="NormalWeb"/>
        <w:rPr>
          <w:rStyle w:val="fadeinm1hgl8"/>
          <w:rFonts w:ascii="Calibri" w:hAnsi="Calibri" w:eastAsia="" w:cs="Calibri" w:eastAsiaTheme="majorEastAsia"/>
        </w:rPr>
      </w:pPr>
    </w:p>
    <w:p w:rsidR="11070946" w:rsidP="11070946" w:rsidRDefault="11070946" w14:paraId="70602C7F">
      <w:pPr>
        <w:jc w:val="right"/>
        <w:rPr>
          <w:rFonts w:ascii="Calibri" w:hAnsi="Calibri" w:cs="Calibri"/>
        </w:rPr>
      </w:pPr>
      <w:r>
        <w:drawing>
          <wp:inline wp14:editId="76C8FAE2" wp14:anchorId="035F367C">
            <wp:extent cx="1573288" cy="1530036"/>
            <wp:effectExtent l="0" t="0" r="1905" b="0"/>
            <wp:docPr id="1088825370" name="Picture 1" descr="A graph of a graph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8eff59c083947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73288" cy="153003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3A5016C8" w14:textId="020299BC">
      <w:pPr>
        <w:rPr>
          <w:rFonts w:ascii="Calibri" w:hAnsi="Calibri" w:cs="Calibri"/>
        </w:rPr>
      </w:pPr>
      <w:r>
        <w:drawing>
          <wp:inline wp14:editId="0A1E177B" wp14:anchorId="2611BE9C">
            <wp:extent cx="5943600" cy="3343275"/>
            <wp:effectExtent l="0" t="0" r="0" b="0"/>
            <wp:docPr id="1163617376" name="Picture 3" descr="A graph with red and grey lines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540e55b41f94a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43600" cy="33432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6106DBD3" w14:textId="49105500">
      <w:pPr>
        <w:rPr>
          <w:rFonts w:ascii="Calibri" w:hAnsi="Calibri" w:cs="Calibri"/>
        </w:rPr>
      </w:pPr>
    </w:p>
    <w:p w:rsidR="00041216" w:rsidRDefault="00041216" w14:paraId="6F2062D5" w14:textId="76134DEA">
      <w:pPr>
        <w:rPr>
          <w:rFonts w:ascii="Calibri" w:hAnsi="Calibri" w:cs="Calibri"/>
        </w:rPr>
      </w:pPr>
      <w:r w:rsidRPr="00012DA3">
        <w:rPr>
          <w:rFonts w:ascii="Calibri" w:hAnsi="Calibri" w:cs="Calibri"/>
        </w:rPr>
        <w:br w:type="page"/>
      </w:r>
    </w:p>
    <w:p w:rsidRPr="00012DA3" w:rsidR="00012DA3" w:rsidP="00012DA3" w:rsidRDefault="001D2EF8" w14:paraId="05879193" w14:textId="1EE0560C">
      <w:pPr>
        <w:pStyle w:val="NormalWeb"/>
        <w:rPr>
          <w:rFonts w:ascii="Calibri" w:hAnsi="Calibri" w:cs="Calibri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>Supplementary Figure 3.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</w:t>
      </w:r>
      <w:r w:rsidRPr="11070946" w:rsidR="11070946">
        <w:rPr>
          <w:rStyle w:val="fadeinm1hgl8"/>
          <w:rFonts w:ascii="Calibri" w:hAnsi="Calibri" w:eastAsia="" w:cs="Calibri" w:eastAsiaTheme="majorEastAsia"/>
          <w:i w:val="1"/>
          <w:iCs w:val="1"/>
        </w:rPr>
        <w:t>Genome-wide association results for estimated MME opioid dose following knee arthroplasty in AFR individuals.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Manhattan plot displays the –log₁₀(P) values of SNP associations across the genome. The red horizontal line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indicates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genome-wide significance threshold </w:t>
      </w:r>
      <w:r w:rsidRPr="11070946" w:rsidR="11070946">
        <w:rPr>
          <w:rStyle w:val="fadeinm1hgl8"/>
          <w:rFonts w:ascii="Calibri" w:hAnsi="Calibri" w:eastAsia="Calibri" w:cs="Calibri"/>
        </w:rPr>
        <w:t>(P = 5 × 10</w:t>
      </w:r>
      <w:r w:rsidRPr="11070946" w:rsidR="11070946">
        <w:rPr>
          <w:rStyle w:val="fadeinm1hgl8"/>
          <w:rFonts w:ascii="Calibri" w:hAnsi="Calibri" w:eastAsia="Calibri" w:cs="Calibri"/>
          <w:vertAlign w:val="superscript"/>
        </w:rPr>
        <w:t>-8</w:t>
      </w:r>
      <w:r w:rsidRPr="11070946" w:rsidR="11070946">
        <w:rPr>
          <w:rStyle w:val="fadeinm1hgl8"/>
          <w:rFonts w:ascii="Calibri" w:hAnsi="Calibri" w:eastAsia="Calibri" w:cs="Calibri"/>
        </w:rPr>
        <w:t>)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, and the blue line marks the suggestive significance threshold (P = 1 × 10⁻</w:t>
      </w:r>
      <w:r w:rsidRPr="11070946" w:rsidR="11070946">
        <w:rPr>
          <w:rStyle w:val="fadeinm1hgl8"/>
          <w:rFonts w:ascii="Calibri" w:hAnsi="Calibri" w:eastAsia="" w:cs="Calibri" w:eastAsiaTheme="majorEastAsia"/>
          <w:vertAlign w:val="superscript"/>
        </w:rPr>
        <w:t>6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). SNPs exceeding the suggestive threshold are labeled with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rsIDs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. The plot in the upper right corner shows the quantile–quantile (QQ) plot of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observed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versus expected P-values.</w:t>
      </w:r>
    </w:p>
    <w:p w:rsidRPr="00012DA3" w:rsidR="00012DA3" w:rsidRDefault="00012DA3" w14:paraId="5DA1069D" w14:textId="77777777">
      <w:pPr>
        <w:rPr>
          <w:rFonts w:ascii="Calibri" w:hAnsi="Calibri" w:cs="Calibri"/>
        </w:rPr>
      </w:pPr>
    </w:p>
    <w:p w:rsidRPr="00012DA3" w:rsidR="00041216" w:rsidP="00041216" w:rsidRDefault="00041216" w14:paraId="487C87C1" w14:textId="77777777">
      <w:pPr>
        <w:jc w:val="right"/>
        <w:rPr>
          <w:rFonts w:ascii="Calibri" w:hAnsi="Calibri" w:cs="Calibri"/>
        </w:rPr>
      </w:pPr>
      <w:r w:rsidRPr="00012DA3">
        <w:rPr>
          <w:rFonts w:ascii="Calibri" w:hAnsi="Calibri" w:cs="Calibri"/>
          <w:noProof/>
        </w:rPr>
        <w:drawing>
          <wp:inline distT="0" distB="0" distL="0" distR="0" wp14:anchorId="5E650536" wp14:editId="6485C65A">
            <wp:extent cx="1651520" cy="1611517"/>
            <wp:effectExtent l="0" t="0" r="0" b="1905"/>
            <wp:docPr id="1102321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214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848" cy="16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12" w:rsidRDefault="00A67412" w14:paraId="6C70D30C" w14:textId="01C8F006">
      <w:pPr>
        <w:rPr>
          <w:rFonts w:ascii="Calibri" w:hAnsi="Calibri" w:cs="Calibri"/>
        </w:rPr>
      </w:pPr>
      <w:r>
        <w:drawing>
          <wp:inline wp14:editId="6AD7A4EE" wp14:anchorId="7B174D73">
            <wp:extent cx="5943600" cy="3343275"/>
            <wp:effectExtent l="0" t="0" r="0" b="0"/>
            <wp:docPr id="48967770" name="Picture 5" descr="A graph with green and blue lines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8ca7ac415b3f47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77A786FC" w14:textId="7262BBB6">
      <w:pPr>
        <w:rPr>
          <w:rFonts w:ascii="Calibri" w:hAnsi="Calibri" w:cs="Calibri"/>
        </w:rPr>
      </w:pPr>
    </w:p>
    <w:p w:rsidR="11070946" w:rsidP="11070946" w:rsidRDefault="11070946" w14:paraId="1F95CFB9" w14:textId="582674DA">
      <w:pPr>
        <w:rPr>
          <w:rFonts w:ascii="Calibri" w:hAnsi="Calibri" w:cs="Calibri"/>
        </w:rPr>
      </w:pPr>
    </w:p>
    <w:p w:rsidR="11070946" w:rsidRDefault="11070946" w14:paraId="7CFF94EB" w14:textId="1B0BD78B">
      <w:r>
        <w:br w:type="page"/>
      </w:r>
    </w:p>
    <w:p w:rsidR="11070946" w:rsidP="11070946" w:rsidRDefault="11070946" w14:paraId="3D002C77" w14:textId="371A6BF0">
      <w:pPr>
        <w:pStyle w:val="NormalWeb"/>
        <w:rPr>
          <w:rFonts w:ascii="Calibri" w:hAnsi="Calibri" w:cs="Calibri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>Supplementary Figure 4.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</w:t>
      </w:r>
      <w:r w:rsidRPr="11070946" w:rsidR="11070946">
        <w:rPr>
          <w:rStyle w:val="fadeinm1hgl8"/>
          <w:rFonts w:ascii="Calibri" w:hAnsi="Calibri" w:eastAsia="" w:cs="Calibri" w:eastAsiaTheme="majorEastAsia"/>
          <w:i w:val="1"/>
          <w:iCs w:val="1"/>
        </w:rPr>
        <w:t>Genome-wide association results for estimated MME opioid dose following hip arthroplasty in AFR individuals.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Manhattan plot displays the –log₁₀(P) values of SNP associations across the genome. The red horizontal line indicates the genome-wide significance threshold </w:t>
      </w:r>
      <w:r w:rsidRPr="11070946" w:rsidR="11070946">
        <w:rPr>
          <w:rStyle w:val="fadeinm1hgl8"/>
          <w:rFonts w:ascii="Calibri" w:hAnsi="Calibri" w:eastAsia="Calibri" w:cs="Calibri"/>
        </w:rPr>
        <w:t>(P = 5 × 10</w:t>
      </w:r>
      <w:r w:rsidRPr="11070946" w:rsidR="11070946">
        <w:rPr>
          <w:rStyle w:val="fadeinm1hgl8"/>
          <w:rFonts w:ascii="Calibri" w:hAnsi="Calibri" w:eastAsia="Calibri" w:cs="Calibri"/>
          <w:vertAlign w:val="superscript"/>
        </w:rPr>
        <w:t>-8</w:t>
      </w:r>
      <w:r w:rsidRPr="11070946" w:rsidR="11070946">
        <w:rPr>
          <w:rStyle w:val="fadeinm1hgl8"/>
          <w:rFonts w:ascii="Calibri" w:hAnsi="Calibri" w:eastAsia="Calibri" w:cs="Calibri"/>
        </w:rPr>
        <w:t>)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, and the blue line marks the suggestive significance threshold (P = 1 × 10⁻</w:t>
      </w:r>
      <w:r w:rsidRPr="11070946" w:rsidR="11070946">
        <w:rPr>
          <w:rStyle w:val="fadeinm1hgl8"/>
          <w:rFonts w:ascii="Calibri" w:hAnsi="Calibri" w:eastAsia="" w:cs="Calibri" w:eastAsiaTheme="majorEastAsia"/>
          <w:vertAlign w:val="superscript"/>
        </w:rPr>
        <w:t>6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). SNPs exceeding the suggestive threshold are labeled with rsIDs. The plot in the upper right corner shows the quantile–quantile (QQ) plot of observed versus expected P-values.</w:t>
      </w:r>
    </w:p>
    <w:p w:rsidR="11070946" w:rsidP="11070946" w:rsidRDefault="11070946" w14:paraId="5AF06EFC" w14:textId="230973BF">
      <w:pPr>
        <w:rPr>
          <w:rFonts w:ascii="Calibri" w:hAnsi="Calibri" w:cs="Calibri"/>
        </w:rPr>
      </w:pPr>
    </w:p>
    <w:p w:rsidR="11070946" w:rsidP="11070946" w:rsidRDefault="11070946" w14:paraId="553E597E">
      <w:pPr>
        <w:jc w:val="right"/>
        <w:rPr>
          <w:rFonts w:ascii="Calibri" w:hAnsi="Calibri" w:cs="Calibri"/>
        </w:rPr>
      </w:pPr>
      <w:r>
        <w:drawing>
          <wp:inline wp14:editId="2DEBF957" wp14:anchorId="49D285E5">
            <wp:extent cx="1530161" cy="1467492"/>
            <wp:effectExtent l="0" t="0" r="0" b="5715"/>
            <wp:docPr id="481741176" name="Picture 1" descr="A graph of a graph with numbers and a red line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9e408405e0847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30161" cy="146749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75F8BE9F" w14:textId="57C51BE9">
      <w:pPr>
        <w:rPr>
          <w:rFonts w:ascii="Calibri" w:hAnsi="Calibri" w:cs="Calibri"/>
        </w:rPr>
      </w:pPr>
      <w:r>
        <w:drawing>
          <wp:inline wp14:editId="26B02A65" wp14:anchorId="6D8CB831">
            <wp:extent cx="5943600" cy="3343275"/>
            <wp:effectExtent l="0" t="0" r="0" b="0"/>
            <wp:docPr id="1038987937" name="Picture 6" descr="A screen shot of a graph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de3843a078d342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43600" cy="33432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1D4200A6" w14:textId="05D31296">
      <w:pPr>
        <w:rPr>
          <w:rFonts w:ascii="Calibri" w:hAnsi="Calibri" w:cs="Calibri"/>
        </w:rPr>
      </w:pPr>
    </w:p>
    <w:p w:rsidR="00012DA3" w:rsidRDefault="00012DA3" w14:paraId="14ACD92B" w14:textId="4614146F">
      <w:pPr>
        <w:rPr>
          <w:rFonts w:ascii="Calibri" w:hAnsi="Calibri" w:cs="Calibri"/>
        </w:rPr>
      </w:pPr>
    </w:p>
    <w:p w:rsidR="00012DA3" w:rsidRDefault="00012DA3" w14:paraId="0B60AE4C" w14:textId="170B4BD0">
      <w:pPr>
        <w:rPr>
          <w:rFonts w:ascii="Calibri" w:hAnsi="Calibri" w:cs="Calibri"/>
        </w:rPr>
      </w:pPr>
    </w:p>
    <w:p w:rsidR="11070946" w:rsidRDefault="11070946" w14:paraId="5EA6761B" w14:textId="0A1CFF73">
      <w:r>
        <w:br w:type="page"/>
      </w:r>
    </w:p>
    <w:p w:rsidR="18EBBB11" w:rsidP="18EBBB11" w:rsidRDefault="18EBBB11" w14:paraId="51CB6A1E" w14:textId="7D27CADB">
      <w:pPr>
        <w:pStyle w:val="NormalWeb"/>
        <w:rPr>
          <w:rFonts w:ascii="Calibri" w:hAnsi="Calibri" w:cs="Calibri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>Supplementary Figure 5.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</w:t>
      </w:r>
      <w:r w:rsidRPr="11070946" w:rsidR="11070946">
        <w:rPr>
          <w:rStyle w:val="fadeinm1hgl8"/>
          <w:rFonts w:ascii="Calibri" w:hAnsi="Calibri" w:eastAsia="" w:cs="Calibri" w:eastAsiaTheme="majorEastAsia"/>
          <w:i w:val="1"/>
          <w:iCs w:val="1"/>
        </w:rPr>
        <w:t xml:space="preserve">Genome-wide association results for estimated MME opioid dose following knee arthroplasty in AMR individuals. The Manhattan plot displays the -log₁₀(P) values of SNP associations across the genome. The red horizontal line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indicates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genome-wide significance threshold </w:t>
      </w:r>
      <w:r w:rsidRPr="11070946" w:rsidR="11070946">
        <w:rPr>
          <w:rStyle w:val="fadeinm1hgl8"/>
          <w:rFonts w:ascii="Calibri" w:hAnsi="Calibri" w:eastAsia="Calibri" w:cs="Calibri"/>
        </w:rPr>
        <w:t>(P = 5 × 10</w:t>
      </w:r>
      <w:r w:rsidRPr="11070946" w:rsidR="11070946">
        <w:rPr>
          <w:rStyle w:val="fadeinm1hgl8"/>
          <w:rFonts w:ascii="Calibri" w:hAnsi="Calibri" w:eastAsia="Calibri" w:cs="Calibri"/>
          <w:vertAlign w:val="superscript"/>
        </w:rPr>
        <w:t>-8</w:t>
      </w:r>
      <w:r w:rsidRPr="11070946" w:rsidR="11070946">
        <w:rPr>
          <w:rStyle w:val="fadeinm1hgl8"/>
          <w:rFonts w:ascii="Calibri" w:hAnsi="Calibri" w:eastAsia="Calibri" w:cs="Calibri"/>
        </w:rPr>
        <w:t>)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, and the blue line marks the suggestive significance threshold (P = 1 × 10⁻</w:t>
      </w:r>
      <w:r w:rsidRPr="11070946" w:rsidR="11070946">
        <w:rPr>
          <w:rStyle w:val="fadeinm1hgl8"/>
          <w:rFonts w:ascii="Calibri" w:hAnsi="Calibri" w:eastAsia="" w:cs="Calibri" w:eastAsiaTheme="majorEastAsia"/>
          <w:vertAlign w:val="superscript"/>
        </w:rPr>
        <w:t>6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). SNPs exceeding the suggestive threshold are labeled with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rsIDs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. The plot in the upper right corner shows the quantile–quantile (QQ) plot of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observed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versus expected P-values.</w:t>
      </w:r>
    </w:p>
    <w:p w:rsidR="18EBBB11" w:rsidP="18EBBB11" w:rsidRDefault="18EBBB11" w14:paraId="47B4DF4A" w14:textId="164A2174">
      <w:pPr>
        <w:pStyle w:val="NormalWeb"/>
        <w:rPr>
          <w:rStyle w:val="fadeinm1hgl8"/>
          <w:rFonts w:ascii="Calibri" w:hAnsi="Calibri" w:eastAsia="" w:cs="Calibri" w:eastAsiaTheme="majorEastAsia"/>
        </w:rPr>
      </w:pPr>
    </w:p>
    <w:p w:rsidR="00012DA3" w:rsidP="198A8760" w:rsidRDefault="00012DA3" w14:paraId="446A2D23" w14:textId="317AE4A6">
      <w:pPr>
        <w:spacing w:beforeAutospacing="1" w:afterAutospacing="1" w:line="240" w:lineRule="auto"/>
        <w:jc w:val="right"/>
        <w:rPr>
          <w:rFonts w:ascii="Calibri" w:hAnsi="Calibri" w:eastAsia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AF43664" wp14:editId="4A9B5E4F">
            <wp:extent cx="1571625" cy="1533525"/>
            <wp:effectExtent l="0" t="0" r="0" b="0"/>
            <wp:docPr id="1971202492" name="Picture 1971202492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DA3" w:rsidP="198A8760" w:rsidRDefault="00012DA3" w14:paraId="4B309A08" w14:textId="55E23EBF">
      <w:pPr>
        <w:rPr>
          <w:rFonts w:ascii="Calibri" w:hAnsi="Calibri" w:eastAsia="Calibri" w:cs="Calibri"/>
          <w:color w:val="000000" w:themeColor="text1"/>
        </w:rPr>
      </w:pPr>
      <w:r>
        <w:drawing>
          <wp:inline wp14:editId="6D1426B0" wp14:anchorId="350770A9">
            <wp:extent cx="5943600" cy="3343275"/>
            <wp:effectExtent l="0" t="0" r="0" b="0"/>
            <wp:docPr id="433770593" name="Picture 433770593" descr="A graph with different colored lines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33770593"/>
                    <pic:cNvPicPr/>
                  </pic:nvPicPr>
                  <pic:blipFill>
                    <a:blip r:embed="R402c8a74e3314d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RDefault="11070946" w14:paraId="2ED1B11C" w14:textId="0379E1B5">
      <w:r>
        <w:br w:type="page"/>
      </w:r>
    </w:p>
    <w:p w:rsidR="00012DA3" w:rsidP="198A8760" w:rsidRDefault="00012DA3" w14:paraId="25E44D2C" w14:textId="62D621A7">
      <w:pPr>
        <w:rPr>
          <w:rStyle w:val="fadeinm1hgl8"/>
          <w:rFonts w:ascii="Calibri" w:hAnsi="Calibri" w:cs="Calibri" w:eastAsiaTheme="majorEastAsia"/>
          <w:b/>
          <w:bCs/>
          <w:kern w:val="0"/>
          <w14:ligatures w14:val="none"/>
        </w:rPr>
      </w:pPr>
    </w:p>
    <w:p w:rsidR="18EBBB11" w:rsidP="478A8717" w:rsidRDefault="18EBBB11" w14:paraId="09AEB1F3" w14:textId="4A32DE7C">
      <w:pPr>
        <w:pStyle w:val="NormalWeb"/>
        <w:spacing w:after="0" w:afterAutospacing="off"/>
        <w:rPr>
          <w:rFonts w:ascii="Calibri" w:hAnsi="Calibri" w:cs="Calibri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>Supplementary Figure 6.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</w:t>
      </w:r>
      <w:r w:rsidRPr="11070946" w:rsidR="11070946">
        <w:rPr>
          <w:rStyle w:val="fadeinm1hgl8"/>
          <w:rFonts w:ascii="Calibri" w:hAnsi="Calibri" w:eastAsia="" w:cs="Calibri" w:eastAsiaTheme="majorEastAsia"/>
          <w:i w:val="1"/>
          <w:iCs w:val="1"/>
        </w:rPr>
        <w:t>Genome-wide association results for estimated MME opioid dose following hip arthroplasty in AMR individuals.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Manhattan plot displays the –log₁₀(P) values of SNP associations across the genome. The red horizontal line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indicates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the genome-wide significance threshold </w:t>
      </w:r>
      <w:r w:rsidRPr="11070946" w:rsidR="11070946">
        <w:rPr>
          <w:rStyle w:val="fadeinm1hgl8"/>
          <w:rFonts w:ascii="Calibri" w:hAnsi="Calibri" w:eastAsia="Calibri" w:cs="Calibri"/>
        </w:rPr>
        <w:t>(P = 5 × 10</w:t>
      </w:r>
      <w:r w:rsidRPr="11070946" w:rsidR="11070946">
        <w:rPr>
          <w:rStyle w:val="fadeinm1hgl8"/>
          <w:rFonts w:ascii="Calibri" w:hAnsi="Calibri" w:eastAsia="Calibri" w:cs="Calibri"/>
          <w:vertAlign w:val="superscript"/>
        </w:rPr>
        <w:t>-8</w:t>
      </w:r>
      <w:r w:rsidRPr="11070946" w:rsidR="11070946">
        <w:rPr>
          <w:rStyle w:val="fadeinm1hgl8"/>
          <w:rFonts w:ascii="Calibri" w:hAnsi="Calibri" w:eastAsia="Calibri" w:cs="Calibri"/>
        </w:rPr>
        <w:t>)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, and the blue line marks the suggestive significance threshold (P = 1 × 10⁻</w:t>
      </w:r>
      <w:r w:rsidRPr="11070946" w:rsidR="11070946">
        <w:rPr>
          <w:rStyle w:val="fadeinm1hgl8"/>
          <w:rFonts w:ascii="Calibri" w:hAnsi="Calibri" w:eastAsia="" w:cs="Calibri" w:eastAsiaTheme="majorEastAsia"/>
          <w:vertAlign w:val="superscript"/>
        </w:rPr>
        <w:t>6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). SNPs exceeding the suggestive threshold are labeled with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rsIDs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. The plot in the upper right corner shows the quantile–quantile (QQ) plot of </w:t>
      </w:r>
      <w:r w:rsidRPr="11070946" w:rsidR="11070946">
        <w:rPr>
          <w:rStyle w:val="fadeinm1hgl8"/>
          <w:rFonts w:ascii="Calibri" w:hAnsi="Calibri" w:eastAsia="" w:cs="Calibri" w:eastAsiaTheme="majorEastAsia"/>
        </w:rPr>
        <w:t>observed</w:t>
      </w:r>
      <w:r w:rsidRPr="11070946" w:rsidR="11070946">
        <w:rPr>
          <w:rStyle w:val="fadeinm1hgl8"/>
          <w:rFonts w:ascii="Calibri" w:hAnsi="Calibri" w:eastAsia="" w:cs="Calibri" w:eastAsiaTheme="majorEastAsia"/>
        </w:rPr>
        <w:t xml:space="preserve"> versus expected P-values.</w:t>
      </w:r>
    </w:p>
    <w:p w:rsidR="18EBBB11" w:rsidP="18EBBB11" w:rsidRDefault="18EBBB11" w14:paraId="5A14CA2A" w14:textId="2081201F">
      <w:pPr>
        <w:pStyle w:val="NormalWeb"/>
        <w:rPr>
          <w:rStyle w:val="fadeinm1hgl8"/>
          <w:rFonts w:ascii="Calibri" w:hAnsi="Calibri" w:eastAsia="" w:cs="Calibri" w:eastAsiaTheme="majorEastAsia"/>
        </w:rPr>
      </w:pPr>
    </w:p>
    <w:p w:rsidR="00012DA3" w:rsidP="777A2E16" w:rsidRDefault="00012DA3" w14:paraId="0E041A82" w14:textId="57019044">
      <w:pPr>
        <w:jc w:val="right"/>
      </w:pPr>
      <w:r>
        <w:rPr>
          <w:noProof/>
        </w:rPr>
        <w:drawing>
          <wp:inline distT="0" distB="0" distL="0" distR="0" wp14:anchorId="641C1EC3" wp14:editId="69FB0867">
            <wp:extent cx="1595844" cy="1530036"/>
            <wp:effectExtent l="0" t="0" r="4445" b="0"/>
            <wp:docPr id="166824712" name="Picture 1" descr="A graph of a graph with numbers and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DA3" w:rsidP="00012DA3" w:rsidRDefault="00012DA3" w14:paraId="2B5BE7F6" w14:textId="31CB3BB7">
      <w:pPr>
        <w:rPr>
          <w:rFonts w:ascii="Calibri" w:hAnsi="Calibri" w:cs="Calibri"/>
        </w:rPr>
      </w:pPr>
      <w:r>
        <w:drawing>
          <wp:inline wp14:editId="07270B0D" wp14:anchorId="3B948ACE">
            <wp:extent cx="5943600" cy="3343275"/>
            <wp:effectExtent l="0" t="0" r="0" b="0"/>
            <wp:docPr id="1606784867" name="Picture 160678486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06784867"/>
                    <pic:cNvPicPr/>
                  </pic:nvPicPr>
                  <pic:blipFill>
                    <a:blip r:embed="Rfb6e6f76b13041b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68866631" w14:textId="65DCB848">
      <w:pPr>
        <w:rPr>
          <w:rFonts w:ascii="Calibri" w:hAnsi="Calibri" w:cs="Calibri"/>
        </w:rPr>
      </w:pPr>
    </w:p>
    <w:p w:rsidR="11070946" w:rsidP="11070946" w:rsidRDefault="11070946" w14:paraId="61BD77CC" w14:textId="2F4BFC99">
      <w:pPr>
        <w:rPr>
          <w:rFonts w:ascii="Calibri" w:hAnsi="Calibri" w:cs="Calibri"/>
        </w:rPr>
      </w:pPr>
    </w:p>
    <w:p w:rsidR="11070946" w:rsidP="11070946" w:rsidRDefault="11070946" w14:paraId="7301CFEF" w14:textId="5C8C626F">
      <w:pPr>
        <w:rPr>
          <w:rFonts w:ascii="Calibri" w:hAnsi="Calibri" w:cs="Calibri"/>
        </w:rPr>
      </w:pPr>
    </w:p>
    <w:p w:rsidR="11070946" w:rsidP="11070946" w:rsidRDefault="11070946" w14:paraId="53000A39" w14:textId="42EB151A">
      <w:pPr>
        <w:rPr>
          <w:rFonts w:ascii="Calibri" w:hAnsi="Calibri" w:cs="Calibri"/>
        </w:rPr>
      </w:pPr>
      <w:r w:rsidRPr="11070946" w:rsidR="11070946">
        <w:rPr>
          <w:rFonts w:ascii="Calibri" w:hAnsi="Calibri" w:cs="Calibri"/>
          <w:b w:val="1"/>
          <w:bCs w:val="1"/>
        </w:rPr>
        <w:t>Supplementary Figure 7. Tissue expression enrichment results from MAGMA gene-property analysis.</w:t>
      </w:r>
      <w:r>
        <w:br/>
      </w:r>
      <w:r w:rsidRPr="11070946" w:rsidR="11070946">
        <w:rPr>
          <w:rFonts w:ascii="Calibri" w:hAnsi="Calibri" w:cs="Calibri"/>
        </w:rPr>
        <w:t xml:space="preserve">Panels (a–d) show the relationship between tissue-specific gene expression and gene-level association signals derived from MAGMA. SNP-level p-values from the GWAS were used to compute gene-level statistics, and expression specificity was tested as a continuous variable. (a) </w:t>
      </w:r>
      <w:r w:rsidRPr="11070946" w:rsidR="11070946">
        <w:rPr>
          <w:rFonts w:ascii="Calibri" w:hAnsi="Calibri" w:cs="Calibri"/>
        </w:rPr>
        <w:t>BrainSpan</w:t>
      </w:r>
      <w:r w:rsidRPr="11070946" w:rsidR="11070946">
        <w:rPr>
          <w:rFonts w:ascii="Calibri" w:hAnsi="Calibri" w:cs="Calibri"/>
        </w:rPr>
        <w:t xml:space="preserve"> dataset across 29 different post-conception and post-natal brain developmental timepoints. (b) </w:t>
      </w:r>
      <w:r w:rsidRPr="11070946" w:rsidR="11070946">
        <w:rPr>
          <w:rFonts w:ascii="Calibri" w:hAnsi="Calibri" w:cs="Calibri"/>
        </w:rPr>
        <w:t>BrainSpan</w:t>
      </w:r>
      <w:r w:rsidRPr="11070946" w:rsidR="11070946">
        <w:rPr>
          <w:rFonts w:ascii="Calibri" w:hAnsi="Calibri" w:cs="Calibri"/>
        </w:rPr>
        <w:t xml:space="preserve"> dataset grouped into 11 broad developmental stages. (c) </w:t>
      </w:r>
      <w:r w:rsidRPr="11070946" w:rsidR="11070946">
        <w:rPr>
          <w:rFonts w:ascii="Calibri" w:hAnsi="Calibri" w:cs="Calibri"/>
        </w:rPr>
        <w:t>GTEx</w:t>
      </w:r>
      <w:r w:rsidRPr="11070946" w:rsidR="11070946">
        <w:rPr>
          <w:rFonts w:ascii="Calibri" w:hAnsi="Calibri" w:cs="Calibri"/>
        </w:rPr>
        <w:t xml:space="preserve"> v8 dataset spanning 53 individual tissue types. (d) </w:t>
      </w:r>
      <w:r w:rsidRPr="11070946" w:rsidR="11070946">
        <w:rPr>
          <w:rFonts w:ascii="Calibri" w:hAnsi="Calibri" w:cs="Calibri"/>
        </w:rPr>
        <w:t>GTEx</w:t>
      </w:r>
      <w:r w:rsidRPr="11070946" w:rsidR="11070946">
        <w:rPr>
          <w:rFonts w:ascii="Calibri" w:hAnsi="Calibri" w:cs="Calibri"/>
        </w:rPr>
        <w:t xml:space="preserve"> v8 dataset aggregated into 30 general tissue categories. Results </w:t>
      </w:r>
      <w:r w:rsidRPr="11070946" w:rsidR="11070946">
        <w:rPr>
          <w:rFonts w:ascii="Calibri" w:hAnsi="Calibri" w:cs="Calibri"/>
        </w:rPr>
        <w:t>indicate</w:t>
      </w:r>
      <w:r w:rsidRPr="11070946" w:rsidR="11070946">
        <w:rPr>
          <w:rFonts w:ascii="Calibri" w:hAnsi="Calibri" w:cs="Calibri"/>
        </w:rPr>
        <w:t xml:space="preserve"> tissues in which gene expression is significantly associated with genetic association signals, suggesting relevant biological context for trait architecture</w:t>
      </w:r>
      <w:r>
        <w:drawing>
          <wp:inline wp14:editId="7E68F7F5" wp14:anchorId="03482023">
            <wp:extent cx="4118780" cy="2864224"/>
            <wp:effectExtent l="0" t="0" r="0" b="6350"/>
            <wp:docPr id="1224569727" name="Picture 1" descr="A graph of a number of people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b0d1d30e65743b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118780" cy="286422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B1B6A5E" wp14:anchorId="66A2C89E">
            <wp:extent cx="1788459" cy="2464822"/>
            <wp:effectExtent l="0" t="0" r="2540" b="0"/>
            <wp:docPr id="1962906542" name="Picture 2" descr="A graph of birth rat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8b351d8f1a147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788459" cy="246482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9A27C1" wp14:anchorId="6CB95639">
            <wp:extent cx="5015132" cy="2635624"/>
            <wp:effectExtent l="0" t="0" r="1905" b="6350"/>
            <wp:docPr id="1158492694" name="Picture 3" descr="A graph of a person with many names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2748abe8114a42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15132" cy="263562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1EE146A5" w14:textId="3374F1DC">
      <w:pPr>
        <w:rPr>
          <w:rFonts w:ascii="Calibri" w:hAnsi="Calibri" w:cs="Calibri"/>
        </w:rPr>
      </w:pPr>
      <w:r>
        <w:drawing>
          <wp:inline wp14:editId="42AB4BE6" wp14:anchorId="49924072">
            <wp:extent cx="4218709" cy="2860249"/>
            <wp:effectExtent l="0" t="0" r="0" b="0"/>
            <wp:docPr id="498301047" name="Picture 4" descr="A graph of blood vessels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3fdd5cc6635c49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218709" cy="286024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70946" w:rsidP="11070946" w:rsidRDefault="11070946" w14:paraId="1E3D7A0C" w14:textId="4013EB6F">
      <w:pPr>
        <w:pStyle w:val="Normal"/>
        <w:rPr>
          <w:rFonts w:ascii="Calibri" w:hAnsi="Calibri" w:cs="Calibri"/>
        </w:rPr>
      </w:pPr>
    </w:p>
    <w:p w:rsidR="00012DA3" w:rsidP="00012DA3" w:rsidRDefault="00012DA3" w14:paraId="179D83FC" w14:textId="10DD1E83">
      <w:pPr>
        <w:rPr>
          <w:rFonts w:ascii="Calibri" w:hAnsi="Calibri" w:cs="Calibri"/>
        </w:rPr>
      </w:pPr>
    </w:p>
    <w:p w:rsidR="00012DA3" w:rsidP="00012DA3" w:rsidRDefault="00012DA3" w14:paraId="0DE83167" w14:textId="1FBBFD88">
      <w:pPr>
        <w:rPr>
          <w:rFonts w:ascii="Calibri" w:hAnsi="Calibri" w:cs="Calibri"/>
        </w:rPr>
      </w:pPr>
    </w:p>
    <w:p w:rsidR="00012DA3" w:rsidP="00012DA3" w:rsidRDefault="00012DA3" w14:paraId="09FA1E54" w14:textId="5B6A40C6">
      <w:pPr>
        <w:rPr>
          <w:rFonts w:ascii="Calibri" w:hAnsi="Calibri" w:cs="Calibri"/>
        </w:rPr>
      </w:pPr>
    </w:p>
    <w:p w:rsidR="00012DA3" w:rsidP="00012DA3" w:rsidRDefault="00012DA3" w14:paraId="1643D7FB" w14:textId="43C168D0">
      <w:pPr>
        <w:rPr>
          <w:rFonts w:ascii="Calibri" w:hAnsi="Calibri" w:cs="Calibri"/>
        </w:rPr>
      </w:pPr>
    </w:p>
    <w:p w:rsidR="777A2E16" w:rsidRDefault="777A2E16" w14:paraId="581364AE" w14:textId="5DE384BD">
      <w:r>
        <w:br w:type="page"/>
      </w:r>
    </w:p>
    <w:p w:rsidRPr="00012DA3" w:rsidR="00012DA3" w:rsidP="18EBBB11" w:rsidRDefault="6F662B91" w14:paraId="55E3356C" w14:textId="4D26163E">
      <w:pPr>
        <w:pStyle w:val="NormalWeb"/>
        <w:rPr>
          <w:rFonts w:ascii="Calibri" w:hAnsi="Calibri" w:eastAsia="" w:cs="Calibri" w:eastAsiaTheme="majorEastAsia"/>
          <w:b w:val="1"/>
          <w:bCs w:val="1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 xml:space="preserve">Supplementary Figure 8. </w:t>
      </w:r>
      <w:r w:rsidRPr="11070946" w:rsidR="11070946">
        <w:rPr>
          <w:rFonts w:ascii="Calibri" w:hAnsi="Calibri" w:eastAsia="" w:cs="Calibri" w:eastAsiaTheme="majorEastAsia"/>
          <w:i w:val="1"/>
          <w:iCs w:val="1"/>
        </w:rPr>
        <w:t xml:space="preserve">Phenome-wide association study (PheWAS) of polygenic scores in the Penn Medicine Biobank using estimated MME opioid dose for knee (top panel) and hip (bottom panel) arthroplasty. </w:t>
      </w:r>
      <w:r w:rsidRPr="11070946" w:rsidR="11070946">
        <w:rPr>
          <w:rFonts w:ascii="Calibri" w:hAnsi="Calibri" w:eastAsia="" w:cs="Calibri" w:eastAsiaTheme="majorEastAsia"/>
        </w:rPr>
        <w:t>A) EUR individuals B) AFR individuals. Each point represents the association –log₁₀(P) value between the genetic exposure and a clinical phenotype. Phenotypes are grouped by category along the x-axis. The red dashed line indicates the threshold for significance after multiple testing correction, while the blue line corresponds to the nominal significance level (P = 0.05). The top association within each phenotype category is labeled.</w:t>
      </w:r>
    </w:p>
    <w:p w:rsidR="00012DA3" w:rsidP="00012DA3" w:rsidRDefault="00012DA3" w14:paraId="2B9F60D7" w14:textId="31907F44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>A)</w:t>
      </w:r>
    </w:p>
    <w:p w:rsidR="00F0683E" w:rsidP="00012DA3" w:rsidRDefault="00F0683E" w14:paraId="73EAA20C" w14:textId="77777777">
      <w:pPr>
        <w:pStyle w:val="NormalWeb"/>
        <w:rPr>
          <w:rFonts w:ascii="Calibri" w:hAnsi="Calibri" w:cs="Calibri"/>
        </w:rPr>
      </w:pPr>
      <w:r w:rsidRPr="00F0683E">
        <w:rPr>
          <w:rFonts w:ascii="Calibri" w:hAnsi="Calibri" w:cs="Calibri"/>
          <w:noProof/>
        </w:rPr>
        <w:drawing>
          <wp:inline distT="0" distB="0" distL="0" distR="0" wp14:anchorId="01655695" wp14:editId="1B016F18">
            <wp:extent cx="5943600" cy="5405120"/>
            <wp:effectExtent l="0" t="0" r="0" b="5080"/>
            <wp:docPr id="1813133497" name="Picture 1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33497" name="Picture 1" descr="A screenshot of a cha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E" w:rsidRDefault="00F0683E" w14:paraId="3908BD3D" w14:textId="77777777">
      <w:pPr>
        <w:rPr>
          <w:rFonts w:ascii="Calibri" w:hAnsi="Calibri" w:eastAsia="Times New Roman" w:cs="Calibri"/>
          <w:kern w:val="0"/>
          <w14:ligatures w14:val="none"/>
        </w:rPr>
      </w:pPr>
      <w:r>
        <w:rPr>
          <w:rFonts w:ascii="Calibri" w:hAnsi="Calibri" w:cs="Calibri"/>
        </w:rPr>
        <w:br w:type="page"/>
      </w:r>
    </w:p>
    <w:p w:rsidRPr="00012DA3" w:rsidR="007B3656" w:rsidP="00012DA3" w:rsidRDefault="00012DA3" w14:paraId="454C33C9" w14:textId="0B578EAA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>B)</w:t>
      </w:r>
    </w:p>
    <w:p w:rsidRPr="00012DA3" w:rsidR="007B3656" w:rsidRDefault="00F0683E" w14:paraId="0F540F82" w14:textId="74464EC0">
      <w:pPr>
        <w:rPr>
          <w:rFonts w:ascii="Calibri" w:hAnsi="Calibri" w:cs="Calibri"/>
        </w:rPr>
      </w:pPr>
      <w:r w:rsidRPr="00F0683E">
        <w:rPr>
          <w:rFonts w:ascii="Calibri" w:hAnsi="Calibri" w:cs="Calibri"/>
          <w:noProof/>
        </w:rPr>
        <w:drawing>
          <wp:inline distT="0" distB="0" distL="0" distR="0" wp14:anchorId="4847FF68" wp14:editId="1BD1A7F7">
            <wp:extent cx="5667827" cy="5220335"/>
            <wp:effectExtent l="0" t="0" r="0" b="0"/>
            <wp:docPr id="610585429" name="Picture 1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5429" name="Picture 1" descr="A screenshot of a cha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593" cy="52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2DA3" w:rsidR="007B3656" w:rsidRDefault="007B3656" w14:paraId="1CE012C1" w14:textId="5B3C3D85">
      <w:pPr>
        <w:rPr>
          <w:rFonts w:ascii="Calibri" w:hAnsi="Calibri" w:cs="Calibri"/>
        </w:rPr>
      </w:pPr>
      <w:r w:rsidRPr="00012DA3">
        <w:rPr>
          <w:rFonts w:ascii="Calibri" w:hAnsi="Calibri" w:cs="Calibri"/>
        </w:rPr>
        <w:br w:type="page"/>
      </w:r>
    </w:p>
    <w:p w:rsidR="00012DA3" w:rsidP="18EBBB11" w:rsidRDefault="777A2E16" w14:paraId="13A6C141" w14:textId="419A85A3">
      <w:pPr>
        <w:pStyle w:val="NormalWeb"/>
        <w:rPr>
          <w:rFonts w:ascii="Calibri" w:hAnsi="Calibri" w:eastAsia="" w:cs="Calibri" w:eastAsiaTheme="majorEastAsia"/>
        </w:rPr>
      </w:pPr>
      <w:r w:rsidRPr="11070946" w:rsidR="11070946">
        <w:rPr>
          <w:rStyle w:val="fadeinm1hgl8"/>
          <w:rFonts w:ascii="Calibri" w:hAnsi="Calibri" w:eastAsia="" w:cs="Calibri" w:eastAsiaTheme="majorEastAsia"/>
          <w:b w:val="1"/>
          <w:bCs w:val="1"/>
        </w:rPr>
        <w:t xml:space="preserve">Supplementary Figure 9. </w:t>
      </w:r>
      <w:r w:rsidRPr="11070946" w:rsidR="11070946">
        <w:rPr>
          <w:rFonts w:ascii="Calibri" w:hAnsi="Calibri" w:eastAsia="" w:cs="Calibri" w:eastAsiaTheme="majorEastAsia"/>
          <w:i w:val="1"/>
          <w:iCs w:val="1"/>
        </w:rPr>
        <w:t>Phenome-wide association study (PheWAS) of polygenic scores in the Yale-Penn sample using estimated MME opioid dose for knee (top panel) and hip (bottom panel) arthroplasty.</w:t>
      </w:r>
      <w:r w:rsidRPr="11070946" w:rsidR="11070946">
        <w:rPr>
          <w:rFonts w:ascii="Calibri" w:hAnsi="Calibri" w:eastAsia="" w:cs="Calibri" w:eastAsiaTheme="majorEastAsia"/>
        </w:rPr>
        <w:t xml:space="preserve"> A) EUR ancestry B) AFR ancestry (knee(top) and hip (bottom)). Each point represents the association –log₁₀(P) value between the genetic exposure and a clinical phenotype. Phenotypes are grouped by category along the x-axis. The red dashed line indicates the threshold for significance after multiple testing correction, while the blue line corresponds to the nominal significance level (P = 0.05). The top association within each phenotype category is labeled.</w:t>
      </w:r>
    </w:p>
    <w:p w:rsidRPr="00012DA3" w:rsidR="00B606E0" w:rsidP="00012DA3" w:rsidRDefault="00B606E0" w14:paraId="7FB1FE65" w14:textId="4C0809FA">
      <w:pPr>
        <w:pStyle w:val="NormalWeb"/>
        <w:rPr>
          <w:rFonts w:ascii="Calibri" w:hAnsi="Calibri" w:cs="Calibri" w:eastAsiaTheme="majorEastAsia"/>
          <w:b/>
          <w:bCs/>
        </w:rPr>
      </w:pPr>
      <w:r>
        <w:rPr>
          <w:rFonts w:ascii="Calibri" w:hAnsi="Calibri" w:cs="Calibri" w:eastAsiaTheme="majorEastAsia"/>
        </w:rPr>
        <w:t>A)</w:t>
      </w:r>
    </w:p>
    <w:p w:rsidRPr="00012DA3" w:rsidR="007B3656" w:rsidRDefault="00667ACC" w14:paraId="3110F521" w14:textId="73157B4B">
      <w:pPr>
        <w:rPr>
          <w:rFonts w:ascii="Calibri" w:hAnsi="Calibri" w:cs="Calibri"/>
        </w:rPr>
      </w:pPr>
      <w:r w:rsidRPr="00667ACC">
        <w:rPr>
          <w:rFonts w:ascii="Calibri" w:hAnsi="Calibri" w:cs="Calibri"/>
          <w:noProof/>
        </w:rPr>
        <w:drawing>
          <wp:inline distT="0" distB="0" distL="0" distR="0" wp14:anchorId="1A27D8D2" wp14:editId="1F8C6A78">
            <wp:extent cx="5943600" cy="5116195"/>
            <wp:effectExtent l="0" t="0" r="0" b="1905"/>
            <wp:docPr id="170512960" name="Picture 1" descr="A chart of different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2960" name="Picture 1" descr="A chart of different colored dot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DA3" w:rsidR="007B3656">
        <w:rPr>
          <w:rFonts w:ascii="Calibri" w:hAnsi="Calibri" w:cs="Calibri"/>
        </w:rPr>
        <w:br w:type="page"/>
      </w:r>
    </w:p>
    <w:p w:rsidR="00B606E0" w:rsidRDefault="00B606E0" w14:paraId="4BF9694D" w14:textId="30353AB4">
      <w:pPr>
        <w:rPr>
          <w:rFonts w:ascii="Calibri" w:hAnsi="Calibri" w:cs="Calibri"/>
        </w:rPr>
      </w:pPr>
      <w:r>
        <w:rPr>
          <w:rFonts w:ascii="Calibri" w:hAnsi="Calibri" w:cs="Calibri"/>
        </w:rPr>
        <w:t>B)</w:t>
      </w:r>
    </w:p>
    <w:p w:rsidR="007B3656" w:rsidRDefault="00667ACC" w14:paraId="6798597C" w14:textId="6A821774">
      <w:pPr>
        <w:rPr>
          <w:rFonts w:ascii="Calibri" w:hAnsi="Calibri" w:cs="Calibri"/>
        </w:rPr>
      </w:pPr>
      <w:r w:rsidRPr="00667ACC">
        <w:rPr>
          <w:rFonts w:ascii="Calibri" w:hAnsi="Calibri" w:cs="Calibri"/>
          <w:noProof/>
        </w:rPr>
        <w:drawing>
          <wp:inline distT="0" distB="0" distL="0" distR="0" wp14:anchorId="074EEE1B" wp14:editId="2B5DD69F">
            <wp:extent cx="6261100" cy="5314577"/>
            <wp:effectExtent l="0" t="0" r="0" b="0"/>
            <wp:docPr id="657753496" name="Picture 1" descr="A chart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53496" name="Picture 1" descr="A chart of different colored line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6047" cy="53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2DA3" w:rsidR="001425C4" w:rsidRDefault="001425C4" w14:paraId="69A9DD77" w14:textId="7653D1CB">
      <w:pPr>
        <w:rPr>
          <w:rFonts w:ascii="Calibri" w:hAnsi="Calibri" w:cs="Calibri"/>
        </w:rPr>
      </w:pPr>
      <w:r w:rsidRPr="11070946">
        <w:rPr>
          <w:rFonts w:ascii="Calibri" w:hAnsi="Calibri" w:cs="Calibri"/>
        </w:rPr>
        <w:br w:type="page"/>
      </w:r>
    </w:p>
    <w:sectPr w:rsidRPr="00012DA3" w:rsidR="001425C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92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412"/>
    <w:rsid w:val="000120D9"/>
    <w:rsid w:val="00012DA3"/>
    <w:rsid w:val="00041216"/>
    <w:rsid w:val="000C365D"/>
    <w:rsid w:val="000D72F9"/>
    <w:rsid w:val="000E0BE3"/>
    <w:rsid w:val="001113F4"/>
    <w:rsid w:val="001425C4"/>
    <w:rsid w:val="00192D8A"/>
    <w:rsid w:val="001D2EF8"/>
    <w:rsid w:val="001D3A4E"/>
    <w:rsid w:val="00221ECF"/>
    <w:rsid w:val="002371E6"/>
    <w:rsid w:val="00244D03"/>
    <w:rsid w:val="002539CB"/>
    <w:rsid w:val="00256813"/>
    <w:rsid w:val="00280DD9"/>
    <w:rsid w:val="002C7380"/>
    <w:rsid w:val="002E7841"/>
    <w:rsid w:val="00326FBB"/>
    <w:rsid w:val="0033142F"/>
    <w:rsid w:val="003707E6"/>
    <w:rsid w:val="0038263B"/>
    <w:rsid w:val="003B2377"/>
    <w:rsid w:val="003F2DFA"/>
    <w:rsid w:val="004028C5"/>
    <w:rsid w:val="00417C8E"/>
    <w:rsid w:val="004A7CF0"/>
    <w:rsid w:val="005077CF"/>
    <w:rsid w:val="005537DB"/>
    <w:rsid w:val="00556478"/>
    <w:rsid w:val="0057762A"/>
    <w:rsid w:val="00593A43"/>
    <w:rsid w:val="005A268E"/>
    <w:rsid w:val="005B59DB"/>
    <w:rsid w:val="00642A8D"/>
    <w:rsid w:val="00667ACC"/>
    <w:rsid w:val="00684E60"/>
    <w:rsid w:val="006E2A4E"/>
    <w:rsid w:val="0070280C"/>
    <w:rsid w:val="007351BD"/>
    <w:rsid w:val="007B3656"/>
    <w:rsid w:val="00803D04"/>
    <w:rsid w:val="0084032B"/>
    <w:rsid w:val="008923DA"/>
    <w:rsid w:val="00894FD6"/>
    <w:rsid w:val="008E4E45"/>
    <w:rsid w:val="00922ACB"/>
    <w:rsid w:val="00954533"/>
    <w:rsid w:val="00954A08"/>
    <w:rsid w:val="00974B46"/>
    <w:rsid w:val="00980F38"/>
    <w:rsid w:val="00990C1E"/>
    <w:rsid w:val="00A517EE"/>
    <w:rsid w:val="00A67412"/>
    <w:rsid w:val="00AC34BD"/>
    <w:rsid w:val="00AD21D8"/>
    <w:rsid w:val="00B05557"/>
    <w:rsid w:val="00B55DA7"/>
    <w:rsid w:val="00B606E0"/>
    <w:rsid w:val="00BC0A56"/>
    <w:rsid w:val="00BD3DA9"/>
    <w:rsid w:val="00C33B8E"/>
    <w:rsid w:val="00C97395"/>
    <w:rsid w:val="00CC55BA"/>
    <w:rsid w:val="00D74F4C"/>
    <w:rsid w:val="00DC542E"/>
    <w:rsid w:val="00E11066"/>
    <w:rsid w:val="00E5646D"/>
    <w:rsid w:val="00E71AB9"/>
    <w:rsid w:val="00E82663"/>
    <w:rsid w:val="00F0683E"/>
    <w:rsid w:val="00F4354B"/>
    <w:rsid w:val="00F52D75"/>
    <w:rsid w:val="00F53915"/>
    <w:rsid w:val="00F77C60"/>
    <w:rsid w:val="00F8430A"/>
    <w:rsid w:val="00F92B66"/>
    <w:rsid w:val="00FF0DD9"/>
    <w:rsid w:val="11070946"/>
    <w:rsid w:val="18EBBB11"/>
    <w:rsid w:val="194C0C74"/>
    <w:rsid w:val="198A8760"/>
    <w:rsid w:val="2989DA4B"/>
    <w:rsid w:val="478A8717"/>
    <w:rsid w:val="5E217071"/>
    <w:rsid w:val="6F662B91"/>
    <w:rsid w:val="777A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6E98DC"/>
  <w15:chartTrackingRefBased/>
  <w15:docId w15:val="{0CBABBD9-38C2-3448-BB35-7EFF3EE208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41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41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6741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6741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6741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6741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6741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6741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6741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6741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67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41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6741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67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41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67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4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41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67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412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A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93A43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012DA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fadeinm1hgl8" w:customStyle="1">
    <w:name w:val="_fadein_m1hgl_8"/>
    <w:basedOn w:val="DefaultParagraphFont"/>
    <w:rsid w:val="00012DA3"/>
  </w:style>
  <w:style w:type="character" w:styleId="CommentReference">
    <w:name w:val="annotation reference"/>
    <w:basedOn w:val="DefaultParagraphFont"/>
    <w:uiPriority w:val="99"/>
    <w:semiHidden/>
    <w:unhideWhenUsed/>
    <w:rsid w:val="00192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D8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92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D8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92D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1.png" Id="rId18" /><Relationship Type="http://schemas.openxmlformats.org/officeDocument/2006/relationships/webSettings" Target="webSettings.xml" Id="rId3" /><Relationship Type="http://schemas.openxmlformats.org/officeDocument/2006/relationships/image" Target="media/image14.png" Id="rId21" /><Relationship Type="http://schemas.openxmlformats.org/officeDocument/2006/relationships/settings" Target="settings.xml" Id="rId2" /><Relationship Type="http://schemas.microsoft.com/office/2016/09/relationships/commentsIds" Target="commentsIds.xml" Id="rId16" /><Relationship Type="http://schemas.openxmlformats.org/officeDocument/2006/relationships/image" Target="media/image13.png" Id="rId20" /><Relationship Type="http://schemas.microsoft.com/office/2011/relationships/people" Target="people.xml" Id="rId29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microsoft.com/office/2011/relationships/commentsExtended" Target="commentsExtended.xml" Id="rId15" /><Relationship Type="http://schemas.openxmlformats.org/officeDocument/2006/relationships/image" Target="media/image16.png" Id="rId23" /><Relationship Type="http://schemas.openxmlformats.org/officeDocument/2006/relationships/fontTable" Target="fontTable.xml" Id="rId28" /><Relationship Type="http://schemas.openxmlformats.org/officeDocument/2006/relationships/image" Target="media/image1.png" Id="rId4" /><Relationship Type="http://schemas.openxmlformats.org/officeDocument/2006/relationships/image" Target="media/image15.png" Id="rId22" /><Relationship Type="http://schemas.openxmlformats.org/officeDocument/2006/relationships/theme" Target="theme/theme1.xml" Id="rId30" /><Relationship Type="http://schemas.openxmlformats.org/officeDocument/2006/relationships/image" Target="/media/image11.png" Id="R28a60c3a4495460c" /><Relationship Type="http://schemas.openxmlformats.org/officeDocument/2006/relationships/image" Target="/media/image12.png" Id="Rc8eff59c08394734" /><Relationship Type="http://schemas.openxmlformats.org/officeDocument/2006/relationships/image" Target="/media/image13.png" Id="R3540e55b41f94abb" /><Relationship Type="http://schemas.openxmlformats.org/officeDocument/2006/relationships/image" Target="/media/image14.png" Id="R8ca7ac415b3f47d9" /><Relationship Type="http://schemas.openxmlformats.org/officeDocument/2006/relationships/image" Target="/media/image15.png" Id="R29e408405e084775" /><Relationship Type="http://schemas.openxmlformats.org/officeDocument/2006/relationships/image" Target="/media/image16.png" Id="Rde3843a078d342eb" /><Relationship Type="http://schemas.openxmlformats.org/officeDocument/2006/relationships/image" Target="/media/image17.png" Id="R402c8a74e3314d69" /><Relationship Type="http://schemas.openxmlformats.org/officeDocument/2006/relationships/image" Target="/media/image18.png" Id="Rfb6e6f76b13041ba" /><Relationship Type="http://schemas.openxmlformats.org/officeDocument/2006/relationships/image" Target="/media/image5.jpg" Id="R0b0d1d30e65743b7" /><Relationship Type="http://schemas.openxmlformats.org/officeDocument/2006/relationships/image" Target="/media/image6.jpg" Id="Rd8b351d8f1a1470f" /><Relationship Type="http://schemas.openxmlformats.org/officeDocument/2006/relationships/image" Target="/media/image7.jpg" Id="R2748abe8114a4267" /><Relationship Type="http://schemas.openxmlformats.org/officeDocument/2006/relationships/image" Target="/media/imageb.jpg" Id="R3fdd5cc6635c49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Jinwala, Zeal</dc:creator>
  <keywords/>
  <dc:description/>
  <lastModifiedBy>Zeal Jinwala</lastModifiedBy>
  <revision>23</revision>
  <dcterms:created xsi:type="dcterms:W3CDTF">2025-05-09T17:13:00.0000000Z</dcterms:created>
  <dcterms:modified xsi:type="dcterms:W3CDTF">2025-06-02T17:58:57.9677263Z</dcterms:modified>
</coreProperties>
</file>