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09C4" w14:textId="5B682B78" w:rsidR="00A55F62" w:rsidRPr="00C26031" w:rsidRDefault="00A55F62" w:rsidP="00A55F62">
      <w:pPr>
        <w:pStyle w:val="Caption"/>
        <w:keepNext/>
        <w:rPr>
          <w:rFonts w:ascii="Times New Roman" w:hAnsi="Times New Roman" w:cs="Times New Roman"/>
          <w:i w:val="0"/>
          <w:iCs w:val="0"/>
          <w:color w:val="000000" w:themeColor="text1"/>
        </w:rPr>
      </w:pPr>
      <w:r w:rsidRPr="0015072B">
        <w:rPr>
          <w:rFonts w:ascii="Times New Roman" w:hAnsi="Times New Roman" w:cs="Times New Roman"/>
          <w:b/>
          <w:bCs/>
          <w:i w:val="0"/>
          <w:color w:val="000000" w:themeColor="text1"/>
          <w:sz w:val="22"/>
          <w:szCs w:val="22"/>
        </w:rPr>
        <w:t xml:space="preserve">Table </w:t>
      </w:r>
      <w:r w:rsidRPr="0015072B">
        <w:rPr>
          <w:rFonts w:ascii="Times New Roman" w:hAnsi="Times New Roman" w:cs="Times New Roman"/>
          <w:b/>
          <w:bCs/>
          <w:i w:val="0"/>
          <w:color w:val="000000" w:themeColor="text1"/>
          <w:sz w:val="22"/>
          <w:szCs w:val="22"/>
        </w:rPr>
        <w:fldChar w:fldCharType="begin"/>
      </w:r>
      <w:r w:rsidRPr="0015072B">
        <w:rPr>
          <w:rFonts w:ascii="Times New Roman" w:hAnsi="Times New Roman" w:cs="Times New Roman"/>
          <w:b/>
          <w:bCs/>
          <w:i w:val="0"/>
          <w:color w:val="000000" w:themeColor="text1"/>
          <w:sz w:val="22"/>
          <w:szCs w:val="22"/>
        </w:rPr>
        <w:instrText xml:space="preserve"> SEQ Table \* ARABIC </w:instrText>
      </w:r>
      <w:r w:rsidRPr="0015072B">
        <w:rPr>
          <w:rFonts w:ascii="Times New Roman" w:hAnsi="Times New Roman" w:cs="Times New Roman"/>
          <w:b/>
          <w:bCs/>
          <w:i w:val="0"/>
          <w:color w:val="000000" w:themeColor="text1"/>
          <w:sz w:val="22"/>
          <w:szCs w:val="22"/>
        </w:rPr>
        <w:fldChar w:fldCharType="separate"/>
      </w:r>
      <w:r w:rsidR="00C26031" w:rsidRPr="0015072B">
        <w:rPr>
          <w:rFonts w:ascii="Times New Roman" w:hAnsi="Times New Roman" w:cs="Times New Roman"/>
          <w:b/>
          <w:bCs/>
          <w:i w:val="0"/>
          <w:noProof/>
          <w:color w:val="000000" w:themeColor="text1"/>
          <w:sz w:val="22"/>
          <w:szCs w:val="22"/>
        </w:rPr>
        <w:t>1</w:t>
      </w:r>
      <w:r w:rsidRPr="0015072B">
        <w:rPr>
          <w:rFonts w:ascii="Times New Roman" w:hAnsi="Times New Roman" w:cs="Times New Roman"/>
          <w:b/>
          <w:bCs/>
          <w:i w:val="0"/>
          <w:color w:val="000000" w:themeColor="text1"/>
          <w:sz w:val="22"/>
          <w:szCs w:val="22"/>
        </w:rPr>
        <w:fldChar w:fldCharType="end"/>
      </w:r>
      <w:r w:rsidRPr="0015072B">
        <w:rPr>
          <w:rFonts w:ascii="Times New Roman" w:hAnsi="Times New Roman" w:cs="Times New Roman"/>
          <w:b/>
          <w:bCs/>
          <w:i w:val="0"/>
          <w:color w:val="000000" w:themeColor="text1"/>
          <w:sz w:val="22"/>
          <w:szCs w:val="22"/>
        </w:rPr>
        <w:t>.</w:t>
      </w:r>
      <w:r w:rsidRPr="00C26031">
        <w:rPr>
          <w:rFonts w:ascii="Times New Roman" w:hAnsi="Times New Roman" w:cs="Times New Roman"/>
          <w:i w:val="0"/>
          <w:iCs w:val="0"/>
          <w:color w:val="000000" w:themeColor="text1"/>
          <w:sz w:val="22"/>
          <w:szCs w:val="22"/>
        </w:rPr>
        <w:t xml:space="preserve"> </w:t>
      </w:r>
      <w:r w:rsidR="009F28C3" w:rsidRPr="007270B4">
        <w:rPr>
          <w:rFonts w:ascii="Times New Roman" w:hAnsi="Times New Roman" w:cs="Times New Roman"/>
          <w:i w:val="0"/>
          <w:iCs w:val="0"/>
          <w:color w:val="000000" w:themeColor="text1"/>
          <w:sz w:val="22"/>
          <w:szCs w:val="22"/>
        </w:rPr>
        <w:t>Comparative assessment of</w:t>
      </w:r>
      <w:r w:rsidR="007270B4" w:rsidRPr="007270B4">
        <w:rPr>
          <w:rFonts w:ascii="Times New Roman" w:hAnsi="Times New Roman" w:cs="Times New Roman"/>
          <w:i w:val="0"/>
          <w:iCs w:val="0"/>
          <w:color w:val="000000" w:themeColor="text1"/>
          <w:sz w:val="22"/>
          <w:szCs w:val="22"/>
        </w:rPr>
        <w:t xml:space="preserve"> submersible based</w:t>
      </w:r>
      <w:r w:rsidR="009F28C3" w:rsidRPr="007270B4">
        <w:rPr>
          <w:rFonts w:ascii="Times New Roman" w:hAnsi="Times New Roman" w:cs="Times New Roman"/>
          <w:i w:val="0"/>
          <w:iCs w:val="0"/>
          <w:color w:val="000000" w:themeColor="text1"/>
          <w:sz w:val="22"/>
          <w:szCs w:val="22"/>
        </w:rPr>
        <w:t xml:space="preserve"> raceway system </w:t>
      </w:r>
      <w:r w:rsidR="007270B4" w:rsidRPr="007270B4">
        <w:rPr>
          <w:rFonts w:ascii="Times New Roman" w:hAnsi="Times New Roman" w:cs="Times New Roman"/>
          <w:i w:val="0"/>
          <w:iCs w:val="0"/>
          <w:color w:val="000000" w:themeColor="text1"/>
          <w:sz w:val="22"/>
          <w:szCs w:val="22"/>
        </w:rPr>
        <w:t xml:space="preserve">with </w:t>
      </w:r>
      <w:r w:rsidR="007270B4">
        <w:rPr>
          <w:rFonts w:ascii="Times New Roman" w:hAnsi="Times New Roman" w:cs="Times New Roman"/>
          <w:i w:val="0"/>
          <w:iCs w:val="0"/>
          <w:color w:val="000000" w:themeColor="text1"/>
          <w:sz w:val="22"/>
          <w:szCs w:val="22"/>
        </w:rPr>
        <w:t>conventional raceway ponds in terms of biomass productivity and specific growth rate</w:t>
      </w:r>
    </w:p>
    <w:tbl>
      <w:tblPr>
        <w:tblStyle w:val="TableGrid"/>
        <w:tblpPr w:leftFromText="180" w:rightFromText="180" w:vertAnchor="page" w:horzAnchor="margin" w:tblpXSpec="center" w:tblpY="2335"/>
        <w:tblW w:w="10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16"/>
        <w:gridCol w:w="986"/>
        <w:gridCol w:w="1236"/>
        <w:gridCol w:w="816"/>
        <w:gridCol w:w="1163"/>
        <w:gridCol w:w="936"/>
        <w:gridCol w:w="727"/>
        <w:gridCol w:w="897"/>
        <w:gridCol w:w="1556"/>
      </w:tblGrid>
      <w:tr w:rsidR="00A55F62" w14:paraId="3AC746A5" w14:textId="77777777" w:rsidTr="00AF2837">
        <w:trPr>
          <w:trHeight w:val="351"/>
        </w:trPr>
        <w:tc>
          <w:tcPr>
            <w:tcW w:w="1440" w:type="dxa"/>
            <w:vMerge w:val="restart"/>
            <w:tcBorders>
              <w:top w:val="single" w:sz="18" w:space="0" w:color="auto"/>
              <w:bottom w:val="single" w:sz="4" w:space="0" w:color="auto"/>
            </w:tcBorders>
          </w:tcPr>
          <w:p w14:paraId="43A85201"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Algae</w:t>
            </w:r>
          </w:p>
        </w:tc>
        <w:tc>
          <w:tcPr>
            <w:tcW w:w="616" w:type="dxa"/>
            <w:vMerge w:val="restart"/>
            <w:tcBorders>
              <w:top w:val="single" w:sz="18" w:space="0" w:color="auto"/>
              <w:bottom w:val="single" w:sz="4" w:space="0" w:color="auto"/>
            </w:tcBorders>
          </w:tcPr>
          <w:p w14:paraId="2B5ECE53"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Scale</w:t>
            </w:r>
          </w:p>
        </w:tc>
        <w:tc>
          <w:tcPr>
            <w:tcW w:w="986" w:type="dxa"/>
            <w:vMerge w:val="restart"/>
            <w:tcBorders>
              <w:top w:val="single" w:sz="18" w:space="0" w:color="auto"/>
              <w:bottom w:val="single" w:sz="4" w:space="0" w:color="auto"/>
            </w:tcBorders>
          </w:tcPr>
          <w:p w14:paraId="6F1E1772"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Reactor</w:t>
            </w:r>
          </w:p>
        </w:tc>
        <w:tc>
          <w:tcPr>
            <w:tcW w:w="1236" w:type="dxa"/>
            <w:vMerge w:val="restart"/>
            <w:tcBorders>
              <w:top w:val="single" w:sz="18" w:space="0" w:color="auto"/>
              <w:bottom w:val="single" w:sz="4" w:space="0" w:color="auto"/>
            </w:tcBorders>
          </w:tcPr>
          <w:p w14:paraId="707673B0"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Growth media</w:t>
            </w:r>
          </w:p>
        </w:tc>
        <w:tc>
          <w:tcPr>
            <w:tcW w:w="816" w:type="dxa"/>
            <w:vMerge w:val="restart"/>
            <w:tcBorders>
              <w:top w:val="single" w:sz="18" w:space="0" w:color="auto"/>
              <w:bottom w:val="single" w:sz="4" w:space="0" w:color="auto"/>
            </w:tcBorders>
          </w:tcPr>
          <w:p w14:paraId="0B4109C5"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Specific growth rate</w:t>
            </w:r>
          </w:p>
        </w:tc>
        <w:tc>
          <w:tcPr>
            <w:tcW w:w="1163" w:type="dxa"/>
            <w:vMerge w:val="restart"/>
            <w:tcBorders>
              <w:top w:val="single" w:sz="18" w:space="0" w:color="auto"/>
              <w:bottom w:val="single" w:sz="4" w:space="0" w:color="auto"/>
            </w:tcBorders>
          </w:tcPr>
          <w:p w14:paraId="59209485"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Biomass productivity</w:t>
            </w:r>
          </w:p>
        </w:tc>
        <w:tc>
          <w:tcPr>
            <w:tcW w:w="2560" w:type="dxa"/>
            <w:gridSpan w:val="3"/>
            <w:tcBorders>
              <w:top w:val="single" w:sz="18" w:space="0" w:color="auto"/>
            </w:tcBorders>
          </w:tcPr>
          <w:p w14:paraId="51EE96DF" w14:textId="77777777" w:rsidR="00A55F62" w:rsidRPr="00E105A1" w:rsidRDefault="00A55F62" w:rsidP="00A55F62">
            <w:pPr>
              <w:jc w:val="center"/>
              <w:rPr>
                <w:rFonts w:ascii="Times New Roman" w:hAnsi="Times New Roman" w:cs="Times New Roman"/>
                <w:b/>
                <w:bCs/>
                <w:sz w:val="18"/>
                <w:szCs w:val="18"/>
              </w:rPr>
            </w:pPr>
            <w:r w:rsidRPr="00E105A1">
              <w:rPr>
                <w:rFonts w:ascii="Times New Roman" w:hAnsi="Times New Roman" w:cs="Times New Roman"/>
                <w:b/>
                <w:bCs/>
                <w:sz w:val="18"/>
                <w:szCs w:val="18"/>
              </w:rPr>
              <w:t>Growth Conditions</w:t>
            </w:r>
          </w:p>
        </w:tc>
        <w:tc>
          <w:tcPr>
            <w:tcW w:w="1556" w:type="dxa"/>
            <w:vMerge w:val="restart"/>
            <w:tcBorders>
              <w:top w:val="single" w:sz="18" w:space="0" w:color="auto"/>
              <w:bottom w:val="single" w:sz="4" w:space="0" w:color="auto"/>
            </w:tcBorders>
          </w:tcPr>
          <w:p w14:paraId="491EB9B6" w14:textId="77777777" w:rsidR="00A55F62" w:rsidRPr="00E105A1" w:rsidRDefault="00A55F62" w:rsidP="00A55F62">
            <w:pPr>
              <w:jc w:val="both"/>
              <w:rPr>
                <w:rFonts w:ascii="Times New Roman" w:hAnsi="Times New Roman" w:cs="Times New Roman"/>
                <w:b/>
                <w:bCs/>
                <w:sz w:val="18"/>
                <w:szCs w:val="18"/>
              </w:rPr>
            </w:pPr>
            <w:r w:rsidRPr="00E105A1">
              <w:rPr>
                <w:rFonts w:ascii="Times New Roman" w:hAnsi="Times New Roman" w:cs="Times New Roman"/>
                <w:b/>
                <w:bCs/>
                <w:sz w:val="18"/>
                <w:szCs w:val="18"/>
              </w:rPr>
              <w:t>Ref</w:t>
            </w:r>
          </w:p>
        </w:tc>
      </w:tr>
      <w:tr w:rsidR="00A55F62" w14:paraId="03B9D113" w14:textId="77777777" w:rsidTr="00AF2837">
        <w:trPr>
          <w:trHeight w:val="350"/>
        </w:trPr>
        <w:tc>
          <w:tcPr>
            <w:tcW w:w="1440" w:type="dxa"/>
            <w:vMerge/>
            <w:tcBorders>
              <w:bottom w:val="single" w:sz="18" w:space="0" w:color="auto"/>
            </w:tcBorders>
          </w:tcPr>
          <w:p w14:paraId="09EE0561" w14:textId="77777777" w:rsidR="00A55F62" w:rsidRPr="00B20CC2" w:rsidRDefault="00A55F62" w:rsidP="00A55F62">
            <w:pPr>
              <w:rPr>
                <w:rFonts w:ascii="Times New Roman" w:hAnsi="Times New Roman" w:cs="Times New Roman"/>
                <w:sz w:val="18"/>
                <w:szCs w:val="18"/>
              </w:rPr>
            </w:pPr>
          </w:p>
        </w:tc>
        <w:tc>
          <w:tcPr>
            <w:tcW w:w="616" w:type="dxa"/>
            <w:vMerge/>
            <w:tcBorders>
              <w:bottom w:val="single" w:sz="18" w:space="0" w:color="auto"/>
            </w:tcBorders>
          </w:tcPr>
          <w:p w14:paraId="0B512120" w14:textId="77777777" w:rsidR="00A55F62" w:rsidRPr="00B20CC2" w:rsidRDefault="00A55F62" w:rsidP="00A55F62">
            <w:pPr>
              <w:rPr>
                <w:rFonts w:ascii="Times New Roman" w:hAnsi="Times New Roman" w:cs="Times New Roman"/>
                <w:sz w:val="18"/>
                <w:szCs w:val="18"/>
              </w:rPr>
            </w:pPr>
          </w:p>
        </w:tc>
        <w:tc>
          <w:tcPr>
            <w:tcW w:w="986" w:type="dxa"/>
            <w:vMerge/>
            <w:tcBorders>
              <w:bottom w:val="single" w:sz="18" w:space="0" w:color="auto"/>
            </w:tcBorders>
          </w:tcPr>
          <w:p w14:paraId="427075A8" w14:textId="77777777" w:rsidR="00A55F62" w:rsidRPr="00B20CC2" w:rsidRDefault="00A55F62" w:rsidP="00A55F62">
            <w:pPr>
              <w:rPr>
                <w:rFonts w:ascii="Times New Roman" w:hAnsi="Times New Roman" w:cs="Times New Roman"/>
                <w:sz w:val="18"/>
                <w:szCs w:val="18"/>
              </w:rPr>
            </w:pPr>
          </w:p>
        </w:tc>
        <w:tc>
          <w:tcPr>
            <w:tcW w:w="1236" w:type="dxa"/>
            <w:vMerge/>
            <w:tcBorders>
              <w:bottom w:val="single" w:sz="18" w:space="0" w:color="auto"/>
            </w:tcBorders>
          </w:tcPr>
          <w:p w14:paraId="6F5E8E3D" w14:textId="77777777" w:rsidR="00A55F62" w:rsidRPr="00B20CC2" w:rsidRDefault="00A55F62" w:rsidP="00A55F62">
            <w:pPr>
              <w:rPr>
                <w:rFonts w:ascii="Times New Roman" w:hAnsi="Times New Roman" w:cs="Times New Roman"/>
                <w:sz w:val="18"/>
                <w:szCs w:val="18"/>
              </w:rPr>
            </w:pPr>
          </w:p>
        </w:tc>
        <w:tc>
          <w:tcPr>
            <w:tcW w:w="816" w:type="dxa"/>
            <w:vMerge/>
            <w:tcBorders>
              <w:bottom w:val="single" w:sz="18" w:space="0" w:color="auto"/>
            </w:tcBorders>
          </w:tcPr>
          <w:p w14:paraId="19839CB2" w14:textId="77777777" w:rsidR="00A55F62" w:rsidRPr="00B20CC2" w:rsidRDefault="00A55F62" w:rsidP="00A55F62">
            <w:pPr>
              <w:rPr>
                <w:rFonts w:ascii="Times New Roman" w:hAnsi="Times New Roman" w:cs="Times New Roman"/>
                <w:sz w:val="18"/>
                <w:szCs w:val="18"/>
              </w:rPr>
            </w:pPr>
          </w:p>
        </w:tc>
        <w:tc>
          <w:tcPr>
            <w:tcW w:w="1163" w:type="dxa"/>
            <w:vMerge/>
            <w:tcBorders>
              <w:bottom w:val="single" w:sz="18" w:space="0" w:color="auto"/>
            </w:tcBorders>
          </w:tcPr>
          <w:p w14:paraId="691F06BE" w14:textId="77777777" w:rsidR="00A55F62" w:rsidRPr="00B20CC2" w:rsidRDefault="00A55F62" w:rsidP="00A55F62">
            <w:pPr>
              <w:rPr>
                <w:rFonts w:ascii="Times New Roman" w:hAnsi="Times New Roman" w:cs="Times New Roman"/>
                <w:sz w:val="18"/>
                <w:szCs w:val="18"/>
              </w:rPr>
            </w:pPr>
          </w:p>
        </w:tc>
        <w:tc>
          <w:tcPr>
            <w:tcW w:w="936" w:type="dxa"/>
            <w:tcBorders>
              <w:bottom w:val="single" w:sz="18" w:space="0" w:color="auto"/>
            </w:tcBorders>
          </w:tcPr>
          <w:p w14:paraId="66529C0F" w14:textId="77777777" w:rsidR="00A55F62" w:rsidRPr="00E105A1" w:rsidRDefault="00A55F62" w:rsidP="00A55F62">
            <w:pPr>
              <w:rPr>
                <w:rFonts w:ascii="Times New Roman" w:hAnsi="Times New Roman" w:cs="Times New Roman"/>
                <w:b/>
                <w:bCs/>
                <w:sz w:val="18"/>
                <w:szCs w:val="18"/>
              </w:rPr>
            </w:pPr>
            <w:r w:rsidRPr="00E105A1">
              <w:rPr>
                <w:rFonts w:ascii="Times New Roman" w:hAnsi="Times New Roman" w:cs="Times New Roman"/>
                <w:b/>
                <w:bCs/>
                <w:sz w:val="18"/>
                <w:szCs w:val="18"/>
              </w:rPr>
              <w:t>Aeration</w:t>
            </w:r>
          </w:p>
        </w:tc>
        <w:tc>
          <w:tcPr>
            <w:tcW w:w="727" w:type="dxa"/>
            <w:tcBorders>
              <w:bottom w:val="single" w:sz="18" w:space="0" w:color="auto"/>
            </w:tcBorders>
          </w:tcPr>
          <w:p w14:paraId="0A39E104" w14:textId="77777777" w:rsidR="00A55F62" w:rsidRPr="00E105A1" w:rsidRDefault="00A55F62" w:rsidP="00A55F62">
            <w:pPr>
              <w:rPr>
                <w:rFonts w:ascii="Times New Roman" w:hAnsi="Times New Roman" w:cs="Times New Roman"/>
                <w:b/>
                <w:bCs/>
                <w:sz w:val="18"/>
                <w:szCs w:val="18"/>
              </w:rPr>
            </w:pPr>
            <w:r w:rsidRPr="00E105A1">
              <w:rPr>
                <w:rFonts w:ascii="Times New Roman" w:hAnsi="Times New Roman" w:cs="Times New Roman"/>
                <w:b/>
                <w:bCs/>
                <w:sz w:val="18"/>
                <w:szCs w:val="18"/>
              </w:rPr>
              <w:t>CO2 supply</w:t>
            </w:r>
          </w:p>
        </w:tc>
        <w:tc>
          <w:tcPr>
            <w:tcW w:w="897" w:type="dxa"/>
            <w:tcBorders>
              <w:bottom w:val="single" w:sz="18" w:space="0" w:color="auto"/>
            </w:tcBorders>
          </w:tcPr>
          <w:p w14:paraId="697A09B4" w14:textId="77777777" w:rsidR="00A55F62" w:rsidRPr="00E105A1" w:rsidRDefault="00A55F62" w:rsidP="00A55F62">
            <w:pPr>
              <w:rPr>
                <w:rFonts w:ascii="Times New Roman" w:hAnsi="Times New Roman" w:cs="Times New Roman"/>
                <w:b/>
                <w:bCs/>
                <w:sz w:val="18"/>
                <w:szCs w:val="18"/>
              </w:rPr>
            </w:pPr>
            <w:r w:rsidRPr="00E105A1">
              <w:rPr>
                <w:rFonts w:ascii="Times New Roman" w:hAnsi="Times New Roman" w:cs="Times New Roman"/>
                <w:b/>
                <w:bCs/>
                <w:sz w:val="18"/>
                <w:szCs w:val="18"/>
              </w:rPr>
              <w:t>Light Intensity</w:t>
            </w:r>
          </w:p>
        </w:tc>
        <w:tc>
          <w:tcPr>
            <w:tcW w:w="1556" w:type="dxa"/>
            <w:vMerge/>
            <w:tcBorders>
              <w:bottom w:val="single" w:sz="18" w:space="0" w:color="auto"/>
            </w:tcBorders>
          </w:tcPr>
          <w:p w14:paraId="09D32186" w14:textId="77777777" w:rsidR="00A55F62" w:rsidRPr="00B20CC2" w:rsidRDefault="00A55F62" w:rsidP="00A55F62">
            <w:pPr>
              <w:rPr>
                <w:rFonts w:ascii="Times New Roman" w:hAnsi="Times New Roman" w:cs="Times New Roman"/>
                <w:sz w:val="18"/>
                <w:szCs w:val="18"/>
              </w:rPr>
            </w:pPr>
          </w:p>
        </w:tc>
      </w:tr>
      <w:tr w:rsidR="00A55F62" w14:paraId="58DC12BC" w14:textId="77777777" w:rsidTr="00AF2837">
        <w:tc>
          <w:tcPr>
            <w:tcW w:w="1440" w:type="dxa"/>
            <w:tcBorders>
              <w:top w:val="single" w:sz="18" w:space="0" w:color="auto"/>
            </w:tcBorders>
          </w:tcPr>
          <w:p w14:paraId="0A966CA5" w14:textId="77777777" w:rsidR="00A55F62" w:rsidRPr="00B20CC2" w:rsidRDefault="00A55F62" w:rsidP="00A55F62">
            <w:pPr>
              <w:rPr>
                <w:rFonts w:ascii="Times New Roman" w:hAnsi="Times New Roman" w:cs="Times New Roman"/>
                <w:sz w:val="18"/>
                <w:szCs w:val="18"/>
              </w:rPr>
            </w:pPr>
            <w:r w:rsidRPr="00864BFD">
              <w:rPr>
                <w:rFonts w:ascii="Times New Roman" w:hAnsi="Times New Roman" w:cs="Times New Roman"/>
                <w:i/>
                <w:iCs/>
                <w:sz w:val="18"/>
                <w:szCs w:val="18"/>
              </w:rPr>
              <w:t>Scenedesmus</w:t>
            </w:r>
            <w:r w:rsidRPr="00B20CC2">
              <w:rPr>
                <w:rFonts w:ascii="Times New Roman" w:hAnsi="Times New Roman" w:cs="Times New Roman"/>
                <w:sz w:val="18"/>
                <w:szCs w:val="18"/>
              </w:rPr>
              <w:t xml:space="preserve"> sp</w:t>
            </w:r>
            <w:r>
              <w:rPr>
                <w:rFonts w:ascii="Times New Roman" w:hAnsi="Times New Roman" w:cs="Times New Roman"/>
                <w:sz w:val="18"/>
                <w:szCs w:val="18"/>
              </w:rPr>
              <w:t>.</w:t>
            </w:r>
          </w:p>
        </w:tc>
        <w:tc>
          <w:tcPr>
            <w:tcW w:w="616" w:type="dxa"/>
            <w:tcBorders>
              <w:top w:val="single" w:sz="18" w:space="0" w:color="auto"/>
            </w:tcBorders>
          </w:tcPr>
          <w:p w14:paraId="47D2A5E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Lab</w:t>
            </w:r>
          </w:p>
        </w:tc>
        <w:tc>
          <w:tcPr>
            <w:tcW w:w="986" w:type="dxa"/>
            <w:tcBorders>
              <w:top w:val="single" w:sz="18" w:space="0" w:color="auto"/>
            </w:tcBorders>
          </w:tcPr>
          <w:p w14:paraId="7733259E"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Open raceway pond</w:t>
            </w:r>
          </w:p>
        </w:tc>
        <w:tc>
          <w:tcPr>
            <w:tcW w:w="1236" w:type="dxa"/>
            <w:tcBorders>
              <w:top w:val="single" w:sz="18" w:space="0" w:color="auto"/>
            </w:tcBorders>
          </w:tcPr>
          <w:p w14:paraId="00372007"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Synthetic media (BBM)</w:t>
            </w:r>
          </w:p>
        </w:tc>
        <w:tc>
          <w:tcPr>
            <w:tcW w:w="816" w:type="dxa"/>
            <w:tcBorders>
              <w:top w:val="single" w:sz="18" w:space="0" w:color="auto"/>
            </w:tcBorders>
          </w:tcPr>
          <w:p w14:paraId="5DD4694F"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0.16</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p>
        </w:tc>
        <w:tc>
          <w:tcPr>
            <w:tcW w:w="1163" w:type="dxa"/>
            <w:tcBorders>
              <w:top w:val="single" w:sz="18" w:space="0" w:color="auto"/>
            </w:tcBorders>
          </w:tcPr>
          <w:p w14:paraId="38D8E174"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 xml:space="preserve">0.295 g </w:t>
            </w:r>
            <w:r w:rsidRPr="00B20CC2">
              <w:rPr>
                <w:rFonts w:ascii="Times New Roman" w:hAnsi="Times New Roman" w:cs="Times New Roman"/>
                <w:sz w:val="18"/>
                <w:szCs w:val="18"/>
              </w:rPr>
              <w:t>L</w:t>
            </w:r>
            <w:r w:rsidRPr="009C14D7">
              <w:rPr>
                <w:rFonts w:ascii="Times New Roman" w:hAnsi="Times New Roman" w:cs="Times New Roman"/>
                <w:sz w:val="18"/>
                <w:szCs w:val="18"/>
                <w:vertAlign w:val="superscript"/>
              </w:rPr>
              <w:t>-1</w:t>
            </w:r>
            <w:r w:rsidRPr="00B20CC2">
              <w:rPr>
                <w:rFonts w:ascii="Times New Roman" w:hAnsi="Times New Roman" w:cs="Times New Roman"/>
                <w:sz w:val="18"/>
                <w:szCs w:val="18"/>
              </w:rPr>
              <w:t xml:space="preserve"> d</w:t>
            </w:r>
            <w:r w:rsidRPr="00DE50C2">
              <w:rPr>
                <w:rFonts w:ascii="Times New Roman" w:hAnsi="Times New Roman" w:cs="Times New Roman"/>
                <w:sz w:val="18"/>
                <w:szCs w:val="18"/>
                <w:vertAlign w:val="superscript"/>
              </w:rPr>
              <w:t>-1</w:t>
            </w:r>
            <w:r>
              <w:rPr>
                <w:rFonts w:ascii="Times New Roman" w:hAnsi="Times New Roman" w:cs="Times New Roman"/>
                <w:sz w:val="18"/>
                <w:szCs w:val="18"/>
              </w:rPr>
              <w:t xml:space="preserve"> or 14</w:t>
            </w:r>
            <w:r w:rsidRPr="00B20CC2">
              <w:rPr>
                <w:rFonts w:ascii="Times New Roman" w:hAnsi="Times New Roman" w:cs="Times New Roman"/>
                <w:sz w:val="18"/>
                <w:szCs w:val="18"/>
              </w:rPr>
              <w:t xml:space="preserve">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tc>
        <w:tc>
          <w:tcPr>
            <w:tcW w:w="936" w:type="dxa"/>
            <w:tcBorders>
              <w:top w:val="single" w:sz="18" w:space="0" w:color="auto"/>
            </w:tcBorders>
          </w:tcPr>
          <w:p w14:paraId="734DFAA0"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N</w:t>
            </w:r>
            <w:r w:rsidRPr="00B20CC2">
              <w:rPr>
                <w:rFonts w:ascii="Times New Roman" w:hAnsi="Times New Roman" w:cs="Times New Roman"/>
                <w:sz w:val="18"/>
                <w:szCs w:val="18"/>
              </w:rPr>
              <w:t>o</w:t>
            </w:r>
          </w:p>
        </w:tc>
        <w:tc>
          <w:tcPr>
            <w:tcW w:w="727" w:type="dxa"/>
            <w:tcBorders>
              <w:top w:val="single" w:sz="18" w:space="0" w:color="auto"/>
            </w:tcBorders>
          </w:tcPr>
          <w:p w14:paraId="1194C403"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N</w:t>
            </w:r>
            <w:r w:rsidRPr="00B20CC2">
              <w:rPr>
                <w:rFonts w:ascii="Times New Roman" w:hAnsi="Times New Roman" w:cs="Times New Roman"/>
                <w:sz w:val="18"/>
                <w:szCs w:val="18"/>
              </w:rPr>
              <w:t>o</w:t>
            </w:r>
          </w:p>
        </w:tc>
        <w:tc>
          <w:tcPr>
            <w:tcW w:w="897" w:type="dxa"/>
            <w:tcBorders>
              <w:top w:val="single" w:sz="18" w:space="0" w:color="auto"/>
            </w:tcBorders>
          </w:tcPr>
          <w:p w14:paraId="1330728C"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75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tcBorders>
              <w:top w:val="single" w:sz="18" w:space="0" w:color="auto"/>
            </w:tcBorders>
          </w:tcPr>
          <w:p w14:paraId="44A714F7"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This study</w:t>
            </w:r>
          </w:p>
        </w:tc>
      </w:tr>
      <w:tr w:rsidR="00A55F62" w14:paraId="58280073" w14:textId="77777777" w:rsidTr="00A55F62">
        <w:tc>
          <w:tcPr>
            <w:tcW w:w="1440" w:type="dxa"/>
          </w:tcPr>
          <w:p w14:paraId="0DC78952" w14:textId="77777777" w:rsidR="00A55F62" w:rsidRPr="00B20CC2" w:rsidRDefault="00A55F62" w:rsidP="00A55F62">
            <w:pPr>
              <w:rPr>
                <w:rFonts w:ascii="Times New Roman" w:hAnsi="Times New Roman" w:cs="Times New Roman"/>
                <w:sz w:val="18"/>
                <w:szCs w:val="18"/>
              </w:rPr>
            </w:pPr>
            <w:r w:rsidRPr="00864BFD">
              <w:rPr>
                <w:rFonts w:ascii="Times New Roman" w:hAnsi="Times New Roman" w:cs="Times New Roman"/>
                <w:i/>
                <w:iCs/>
                <w:sz w:val="18"/>
                <w:szCs w:val="18"/>
              </w:rPr>
              <w:t>Scenedesmus</w:t>
            </w:r>
            <w:r w:rsidRPr="00B20CC2">
              <w:rPr>
                <w:rFonts w:ascii="Times New Roman" w:hAnsi="Times New Roman" w:cs="Times New Roman"/>
                <w:sz w:val="18"/>
                <w:szCs w:val="18"/>
              </w:rPr>
              <w:t xml:space="preserve"> sp.</w:t>
            </w:r>
          </w:p>
        </w:tc>
        <w:tc>
          <w:tcPr>
            <w:tcW w:w="616" w:type="dxa"/>
          </w:tcPr>
          <w:p w14:paraId="3AEBCC28"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Pilot</w:t>
            </w:r>
          </w:p>
        </w:tc>
        <w:tc>
          <w:tcPr>
            <w:tcW w:w="986" w:type="dxa"/>
          </w:tcPr>
          <w:p w14:paraId="0303EB4F"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Outdoor Open Raceway Pond</w:t>
            </w:r>
          </w:p>
        </w:tc>
        <w:tc>
          <w:tcPr>
            <w:tcW w:w="1236" w:type="dxa"/>
          </w:tcPr>
          <w:p w14:paraId="4866E1D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Anaerobically digested effluent</w:t>
            </w:r>
          </w:p>
          <w:p w14:paraId="2DF281B2" w14:textId="77777777" w:rsidR="00A55F62" w:rsidRPr="00B20CC2" w:rsidRDefault="00A55F62" w:rsidP="00A55F62">
            <w:pPr>
              <w:rPr>
                <w:rFonts w:ascii="Times New Roman" w:hAnsi="Times New Roman" w:cs="Times New Roman"/>
                <w:sz w:val="18"/>
                <w:szCs w:val="18"/>
              </w:rPr>
            </w:pPr>
          </w:p>
          <w:p w14:paraId="4B6667EC" w14:textId="77777777" w:rsidR="00A55F62" w:rsidRPr="00B20CC2" w:rsidRDefault="00A55F62" w:rsidP="00A55F62">
            <w:pPr>
              <w:rPr>
                <w:rFonts w:ascii="Times New Roman" w:hAnsi="Times New Roman" w:cs="Times New Roman"/>
                <w:sz w:val="18"/>
                <w:szCs w:val="18"/>
              </w:rPr>
            </w:pPr>
          </w:p>
        </w:tc>
        <w:tc>
          <w:tcPr>
            <w:tcW w:w="816" w:type="dxa"/>
          </w:tcPr>
          <w:p w14:paraId="32ADB5E8"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1163" w:type="dxa"/>
          </w:tcPr>
          <w:p w14:paraId="4D2851B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19.0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tcPr>
          <w:p w14:paraId="1ED37116" w14:textId="77777777" w:rsidR="00A55F6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tc>
        <w:tc>
          <w:tcPr>
            <w:tcW w:w="727" w:type="dxa"/>
          </w:tcPr>
          <w:p w14:paraId="30A614C9" w14:textId="77777777" w:rsidR="00A55F6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tc>
        <w:tc>
          <w:tcPr>
            <w:tcW w:w="897" w:type="dxa"/>
          </w:tcPr>
          <w:p w14:paraId="6E783AE8"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25.9 (</w:t>
            </w:r>
            <w:proofErr w:type="spellStart"/>
            <w:r w:rsidRPr="00B20CC2">
              <w:rPr>
                <w:rFonts w:ascii="Times New Roman" w:hAnsi="Times New Roman" w:cs="Times New Roman"/>
                <w:sz w:val="18"/>
                <w:szCs w:val="18"/>
              </w:rPr>
              <w:t>Mj</w:t>
            </w:r>
            <w:proofErr w:type="spellEnd"/>
            <w:r w:rsidRPr="00B20CC2">
              <w:rPr>
                <w:rFonts w:ascii="Times New Roman" w:hAnsi="Times New Roman" w:cs="Times New Roman"/>
                <w:sz w:val="18"/>
                <w:szCs w:val="18"/>
              </w:rPr>
              <w:t xml:space="preserve"> m</w:t>
            </w:r>
            <w:r w:rsidRPr="00E105A1">
              <w:rPr>
                <w:rFonts w:ascii="Times New Roman" w:hAnsi="Times New Roman" w:cs="Times New Roman"/>
                <w:sz w:val="18"/>
                <w:szCs w:val="18"/>
                <w:vertAlign w:val="superscript"/>
              </w:rPr>
              <w:t>− 2</w:t>
            </w:r>
            <w:r w:rsidRPr="00B20CC2">
              <w:rPr>
                <w:rFonts w:ascii="Times New Roman" w:hAnsi="Times New Roman" w:cs="Times New Roman"/>
                <w:sz w:val="18"/>
                <w:szCs w:val="18"/>
              </w:rPr>
              <w:t xml:space="preserve"> d</w:t>
            </w:r>
            <w:r w:rsidRPr="00E105A1">
              <w:rPr>
                <w:rFonts w:ascii="Times New Roman" w:hAnsi="Times New Roman" w:cs="Times New Roman"/>
                <w:sz w:val="18"/>
                <w:szCs w:val="18"/>
                <w:vertAlign w:val="superscript"/>
              </w:rPr>
              <w:t xml:space="preserve">− 1 </w:t>
            </w:r>
            <w:r w:rsidRPr="00B20CC2">
              <w:rPr>
                <w:rFonts w:ascii="Times New Roman" w:hAnsi="Times New Roman" w:cs="Times New Roman"/>
                <w:sz w:val="18"/>
                <w:szCs w:val="18"/>
              </w:rPr>
              <w:t>)</w:t>
            </w:r>
          </w:p>
        </w:tc>
        <w:tc>
          <w:tcPr>
            <w:tcW w:w="1556" w:type="dxa"/>
          </w:tcPr>
          <w:p w14:paraId="1578D8F6" w14:textId="77777777" w:rsidR="00A55F62" w:rsidRPr="00F127D8" w:rsidRDefault="00A55F62" w:rsidP="00A55F62">
            <w:pPr>
              <w:rPr>
                <w:rFonts w:asciiTheme="majorBidi" w:hAnsiTheme="majorBidi" w:cstheme="majorBidi"/>
                <w:sz w:val="18"/>
                <w:szCs w:val="18"/>
              </w:rPr>
            </w:pPr>
            <w:r>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{"citationItems":[{"id":"ITEM-1","itemData":{"DOI":"10.1016/j.scitotenv.2024.171554","ISSN":"18791026","PMID":"38458470","abstract":"A model based framework was established for large scale assessment of microalgae production using anaerobically digested effluent considering varied climatic parameters such as solar irradiance and air temperature. The aim of this research was to identify the optimum monthly average culture depth operation to minimize the cost of producing microalgae grown on anaerobic digestion effluents rich in ammoniacal nitrogen with concentration of 248 mg L−1. First, a productivity model combined with a thermal model was developed to simulate microalgae productivity in open raceway ponds as a function of climatic variables. Second, by combining the comprehensive open pond model with other harvesting equipment, the final techno economic model was developed to produce a microalgae product with 20 wt% biomass content and treated water with &lt;1 mg L−1 ammoniacal nitrogen. The optimization approach on culture depth for outdoor open raceway ponds managed to reduce the cost of microalgae production grown in anaerobic digested wastewater up to 16 %, being a suitable solution for the production of low cost microalgae (1.7 AUD kg−1 dry weight) at possible scale of 1300 t dry weight microalgae yr−1.","author":[{"dropping-particle":"","family":"Alavianghavanini","given":"Arsalan","non-dropping-particle":"","parse-names":false,"suffix":""},{"dropping-particle":"","family":"Moheimani","given":"Navid R.","non-dropping-particle":"","parse-names":false,"suffix":""},{"dropping-particle":"","family":"Bahri","given":"Parisa A.","non-dropping-particle":"","parse-names":false,"suffix":""}],"container-title":"Science of the Total Environment","id":"ITEM-1","issue":"November 2023","issued":{"date-parts":[["2024"]]},"page":"171554","publisher":"Elsevier B.V.","title":"Process design and economic analysis for the production of microalgae from anaerobic digestates in open raceway ponds","type":"article-journal","volume":"923"},"uris":["http://www.mendeley.com/documents/?uuid=ee921c78-0625-40ba-a143-864932294377"]}],"mendeley":{"formattedCitation":"(Alavianghavanini et al., 2024)","plainTextFormattedCitation":"(Alavianghavanini et al., 2024)","previouslyFormattedCitation":"(Alavianghavanini et al., 2024)"},"properties":{"noteIndex":0},"schema":"https://github.com/citation-style-language/schema/raw/master/csl-citation.json"}</w:instrText>
            </w:r>
            <w:r>
              <w:rPr>
                <w:rFonts w:asciiTheme="majorBidi" w:hAnsiTheme="majorBidi" w:cstheme="majorBidi"/>
                <w:sz w:val="18"/>
                <w:szCs w:val="18"/>
              </w:rPr>
              <w:fldChar w:fldCharType="separate"/>
            </w:r>
            <w:r w:rsidRPr="000E1534">
              <w:rPr>
                <w:rFonts w:asciiTheme="majorBidi" w:hAnsiTheme="majorBidi" w:cstheme="majorBidi"/>
                <w:noProof/>
                <w:sz w:val="18"/>
                <w:szCs w:val="18"/>
              </w:rPr>
              <w:t>(Alavianghavanini et al., 2024)</w:t>
            </w:r>
            <w:r>
              <w:rPr>
                <w:rFonts w:asciiTheme="majorBidi" w:hAnsiTheme="majorBidi" w:cstheme="majorBidi"/>
                <w:sz w:val="18"/>
                <w:szCs w:val="18"/>
              </w:rPr>
              <w:fldChar w:fldCharType="end"/>
            </w:r>
          </w:p>
        </w:tc>
      </w:tr>
      <w:tr w:rsidR="00A55F62" w14:paraId="4A9F0F09" w14:textId="77777777" w:rsidTr="00A55F62">
        <w:tc>
          <w:tcPr>
            <w:tcW w:w="1440" w:type="dxa"/>
          </w:tcPr>
          <w:p w14:paraId="11A626A1" w14:textId="77777777" w:rsidR="00A55F62" w:rsidRPr="00864BFD" w:rsidRDefault="00A55F62" w:rsidP="00A55F62">
            <w:pPr>
              <w:rPr>
                <w:rFonts w:ascii="Times New Roman" w:hAnsi="Times New Roman" w:cs="Times New Roman"/>
                <w:i/>
                <w:iCs/>
                <w:sz w:val="18"/>
                <w:szCs w:val="18"/>
              </w:rPr>
            </w:pPr>
            <w:proofErr w:type="spellStart"/>
            <w:r w:rsidRPr="00864BFD">
              <w:rPr>
                <w:rFonts w:ascii="Times New Roman" w:hAnsi="Times New Roman" w:cs="Times New Roman"/>
                <w:i/>
                <w:iCs/>
                <w:sz w:val="18"/>
                <w:szCs w:val="18"/>
              </w:rPr>
              <w:t>Nannochloropsis</w:t>
            </w:r>
            <w:proofErr w:type="spellEnd"/>
            <w:r w:rsidRPr="00864BFD">
              <w:rPr>
                <w:rFonts w:ascii="Times New Roman" w:hAnsi="Times New Roman" w:cs="Times New Roman"/>
                <w:i/>
                <w:iCs/>
                <w:sz w:val="18"/>
                <w:szCs w:val="18"/>
              </w:rPr>
              <w:t xml:space="preserve"> </w:t>
            </w:r>
            <w:proofErr w:type="spellStart"/>
            <w:r w:rsidRPr="00864BFD">
              <w:rPr>
                <w:rFonts w:ascii="Times New Roman" w:hAnsi="Times New Roman" w:cs="Times New Roman"/>
                <w:i/>
                <w:iCs/>
                <w:sz w:val="18"/>
                <w:szCs w:val="18"/>
              </w:rPr>
              <w:t>oculata</w:t>
            </w:r>
            <w:proofErr w:type="spellEnd"/>
          </w:p>
        </w:tc>
        <w:tc>
          <w:tcPr>
            <w:tcW w:w="616" w:type="dxa"/>
          </w:tcPr>
          <w:p w14:paraId="2E24A2B7"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Lab</w:t>
            </w:r>
          </w:p>
        </w:tc>
        <w:tc>
          <w:tcPr>
            <w:tcW w:w="986" w:type="dxa"/>
          </w:tcPr>
          <w:p w14:paraId="4E83111C"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 xml:space="preserve">Open raceway pond </w:t>
            </w:r>
          </w:p>
        </w:tc>
        <w:tc>
          <w:tcPr>
            <w:tcW w:w="1236" w:type="dxa"/>
          </w:tcPr>
          <w:p w14:paraId="153435B8"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Synthetic media (f/2)</w:t>
            </w:r>
          </w:p>
        </w:tc>
        <w:tc>
          <w:tcPr>
            <w:tcW w:w="816" w:type="dxa"/>
          </w:tcPr>
          <w:p w14:paraId="0EFD7F75"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0.14</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p>
        </w:tc>
        <w:tc>
          <w:tcPr>
            <w:tcW w:w="1163" w:type="dxa"/>
          </w:tcPr>
          <w:p w14:paraId="2E0F540B"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936" w:type="dxa"/>
          </w:tcPr>
          <w:p w14:paraId="1D17E7BD"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Yes</w:t>
            </w:r>
          </w:p>
        </w:tc>
        <w:tc>
          <w:tcPr>
            <w:tcW w:w="727" w:type="dxa"/>
          </w:tcPr>
          <w:p w14:paraId="39220AE9"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Yes</w:t>
            </w:r>
          </w:p>
        </w:tc>
        <w:tc>
          <w:tcPr>
            <w:tcW w:w="897" w:type="dxa"/>
          </w:tcPr>
          <w:p w14:paraId="6A0970E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800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tcPr>
          <w:p w14:paraId="073D02BF" w14:textId="6BEBE612"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{"citationItems":[{"id":"ITEM-1","itemData":{"DOI":"10.5555/20183127749","author":[{"dropping-particle":"","family":"Sun YaHui Sun YaHui, Huang Yun Huang Yun, Liao Qiang Liao Qiang, Xia Ao Xia Ao, Fu Qian Fu Qian, Zhu Xun Zhu Xun","given":"Fu JingWei Fu JingWei","non-dropping-particle":"","parse-names":false,"suffix":""}],"container-title":"Bioresource Technology","id":"ITEM-1","issued":{"date-parts":[["2018"]]},"page":"880-889 ref. 37","title":"Boosting Nannochloropsis oculata growth and lipid accumulation in a lab-scale open raceway pond characterized by improved light distributions employing built-in planar waveguide modules.","type":"article-journal","volume":"Vol. 249"},"uris":["http://www.mendeley.com/documents/?uuid=19cb28cb-0753-429a-bc64-6b3586e9ba9e"]}],"mendeley":{"formattedCitation":"(Sun YaHui Sun YaHui, Huang Yun Huang Yun, Liao Qiang Liao Qiang, Xia Ao Xia Ao, Fu Qian Fu Qian, Zhu Xun Zhu Xun, 2018)","manualFormatting":"(YaHui. S. et al., 2018)","plainTextFormattedCitation":"(Sun YaHui Sun YaHui, Huang Yun Huang Yun, Liao Qiang Liao Qiang, Xia Ao Xia Ao, Fu Qian Fu Qian, Zhu Xun Zhu Xun, 2018)","previouslyFormattedCitation":"(Sun YaHui Sun YaHui, Huang Yun Huang Yun, Liao Qiang Liao Qiang, Xia Ao Xia Ao, Fu Qian Fu Qian, Zhu Xun Zhu Xun, 2018)"},"properties":{"noteIndex":0},"schema":"https://github.com/citation-style-language/schema/raw/master/csl-citation.json"}</w:instrText>
            </w:r>
            <w:r>
              <w:rPr>
                <w:rFonts w:ascii="Times New Roman" w:hAnsi="Times New Roman" w:cs="Times New Roman"/>
                <w:sz w:val="18"/>
                <w:szCs w:val="18"/>
              </w:rPr>
              <w:fldChar w:fldCharType="separate"/>
            </w:r>
            <w:r w:rsidR="004F253C">
              <w:rPr>
                <w:rFonts w:ascii="Times New Roman" w:hAnsi="Times New Roman" w:cs="Times New Roman"/>
                <w:noProof/>
                <w:sz w:val="18"/>
                <w:szCs w:val="18"/>
              </w:rPr>
              <w:t>(</w:t>
            </w:r>
            <w:r>
              <w:rPr>
                <w:rFonts w:ascii="Times New Roman" w:hAnsi="Times New Roman" w:cs="Times New Roman"/>
                <w:noProof/>
                <w:sz w:val="18"/>
                <w:szCs w:val="18"/>
              </w:rPr>
              <w:t>S</w:t>
            </w:r>
            <w:r w:rsidR="004F253C">
              <w:rPr>
                <w:rFonts w:ascii="Times New Roman" w:hAnsi="Times New Roman" w:cs="Times New Roman"/>
                <w:noProof/>
                <w:sz w:val="18"/>
                <w:szCs w:val="18"/>
              </w:rPr>
              <w:t>un</w:t>
            </w:r>
            <w:r>
              <w:rPr>
                <w:rFonts w:ascii="Times New Roman" w:hAnsi="Times New Roman" w:cs="Times New Roman"/>
                <w:noProof/>
                <w:sz w:val="18"/>
                <w:szCs w:val="18"/>
              </w:rPr>
              <w:t>.</w:t>
            </w:r>
            <w:r w:rsidRPr="00AB319D">
              <w:rPr>
                <w:rFonts w:ascii="Times New Roman" w:hAnsi="Times New Roman" w:cs="Times New Roman"/>
                <w:noProof/>
                <w:sz w:val="18"/>
                <w:szCs w:val="18"/>
              </w:rPr>
              <w:t xml:space="preserve"> </w:t>
            </w:r>
            <w:r>
              <w:rPr>
                <w:rFonts w:ascii="Times New Roman" w:hAnsi="Times New Roman" w:cs="Times New Roman"/>
                <w:noProof/>
                <w:sz w:val="18"/>
                <w:szCs w:val="18"/>
              </w:rPr>
              <w:t xml:space="preserve">et al., </w:t>
            </w:r>
            <w:r w:rsidRPr="00AB319D">
              <w:rPr>
                <w:rFonts w:ascii="Times New Roman" w:hAnsi="Times New Roman" w:cs="Times New Roman"/>
                <w:noProof/>
                <w:sz w:val="18"/>
                <w:szCs w:val="18"/>
              </w:rPr>
              <w:t>2018)</w:t>
            </w:r>
            <w:r>
              <w:rPr>
                <w:rFonts w:ascii="Times New Roman" w:hAnsi="Times New Roman" w:cs="Times New Roman"/>
                <w:sz w:val="18"/>
                <w:szCs w:val="18"/>
              </w:rPr>
              <w:fldChar w:fldCharType="end"/>
            </w:r>
          </w:p>
        </w:tc>
      </w:tr>
      <w:tr w:rsidR="00A55F62" w14:paraId="2DAE0CB2" w14:textId="77777777" w:rsidTr="00A55F62">
        <w:trPr>
          <w:trHeight w:val="526"/>
        </w:trPr>
        <w:tc>
          <w:tcPr>
            <w:tcW w:w="1440" w:type="dxa"/>
            <w:vMerge w:val="restart"/>
          </w:tcPr>
          <w:p w14:paraId="5310A835" w14:textId="77777777" w:rsidR="00A55F62" w:rsidRPr="00B20CC2" w:rsidRDefault="00A55F62" w:rsidP="00A55F62">
            <w:pPr>
              <w:rPr>
                <w:rFonts w:ascii="Times New Roman" w:hAnsi="Times New Roman" w:cs="Times New Roman"/>
                <w:sz w:val="18"/>
                <w:szCs w:val="18"/>
              </w:rPr>
            </w:pPr>
            <w:r w:rsidRPr="00864BFD">
              <w:rPr>
                <w:rFonts w:ascii="Times New Roman" w:hAnsi="Times New Roman" w:cs="Times New Roman"/>
                <w:i/>
                <w:iCs/>
                <w:sz w:val="18"/>
                <w:szCs w:val="18"/>
              </w:rPr>
              <w:t xml:space="preserve">Scenedesmus </w:t>
            </w:r>
            <w:r w:rsidRPr="00B20CC2">
              <w:rPr>
                <w:rFonts w:ascii="Times New Roman" w:hAnsi="Times New Roman" w:cs="Times New Roman"/>
                <w:sz w:val="18"/>
                <w:szCs w:val="18"/>
              </w:rPr>
              <w:t>sp.</w:t>
            </w:r>
          </w:p>
        </w:tc>
        <w:tc>
          <w:tcPr>
            <w:tcW w:w="616" w:type="dxa"/>
            <w:vMerge w:val="restart"/>
          </w:tcPr>
          <w:p w14:paraId="4111CE39"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L</w:t>
            </w:r>
            <w:r w:rsidRPr="00B20CC2">
              <w:rPr>
                <w:rFonts w:ascii="Times New Roman" w:hAnsi="Times New Roman" w:cs="Times New Roman"/>
                <w:sz w:val="18"/>
                <w:szCs w:val="18"/>
              </w:rPr>
              <w:t>ab</w:t>
            </w:r>
          </w:p>
        </w:tc>
        <w:tc>
          <w:tcPr>
            <w:tcW w:w="986" w:type="dxa"/>
            <w:vMerge w:val="restart"/>
          </w:tcPr>
          <w:p w14:paraId="632139CC"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Indoor open raceway pond (Raceway simulating reactor)</w:t>
            </w:r>
          </w:p>
        </w:tc>
        <w:tc>
          <w:tcPr>
            <w:tcW w:w="1236" w:type="dxa"/>
            <w:vMerge w:val="restart"/>
          </w:tcPr>
          <w:p w14:paraId="0CB31FD4" w14:textId="77777777" w:rsidR="00A55F62" w:rsidRPr="00B20CC2" w:rsidRDefault="00A55F62" w:rsidP="00A55F62">
            <w:pPr>
              <w:rPr>
                <w:rFonts w:ascii="Times New Roman" w:hAnsi="Times New Roman" w:cs="Times New Roman"/>
                <w:sz w:val="18"/>
                <w:szCs w:val="18"/>
              </w:rPr>
            </w:pPr>
            <w:proofErr w:type="spellStart"/>
            <w:r>
              <w:rPr>
                <w:rFonts w:ascii="Times New Roman" w:hAnsi="Times New Roman" w:cs="Times New Roman"/>
                <w:sz w:val="18"/>
                <w:szCs w:val="18"/>
              </w:rPr>
              <w:t>Centrate</w:t>
            </w:r>
            <w:proofErr w:type="spellEnd"/>
            <w:r>
              <w:rPr>
                <w:rFonts w:ascii="Times New Roman" w:hAnsi="Times New Roman" w:cs="Times New Roman"/>
                <w:sz w:val="18"/>
                <w:szCs w:val="18"/>
              </w:rPr>
              <w:t xml:space="preserve"> </w:t>
            </w:r>
          </w:p>
        </w:tc>
        <w:tc>
          <w:tcPr>
            <w:tcW w:w="816" w:type="dxa"/>
            <w:vMerge w:val="restart"/>
          </w:tcPr>
          <w:p w14:paraId="4ED8BDE3"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1163" w:type="dxa"/>
          </w:tcPr>
          <w:p w14:paraId="6BF99E4E"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7.80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vMerge w:val="restart"/>
          </w:tcPr>
          <w:p w14:paraId="623B054E"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No (magnetic agitators)</w:t>
            </w:r>
          </w:p>
        </w:tc>
        <w:tc>
          <w:tcPr>
            <w:tcW w:w="727" w:type="dxa"/>
            <w:vMerge w:val="restart"/>
          </w:tcPr>
          <w:p w14:paraId="0D475BA1"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Yes (for pH)</w:t>
            </w:r>
          </w:p>
        </w:tc>
        <w:tc>
          <w:tcPr>
            <w:tcW w:w="897" w:type="dxa"/>
          </w:tcPr>
          <w:p w14:paraId="0592DE3F"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200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vMerge w:val="restart"/>
          </w:tcPr>
          <w:p w14:paraId="6E64D78C"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{"citationItems":[{"id":"ITEM-1","itemData":{"DOI":"10.1016/j.jenvman.2018.01.043","ISSN":"10958630","PMID":"29408060","abstract":"This work investigates the production of the native microalgae strain Scenedesmus sp. in semi-continuous mode at lab scale in open raceway-simulating reactors and using centrate as the culture medium. The biomass productivity and nutrient removal capacity of Scenedesmus sp. at different dilution rates were investigated indoors as well as its tolerance to centrate as the culture medium at different concentrations. A biomass productivity of 7.80 g/m2 day was obtained at 200 μE/m2 s, 5 cm culture depth, 0.30 1/day of dilution rate and 60% centrate while nitrogen and phosphorus removal rates were 1.50 g/m2 day and 0.15 g/m2 day, respectively. The produced biomass characterization under these conditions showed a lipid content of 12.60% d wt. along with a favorable fatty acids profile with 57.70% of total fatty acids composed of saturated and monounsaturated fatty acids. Subsequently, the effect of light intensity and culture depth on biomass productivity and nutrient uptake as well as the biochemical composition and fatty acids profile was studied using two irradiance levels (200 and 1000 μE/m2 s) and four culture depths (5 cm, 10 cm, 15 cm and 20 cm). Under optimal conditions of 1000 μE/m2 s, 60% centrate, 0.30 1/day dilution rate and 15 cm culture depth, a maximum biomass productivity of 22.20 g/m2 day was obtained. Nitrogen and phosphorus removal rates of 2.00 gN/m2 day and 0.40 gP/m2 day, respectively, were recorded. An amount of 11.70% d wt. of lipids was determined along with a suitable fatty acids profile for biofuel production.","author":[{"dropping-particle":"","family":"Jebali","given":"Ahlem","non-dropping-particle":"","parse-names":false,"suffix":""},{"dropping-particle":"","family":"Acién","given":"F. Gabriel","non-dropping-particle":"","parse-names":false,"suffix":""},{"dropping-particle":"","family":"Sayadi","given":"Sami","non-dropping-particle":"","parse-names":false,"suffix":""},{"dropping-particle":"","family":"Molina-Grima","given":"Emilio","non-dropping-particle":"","parse-names":false,"suffix":""}],"container-title":"Journal of Environmental Management","id":"ITEM-1","issued":{"date-parts":[["2018"]]},"page":"112-124","title":"Utilization of centrate from urban wastewater plants for the production of Scenedesmus sp. in a raceway-simulating reactor","type":"article-journal","volume":"211"},"uris":["http://www.mendeley.com/documents/?uuid=0094bc8e-42cd-4aa7-ad2d-4cd3ba7776a6"]}],"mendeley":{"formattedCitation":"(Jebali et al., 2018)","plainTextFormattedCitation":"(Jebali et al., 2018)","previouslyFormattedCitation":"(Jebali et al., 2018)"},"properties":{"noteIndex":0},"schema":"https://github.com/citation-style-language/schema/raw/master/csl-citation.json"}</w:instrText>
            </w:r>
            <w:r>
              <w:rPr>
                <w:rFonts w:ascii="Times New Roman" w:hAnsi="Times New Roman" w:cs="Times New Roman"/>
                <w:sz w:val="18"/>
                <w:szCs w:val="18"/>
              </w:rPr>
              <w:fldChar w:fldCharType="separate"/>
            </w:r>
            <w:r w:rsidRPr="00AB319D">
              <w:rPr>
                <w:rFonts w:ascii="Times New Roman" w:hAnsi="Times New Roman" w:cs="Times New Roman"/>
                <w:noProof/>
                <w:sz w:val="18"/>
                <w:szCs w:val="18"/>
              </w:rPr>
              <w:t>(Jebali et al., 2018)</w:t>
            </w:r>
            <w:r>
              <w:rPr>
                <w:rFonts w:ascii="Times New Roman" w:hAnsi="Times New Roman" w:cs="Times New Roman"/>
                <w:sz w:val="18"/>
                <w:szCs w:val="18"/>
              </w:rPr>
              <w:fldChar w:fldCharType="end"/>
            </w:r>
          </w:p>
        </w:tc>
      </w:tr>
      <w:tr w:rsidR="00A55F62" w14:paraId="513CF104" w14:textId="77777777" w:rsidTr="00A55F62">
        <w:trPr>
          <w:trHeight w:val="525"/>
        </w:trPr>
        <w:tc>
          <w:tcPr>
            <w:tcW w:w="1440" w:type="dxa"/>
            <w:vMerge/>
          </w:tcPr>
          <w:p w14:paraId="0929E5CE" w14:textId="77777777" w:rsidR="00A55F62" w:rsidRPr="00B20CC2" w:rsidRDefault="00A55F62" w:rsidP="00A55F62">
            <w:pPr>
              <w:rPr>
                <w:rFonts w:ascii="Times New Roman" w:hAnsi="Times New Roman" w:cs="Times New Roman"/>
                <w:sz w:val="18"/>
                <w:szCs w:val="18"/>
              </w:rPr>
            </w:pPr>
          </w:p>
        </w:tc>
        <w:tc>
          <w:tcPr>
            <w:tcW w:w="616" w:type="dxa"/>
            <w:vMerge/>
          </w:tcPr>
          <w:p w14:paraId="2761BAD9" w14:textId="77777777" w:rsidR="00A55F62" w:rsidRPr="00B20CC2" w:rsidRDefault="00A55F62" w:rsidP="00A55F62">
            <w:pPr>
              <w:rPr>
                <w:rFonts w:ascii="Times New Roman" w:hAnsi="Times New Roman" w:cs="Times New Roman"/>
                <w:sz w:val="18"/>
                <w:szCs w:val="18"/>
              </w:rPr>
            </w:pPr>
          </w:p>
        </w:tc>
        <w:tc>
          <w:tcPr>
            <w:tcW w:w="986" w:type="dxa"/>
            <w:vMerge/>
          </w:tcPr>
          <w:p w14:paraId="6B49D459" w14:textId="77777777" w:rsidR="00A55F62" w:rsidRPr="00B20CC2" w:rsidRDefault="00A55F62" w:rsidP="00A55F62">
            <w:pPr>
              <w:rPr>
                <w:rFonts w:ascii="Times New Roman" w:hAnsi="Times New Roman" w:cs="Times New Roman"/>
                <w:sz w:val="18"/>
                <w:szCs w:val="18"/>
              </w:rPr>
            </w:pPr>
          </w:p>
        </w:tc>
        <w:tc>
          <w:tcPr>
            <w:tcW w:w="1236" w:type="dxa"/>
            <w:vMerge/>
          </w:tcPr>
          <w:p w14:paraId="0A64390C" w14:textId="77777777" w:rsidR="00A55F62" w:rsidRPr="00B20CC2" w:rsidRDefault="00A55F62" w:rsidP="00A55F62">
            <w:pPr>
              <w:rPr>
                <w:rFonts w:ascii="Times New Roman" w:hAnsi="Times New Roman" w:cs="Times New Roman"/>
                <w:sz w:val="18"/>
                <w:szCs w:val="18"/>
              </w:rPr>
            </w:pPr>
          </w:p>
        </w:tc>
        <w:tc>
          <w:tcPr>
            <w:tcW w:w="816" w:type="dxa"/>
            <w:vMerge/>
          </w:tcPr>
          <w:p w14:paraId="41ED2540" w14:textId="77777777" w:rsidR="00A55F62" w:rsidRPr="00B20CC2" w:rsidRDefault="00A55F62" w:rsidP="00A55F62">
            <w:pPr>
              <w:rPr>
                <w:rFonts w:ascii="Times New Roman" w:hAnsi="Times New Roman" w:cs="Times New Roman"/>
                <w:sz w:val="18"/>
                <w:szCs w:val="18"/>
              </w:rPr>
            </w:pPr>
          </w:p>
        </w:tc>
        <w:tc>
          <w:tcPr>
            <w:tcW w:w="1163" w:type="dxa"/>
          </w:tcPr>
          <w:p w14:paraId="41BAE250"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15.90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vMerge/>
          </w:tcPr>
          <w:p w14:paraId="3988FDA4" w14:textId="77777777" w:rsidR="00A55F62" w:rsidRPr="00B20CC2" w:rsidRDefault="00A55F62" w:rsidP="00A55F62">
            <w:pPr>
              <w:rPr>
                <w:rFonts w:ascii="Times New Roman" w:hAnsi="Times New Roman" w:cs="Times New Roman"/>
                <w:sz w:val="18"/>
                <w:szCs w:val="18"/>
              </w:rPr>
            </w:pPr>
          </w:p>
        </w:tc>
        <w:tc>
          <w:tcPr>
            <w:tcW w:w="727" w:type="dxa"/>
            <w:vMerge/>
          </w:tcPr>
          <w:p w14:paraId="5777499A" w14:textId="77777777" w:rsidR="00A55F62" w:rsidRPr="00B20CC2" w:rsidRDefault="00A55F62" w:rsidP="00A55F62">
            <w:pPr>
              <w:rPr>
                <w:rFonts w:ascii="Times New Roman" w:hAnsi="Times New Roman" w:cs="Times New Roman"/>
                <w:sz w:val="18"/>
                <w:szCs w:val="18"/>
              </w:rPr>
            </w:pPr>
          </w:p>
        </w:tc>
        <w:tc>
          <w:tcPr>
            <w:tcW w:w="897" w:type="dxa"/>
          </w:tcPr>
          <w:p w14:paraId="164F8EA9"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1000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vMerge/>
          </w:tcPr>
          <w:p w14:paraId="0520AA96" w14:textId="77777777" w:rsidR="00A55F62" w:rsidRPr="00B20CC2" w:rsidRDefault="00A55F62" w:rsidP="00A55F62">
            <w:pPr>
              <w:rPr>
                <w:rFonts w:ascii="Times New Roman" w:hAnsi="Times New Roman" w:cs="Times New Roman"/>
                <w:sz w:val="18"/>
                <w:szCs w:val="18"/>
              </w:rPr>
            </w:pPr>
          </w:p>
        </w:tc>
      </w:tr>
      <w:tr w:rsidR="00A55F62" w14:paraId="65F70492" w14:textId="77777777" w:rsidTr="00A55F62">
        <w:trPr>
          <w:trHeight w:val="467"/>
        </w:trPr>
        <w:tc>
          <w:tcPr>
            <w:tcW w:w="1440" w:type="dxa"/>
            <w:vMerge w:val="restart"/>
          </w:tcPr>
          <w:p w14:paraId="29F70CF5" w14:textId="77777777" w:rsidR="00A55F62" w:rsidRPr="00B20CC2" w:rsidRDefault="00A55F62" w:rsidP="00A55F62">
            <w:pPr>
              <w:rPr>
                <w:rFonts w:ascii="Times New Roman" w:hAnsi="Times New Roman" w:cs="Times New Roman"/>
                <w:sz w:val="18"/>
                <w:szCs w:val="18"/>
              </w:rPr>
            </w:pPr>
            <w:r w:rsidRPr="00864BFD">
              <w:rPr>
                <w:rFonts w:ascii="Times New Roman" w:hAnsi="Times New Roman" w:cs="Times New Roman"/>
                <w:i/>
                <w:iCs/>
                <w:sz w:val="18"/>
                <w:szCs w:val="18"/>
              </w:rPr>
              <w:t>Scenedesmus</w:t>
            </w:r>
            <w:r w:rsidRPr="00B20CC2">
              <w:rPr>
                <w:rFonts w:ascii="Times New Roman" w:hAnsi="Times New Roman" w:cs="Times New Roman"/>
                <w:sz w:val="18"/>
                <w:szCs w:val="18"/>
              </w:rPr>
              <w:t xml:space="preserve"> sp.</w:t>
            </w:r>
          </w:p>
        </w:tc>
        <w:tc>
          <w:tcPr>
            <w:tcW w:w="616" w:type="dxa"/>
            <w:vMerge w:val="restart"/>
          </w:tcPr>
          <w:p w14:paraId="05B8D911"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P</w:t>
            </w:r>
            <w:r w:rsidRPr="00B20CC2">
              <w:rPr>
                <w:rFonts w:ascii="Times New Roman" w:hAnsi="Times New Roman" w:cs="Times New Roman"/>
                <w:sz w:val="18"/>
                <w:szCs w:val="18"/>
              </w:rPr>
              <w:t>ilot</w:t>
            </w:r>
          </w:p>
        </w:tc>
        <w:tc>
          <w:tcPr>
            <w:tcW w:w="986" w:type="dxa"/>
            <w:vMerge w:val="restart"/>
          </w:tcPr>
          <w:p w14:paraId="1F6C0E49"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Outdoor open raceway pond</w:t>
            </w:r>
          </w:p>
        </w:tc>
        <w:tc>
          <w:tcPr>
            <w:tcW w:w="1236" w:type="dxa"/>
            <w:vMerge w:val="restart"/>
          </w:tcPr>
          <w:p w14:paraId="0F6CC756"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S</w:t>
            </w:r>
            <w:r w:rsidRPr="00B20CC2">
              <w:rPr>
                <w:rFonts w:ascii="Times New Roman" w:hAnsi="Times New Roman" w:cs="Times New Roman"/>
                <w:sz w:val="18"/>
                <w:szCs w:val="18"/>
              </w:rPr>
              <w:t>econdary domestic wastewater</w:t>
            </w:r>
          </w:p>
        </w:tc>
        <w:tc>
          <w:tcPr>
            <w:tcW w:w="816" w:type="dxa"/>
            <w:vMerge w:val="restart"/>
          </w:tcPr>
          <w:p w14:paraId="5B27E64A"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1163" w:type="dxa"/>
          </w:tcPr>
          <w:p w14:paraId="24BA79A1"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13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vMerge w:val="restart"/>
          </w:tcPr>
          <w:p w14:paraId="20D8D9AD"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p w14:paraId="3A238090" w14:textId="77777777" w:rsidR="00A55F62" w:rsidRPr="00B20CC2" w:rsidRDefault="00A55F62" w:rsidP="00A55F62">
            <w:pPr>
              <w:rPr>
                <w:rFonts w:ascii="Times New Roman" w:hAnsi="Times New Roman" w:cs="Times New Roman"/>
                <w:sz w:val="18"/>
                <w:szCs w:val="18"/>
              </w:rPr>
            </w:pPr>
          </w:p>
        </w:tc>
        <w:tc>
          <w:tcPr>
            <w:tcW w:w="727" w:type="dxa"/>
          </w:tcPr>
          <w:p w14:paraId="7F07EF6C"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N</w:t>
            </w:r>
            <w:r w:rsidRPr="00B20CC2">
              <w:rPr>
                <w:rFonts w:ascii="Times New Roman" w:hAnsi="Times New Roman" w:cs="Times New Roman"/>
                <w:sz w:val="18"/>
                <w:szCs w:val="18"/>
              </w:rPr>
              <w:t>o</w:t>
            </w:r>
          </w:p>
          <w:p w14:paraId="6E78FDA4" w14:textId="77777777" w:rsidR="00A55F62" w:rsidRPr="00B20CC2" w:rsidRDefault="00A55F62" w:rsidP="00A55F62">
            <w:pPr>
              <w:rPr>
                <w:rFonts w:ascii="Times New Roman" w:hAnsi="Times New Roman" w:cs="Times New Roman"/>
                <w:sz w:val="18"/>
                <w:szCs w:val="18"/>
              </w:rPr>
            </w:pPr>
          </w:p>
        </w:tc>
        <w:tc>
          <w:tcPr>
            <w:tcW w:w="897" w:type="dxa"/>
            <w:vMerge w:val="restart"/>
          </w:tcPr>
          <w:p w14:paraId="32A75CB6"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S</w:t>
            </w:r>
            <w:r w:rsidRPr="00B20CC2">
              <w:rPr>
                <w:rFonts w:ascii="Times New Roman" w:hAnsi="Times New Roman" w:cs="Times New Roman"/>
                <w:sz w:val="18"/>
                <w:szCs w:val="18"/>
              </w:rPr>
              <w:t>unlight</w:t>
            </w:r>
          </w:p>
        </w:tc>
        <w:tc>
          <w:tcPr>
            <w:tcW w:w="1556" w:type="dxa"/>
            <w:vMerge w:val="restart"/>
          </w:tcPr>
          <w:p w14:paraId="599C8DC1"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{"citationItems":[{"id":"ITEM-1","itemData":{"DOI":"10.1016/j.cej.2014.12.059","ISSN":"13858947","abstract":"The influence of pH (7, 8 and 9) and CO2 source (pure CO2 or CO2 from flue gas) on both the performance of secondary domestic wastewater treatment and biomass productivity and composition in three outdoors pilot raceways was evaluated for 6months. Average COD, TN, TP and Escherichia coli removal efficiencies of 84±7%, 79±14%, 57±12% and 93±7%, respectively, were recorded. The influence of pH on wastewater treatment was negligible, while the supply of CO2 from flue gas supported higher COD, TOC and TP removals. Biomass productivities ranged from 4±0gm-2d-1 in December to 17±1gm-2d-1 in July. The highest C, N and P biomass contents (64.8%, 12.6% and 2.4%, respectively) were recorded when flue gas was supplied. Finally, while the protein content in the biomass remained constant (38.2±3.3%), the lipid and carbohydrate contents ranged from 5.8% to 23.0% and from 38.0% to 61.2%, respectively.","author":[{"dropping-particle":"","family":"Posadas","given":"Esther","non-dropping-particle":"","parse-names":false,"suffix":""},{"dropping-particle":"","family":"Morales","given":"María del Mar","non-dropping-particle":"","parse-names":false,"suffix":""},{"dropping-particle":"","family":"Gomez","given":"Cintia","non-dropping-particle":"","parse-names":false,"suffix":""},{"dropping-particle":"","family":"Acién","given":"F. Gabriel","non-dropping-particle":"","parse-names":false,"suffix":""},{"dropping-particle":"","family":"Muñoz","given":"Raúl","non-dropping-particle":"","parse-names":false,"suffix":""}],"container-title":"Chemical Engineering Journal","id":"ITEM-1","issued":{"date-parts":[["2015"]]},"page":"239-248","publisher":"Elsevier B.V.","title":"Influence of pH and CO2 source on the performance of microalgae-based secondary domestic wastewater treatment in outdoors pilot raceways","type":"article-journal","volume":"265"},"uris":["http://www.mendeley.com/documents/?uuid=8a1e798f-500e-4195-a61a-d927506072db"]}],"mendeley":{"formattedCitation":"(Posadas et al., 2015)","plainTextFormattedCitation":"(Posadas et al., 2015)","previouslyFormattedCitation":"(Posadas et al., 2015)"},"properties":{"noteIndex":0},"schema":"https://github.com/citation-style-language/schema/raw/master/csl-citation.json"}</w:instrText>
            </w:r>
            <w:r>
              <w:rPr>
                <w:rFonts w:ascii="Times New Roman" w:hAnsi="Times New Roman" w:cs="Times New Roman"/>
                <w:sz w:val="18"/>
                <w:szCs w:val="18"/>
              </w:rPr>
              <w:fldChar w:fldCharType="separate"/>
            </w:r>
            <w:r w:rsidRPr="00AB319D">
              <w:rPr>
                <w:rFonts w:ascii="Times New Roman" w:hAnsi="Times New Roman" w:cs="Times New Roman"/>
                <w:noProof/>
                <w:sz w:val="18"/>
                <w:szCs w:val="18"/>
              </w:rPr>
              <w:t>(Posadas et al., 2015)</w:t>
            </w:r>
            <w:r>
              <w:rPr>
                <w:rFonts w:ascii="Times New Roman" w:hAnsi="Times New Roman" w:cs="Times New Roman"/>
                <w:sz w:val="18"/>
                <w:szCs w:val="18"/>
              </w:rPr>
              <w:fldChar w:fldCharType="end"/>
            </w:r>
          </w:p>
        </w:tc>
      </w:tr>
      <w:tr w:rsidR="00A55F62" w14:paraId="3048EF32" w14:textId="77777777" w:rsidTr="00A55F62">
        <w:trPr>
          <w:trHeight w:val="467"/>
        </w:trPr>
        <w:tc>
          <w:tcPr>
            <w:tcW w:w="1440" w:type="dxa"/>
            <w:vMerge/>
          </w:tcPr>
          <w:p w14:paraId="50773E9D" w14:textId="77777777" w:rsidR="00A55F62" w:rsidRPr="00B20CC2" w:rsidRDefault="00A55F62" w:rsidP="00A55F62">
            <w:pPr>
              <w:rPr>
                <w:rFonts w:ascii="Times New Roman" w:hAnsi="Times New Roman" w:cs="Times New Roman"/>
                <w:sz w:val="18"/>
                <w:szCs w:val="18"/>
              </w:rPr>
            </w:pPr>
          </w:p>
        </w:tc>
        <w:tc>
          <w:tcPr>
            <w:tcW w:w="616" w:type="dxa"/>
            <w:vMerge/>
          </w:tcPr>
          <w:p w14:paraId="09A9E441" w14:textId="77777777" w:rsidR="00A55F62" w:rsidRPr="00B20CC2" w:rsidRDefault="00A55F62" w:rsidP="00A55F62">
            <w:pPr>
              <w:rPr>
                <w:rFonts w:ascii="Times New Roman" w:hAnsi="Times New Roman" w:cs="Times New Roman"/>
                <w:sz w:val="18"/>
                <w:szCs w:val="18"/>
              </w:rPr>
            </w:pPr>
          </w:p>
        </w:tc>
        <w:tc>
          <w:tcPr>
            <w:tcW w:w="986" w:type="dxa"/>
            <w:vMerge/>
          </w:tcPr>
          <w:p w14:paraId="55A65592" w14:textId="77777777" w:rsidR="00A55F62" w:rsidRPr="00B20CC2" w:rsidRDefault="00A55F62" w:rsidP="00A55F62">
            <w:pPr>
              <w:rPr>
                <w:rFonts w:ascii="Times New Roman" w:hAnsi="Times New Roman" w:cs="Times New Roman"/>
                <w:sz w:val="18"/>
                <w:szCs w:val="18"/>
              </w:rPr>
            </w:pPr>
          </w:p>
        </w:tc>
        <w:tc>
          <w:tcPr>
            <w:tcW w:w="1236" w:type="dxa"/>
            <w:vMerge/>
          </w:tcPr>
          <w:p w14:paraId="692DB893" w14:textId="77777777" w:rsidR="00A55F62" w:rsidRPr="00B20CC2" w:rsidRDefault="00A55F62" w:rsidP="00A55F62">
            <w:pPr>
              <w:rPr>
                <w:rFonts w:ascii="Times New Roman" w:hAnsi="Times New Roman" w:cs="Times New Roman"/>
                <w:sz w:val="18"/>
                <w:szCs w:val="18"/>
              </w:rPr>
            </w:pPr>
          </w:p>
        </w:tc>
        <w:tc>
          <w:tcPr>
            <w:tcW w:w="816" w:type="dxa"/>
            <w:vMerge/>
          </w:tcPr>
          <w:p w14:paraId="1A0EC6E2" w14:textId="77777777" w:rsidR="00A55F62" w:rsidRPr="00B20CC2" w:rsidRDefault="00A55F62" w:rsidP="00A55F62">
            <w:pPr>
              <w:rPr>
                <w:rFonts w:ascii="Times New Roman" w:hAnsi="Times New Roman" w:cs="Times New Roman"/>
                <w:sz w:val="18"/>
                <w:szCs w:val="18"/>
              </w:rPr>
            </w:pPr>
          </w:p>
        </w:tc>
        <w:tc>
          <w:tcPr>
            <w:tcW w:w="1163" w:type="dxa"/>
          </w:tcPr>
          <w:p w14:paraId="43F079A8"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17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vMerge/>
          </w:tcPr>
          <w:p w14:paraId="7B780CA7" w14:textId="77777777" w:rsidR="00A55F62" w:rsidRPr="00B20CC2" w:rsidRDefault="00A55F62" w:rsidP="00A55F62">
            <w:pPr>
              <w:rPr>
                <w:rFonts w:ascii="Times New Roman" w:hAnsi="Times New Roman" w:cs="Times New Roman"/>
                <w:sz w:val="18"/>
                <w:szCs w:val="18"/>
              </w:rPr>
            </w:pPr>
          </w:p>
        </w:tc>
        <w:tc>
          <w:tcPr>
            <w:tcW w:w="727" w:type="dxa"/>
          </w:tcPr>
          <w:p w14:paraId="478A4EB7"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tc>
        <w:tc>
          <w:tcPr>
            <w:tcW w:w="897" w:type="dxa"/>
            <w:vMerge/>
          </w:tcPr>
          <w:p w14:paraId="1FFA99A0" w14:textId="77777777" w:rsidR="00A55F62" w:rsidRPr="00B20CC2" w:rsidRDefault="00A55F62" w:rsidP="00A55F62">
            <w:pPr>
              <w:rPr>
                <w:rFonts w:ascii="Times New Roman" w:hAnsi="Times New Roman" w:cs="Times New Roman"/>
                <w:sz w:val="18"/>
                <w:szCs w:val="18"/>
              </w:rPr>
            </w:pPr>
          </w:p>
        </w:tc>
        <w:tc>
          <w:tcPr>
            <w:tcW w:w="1556" w:type="dxa"/>
            <w:vMerge/>
          </w:tcPr>
          <w:p w14:paraId="6BE44C1D" w14:textId="77777777" w:rsidR="00A55F62" w:rsidRPr="00B20CC2" w:rsidRDefault="00A55F62" w:rsidP="00A55F62">
            <w:pPr>
              <w:rPr>
                <w:rFonts w:ascii="Times New Roman" w:hAnsi="Times New Roman" w:cs="Times New Roman"/>
                <w:sz w:val="18"/>
                <w:szCs w:val="18"/>
              </w:rPr>
            </w:pPr>
          </w:p>
        </w:tc>
      </w:tr>
      <w:tr w:rsidR="00A55F62" w14:paraId="1D75C133" w14:textId="77777777" w:rsidTr="00A55F62">
        <w:trPr>
          <w:trHeight w:val="467"/>
        </w:trPr>
        <w:tc>
          <w:tcPr>
            <w:tcW w:w="1440" w:type="dxa"/>
          </w:tcPr>
          <w:p w14:paraId="790D11F9" w14:textId="77777777" w:rsidR="00A55F62" w:rsidRPr="00B20CC2" w:rsidRDefault="00A55F62" w:rsidP="00A55F62">
            <w:pPr>
              <w:rPr>
                <w:rFonts w:ascii="Times New Roman" w:hAnsi="Times New Roman" w:cs="Times New Roman"/>
                <w:sz w:val="18"/>
                <w:szCs w:val="18"/>
              </w:rPr>
            </w:pPr>
            <w:r w:rsidRPr="00864BFD">
              <w:rPr>
                <w:rFonts w:ascii="Times New Roman" w:hAnsi="Times New Roman" w:cs="Times New Roman"/>
                <w:i/>
                <w:iCs/>
                <w:sz w:val="18"/>
                <w:szCs w:val="18"/>
              </w:rPr>
              <w:t>Scenedesmus</w:t>
            </w:r>
            <w:r w:rsidRPr="00B20CC2">
              <w:rPr>
                <w:rFonts w:ascii="Times New Roman" w:hAnsi="Times New Roman" w:cs="Times New Roman"/>
                <w:sz w:val="18"/>
                <w:szCs w:val="18"/>
              </w:rPr>
              <w:t xml:space="preserve"> sp.</w:t>
            </w:r>
          </w:p>
        </w:tc>
        <w:tc>
          <w:tcPr>
            <w:tcW w:w="616" w:type="dxa"/>
          </w:tcPr>
          <w:p w14:paraId="0577823C"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 xml:space="preserve">Pilot </w:t>
            </w:r>
          </w:p>
        </w:tc>
        <w:tc>
          <w:tcPr>
            <w:tcW w:w="986" w:type="dxa"/>
          </w:tcPr>
          <w:p w14:paraId="54CBE62D"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Outdoor open raceway pond</w:t>
            </w:r>
          </w:p>
        </w:tc>
        <w:tc>
          <w:tcPr>
            <w:tcW w:w="1236" w:type="dxa"/>
          </w:tcPr>
          <w:p w14:paraId="2D4A36E6" w14:textId="77777777" w:rsidR="00A55F62" w:rsidRPr="00B20CC2" w:rsidRDefault="00A55F62" w:rsidP="00A55F62">
            <w:pPr>
              <w:rPr>
                <w:rFonts w:ascii="Times New Roman" w:hAnsi="Times New Roman" w:cs="Times New Roman"/>
                <w:sz w:val="18"/>
                <w:szCs w:val="18"/>
              </w:rPr>
            </w:pPr>
            <w:proofErr w:type="spellStart"/>
            <w:r>
              <w:rPr>
                <w:rFonts w:ascii="Times New Roman" w:hAnsi="Times New Roman" w:cs="Times New Roman"/>
                <w:sz w:val="18"/>
                <w:szCs w:val="18"/>
              </w:rPr>
              <w:t>C</w:t>
            </w:r>
            <w:r w:rsidRPr="00B20CC2">
              <w:rPr>
                <w:rFonts w:ascii="Times New Roman" w:hAnsi="Times New Roman" w:cs="Times New Roman"/>
                <w:sz w:val="18"/>
                <w:szCs w:val="18"/>
              </w:rPr>
              <w:t>entrate</w:t>
            </w:r>
            <w:proofErr w:type="spellEnd"/>
          </w:p>
        </w:tc>
        <w:tc>
          <w:tcPr>
            <w:tcW w:w="816" w:type="dxa"/>
          </w:tcPr>
          <w:p w14:paraId="1328D446"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1163" w:type="dxa"/>
          </w:tcPr>
          <w:p w14:paraId="2064362E"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0.2 g</w:t>
            </w:r>
            <w:r>
              <w:rPr>
                <w:rFonts w:ascii="Times New Roman" w:hAnsi="Times New Roman" w:cs="Times New Roman"/>
                <w:sz w:val="18"/>
                <w:szCs w:val="18"/>
              </w:rPr>
              <w:t xml:space="preserve"> </w:t>
            </w:r>
            <w:r w:rsidRPr="00B20CC2">
              <w:rPr>
                <w:rFonts w:ascii="Times New Roman" w:hAnsi="Times New Roman" w:cs="Times New Roman"/>
                <w:sz w:val="18"/>
                <w:szCs w:val="18"/>
              </w:rPr>
              <w:t>L</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 xml:space="preserve">-1 </w:t>
            </w:r>
            <w:r>
              <w:rPr>
                <w:rFonts w:ascii="Times New Roman" w:hAnsi="Times New Roman" w:cs="Times New Roman"/>
                <w:sz w:val="18"/>
                <w:szCs w:val="18"/>
              </w:rPr>
              <w:t xml:space="preserve">or 24 </w:t>
            </w:r>
            <w:r w:rsidRPr="00B20CC2">
              <w:rPr>
                <w:rFonts w:ascii="Times New Roman" w:hAnsi="Times New Roman" w:cs="Times New Roman"/>
                <w:sz w:val="18"/>
                <w:szCs w:val="18"/>
              </w:rPr>
              <w:t>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p>
        </w:tc>
        <w:tc>
          <w:tcPr>
            <w:tcW w:w="936" w:type="dxa"/>
          </w:tcPr>
          <w:p w14:paraId="3F7F57C1"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tc>
        <w:tc>
          <w:tcPr>
            <w:tcW w:w="727" w:type="dxa"/>
          </w:tcPr>
          <w:p w14:paraId="1356672D" w14:textId="77777777" w:rsidR="00A55F62" w:rsidRDefault="00A55F62" w:rsidP="00A55F62">
            <w:pPr>
              <w:rPr>
                <w:rFonts w:ascii="Times New Roman" w:hAnsi="Times New Roman" w:cs="Times New Roman"/>
                <w:sz w:val="18"/>
                <w:szCs w:val="18"/>
              </w:rPr>
            </w:pPr>
            <w:r>
              <w:rPr>
                <w:rFonts w:ascii="Times New Roman" w:hAnsi="Times New Roman" w:cs="Times New Roman"/>
                <w:sz w:val="18"/>
                <w:szCs w:val="18"/>
              </w:rPr>
              <w:t>Y</w:t>
            </w:r>
            <w:r w:rsidRPr="00B20CC2">
              <w:rPr>
                <w:rFonts w:ascii="Times New Roman" w:hAnsi="Times New Roman" w:cs="Times New Roman"/>
                <w:sz w:val="18"/>
                <w:szCs w:val="18"/>
              </w:rPr>
              <w:t>es</w:t>
            </w:r>
          </w:p>
        </w:tc>
        <w:tc>
          <w:tcPr>
            <w:tcW w:w="897" w:type="dxa"/>
          </w:tcPr>
          <w:p w14:paraId="74C0D793"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t>S</w:t>
            </w:r>
            <w:r w:rsidRPr="00B20CC2">
              <w:rPr>
                <w:rFonts w:ascii="Times New Roman" w:hAnsi="Times New Roman" w:cs="Times New Roman"/>
                <w:sz w:val="18"/>
                <w:szCs w:val="18"/>
              </w:rPr>
              <w:t>unlight</w:t>
            </w:r>
          </w:p>
        </w:tc>
        <w:tc>
          <w:tcPr>
            <w:tcW w:w="1556" w:type="dxa"/>
          </w:tcPr>
          <w:p w14:paraId="251B2561"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{"citationItems":[{"id":"ITEM-1","itemData":{"DOI":"10.1016/j.algal.2015.08.020","ISSN":"22119264","abstract":"In this paper, we have studied the outdoor production of the freshwatermicroalgae Scenedesmus sp. in two open reactors (32m2): thin-layer (1.2m3) and raceway (4.4 m3), using centrate fromanaerobic digestion as the sole nutrient source. The aim was to recover valuable nutrients (nitrogen and phosphorus) from effluents in order to maximize biomass productivity. Experimentswere performed in semicontinuousmode, modifying the centrate percentage within the culturemedium. The optimal centrate percentage was 30% - above this value the culture's performance reduced, probably due to ammonium excess (above 122 mg l-1). Using the raceway reactor, biomass productivitywas 24 gm-2 day-1, whereas using the thin-layer reactor, it increased up to 42 gm-2 day-1. Nitrogen and phosphorus removal was demonstrated to be proportional to biomass productivity, withmaximal values up to 38 mgN l-1 day-1 and 3.9 mgP l-1 day-1 being removed, respectively. Ammonium stripping was only relevant in the raceway reactor, due to its lower biomass productivity, withmore than 40% of the inlet nitrogen being lost to the air. The thin-layer reactor also proved to be more photosynthetically efficient, with maximal values of 4.7% being measured. An economic analysis demonstrated that the thin-layer reactor allowed a reduction in the biomass production cost, in addition to utilizing waste as the nutrient source,with aminimum production cost of 0.9 €/kgbiomass being estimated. In conclusion, it is possible to use centrate fromanaerobic digestion as the sole nutrient source for the large-scale production of Scenedesmus sp. biomass thus reducing the biomass production cost by avoiding the use of expensive and non-sustainable fertilizers;while also obtaining returns fromthe treatment of this type of residue. Such a combination helps to increase the possibility of producing commodities, or biofuels, from microalgae by coupling their production to treatment processes.","author":[{"dropping-particle":"","family":"Morales-Amaral","given":"Maria del Mar","non-dropping-particle":"","parse-names":false,"suffix":""},{"dropping-particle":"","family":"Gómez-Serrano","given":"Cintia","non-dropping-particle":"","parse-names":false,"suffix":""},{"dropping-particle":"","family":"Acién","given":"F. Gabriel","non-dropping-particle":"","parse-names":false,"suffix":""},{"dropping-particle":"","family":"Fernández-Sevilla","given":"José M.","non-dropping-particle":"","parse-names":false,"suffix":""},{"dropping-particle":"","family":"Molina-Grima","given":"E.","non-dropping-particle":"","parse-names":false,"suffix":""}],"container-title":"Algal Research","id":"ITEM-1","issued":{"date-parts":[["2015"]]},"page":"99-108","publisher":"Elsevier B.V.","title":"Outdoor production of Scenedesmus sp. in thin-layer and raceway reactors using centrate from anaerobic digestion as the sole nutrient source","type":"article-journal","volume":"12"},"uris":["http://www.mendeley.com/documents/?uuid=d7b28958-a98c-4ef7-858c-ac7a8dd7b2f0"]}],"mendeley":{"formattedCitation":"(Morales-Amaral et al., 2015)","plainTextFormattedCitation":"(Morales-Amaral et al., 2015)","previouslyFormattedCitation":"(Morales-Amaral et al., 2015)"},"properties":{"noteIndex":0},"schema":"https://github.com/citation-style-language/schema/raw/master/csl-citation.json"}</w:instrText>
            </w:r>
            <w:r>
              <w:rPr>
                <w:rFonts w:ascii="Times New Roman" w:hAnsi="Times New Roman" w:cs="Times New Roman"/>
                <w:sz w:val="18"/>
                <w:szCs w:val="18"/>
              </w:rPr>
              <w:fldChar w:fldCharType="separate"/>
            </w:r>
            <w:r w:rsidRPr="00AB319D">
              <w:rPr>
                <w:rFonts w:ascii="Times New Roman" w:hAnsi="Times New Roman" w:cs="Times New Roman"/>
                <w:noProof/>
                <w:sz w:val="18"/>
                <w:szCs w:val="18"/>
              </w:rPr>
              <w:t>(Morales-Amaral et al., 2015)</w:t>
            </w:r>
            <w:r>
              <w:rPr>
                <w:rFonts w:ascii="Times New Roman" w:hAnsi="Times New Roman" w:cs="Times New Roman"/>
                <w:sz w:val="18"/>
                <w:szCs w:val="18"/>
              </w:rPr>
              <w:fldChar w:fldCharType="end"/>
            </w:r>
          </w:p>
        </w:tc>
      </w:tr>
      <w:tr w:rsidR="00A55F62" w14:paraId="347525CB" w14:textId="77777777" w:rsidTr="00A55F62">
        <w:trPr>
          <w:trHeight w:val="540"/>
        </w:trPr>
        <w:tc>
          <w:tcPr>
            <w:tcW w:w="1440" w:type="dxa"/>
            <w:vMerge w:val="restart"/>
          </w:tcPr>
          <w:p w14:paraId="49817587" w14:textId="77777777" w:rsidR="00A55F62" w:rsidRPr="00864BFD" w:rsidRDefault="00A55F62" w:rsidP="00A55F62">
            <w:pPr>
              <w:rPr>
                <w:rFonts w:ascii="Times New Roman" w:hAnsi="Times New Roman" w:cs="Times New Roman"/>
                <w:i/>
                <w:iCs/>
                <w:sz w:val="18"/>
                <w:szCs w:val="18"/>
              </w:rPr>
            </w:pPr>
            <w:r w:rsidRPr="00864BFD">
              <w:rPr>
                <w:rFonts w:ascii="Times New Roman" w:hAnsi="Times New Roman" w:cs="Times New Roman"/>
                <w:i/>
                <w:iCs/>
                <w:sz w:val="18"/>
                <w:szCs w:val="18"/>
              </w:rPr>
              <w:t xml:space="preserve">Chlorella  </w:t>
            </w:r>
          </w:p>
        </w:tc>
        <w:tc>
          <w:tcPr>
            <w:tcW w:w="616" w:type="dxa"/>
            <w:vMerge w:val="restart"/>
          </w:tcPr>
          <w:p w14:paraId="06869822"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Lab</w:t>
            </w:r>
          </w:p>
        </w:tc>
        <w:tc>
          <w:tcPr>
            <w:tcW w:w="986" w:type="dxa"/>
            <w:vMerge w:val="restart"/>
          </w:tcPr>
          <w:p w14:paraId="74870CE4"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Open Raceway Pond (fitted with flow deflectors)</w:t>
            </w:r>
          </w:p>
        </w:tc>
        <w:tc>
          <w:tcPr>
            <w:tcW w:w="1236" w:type="dxa"/>
            <w:vMerge w:val="restart"/>
          </w:tcPr>
          <w:p w14:paraId="7C067E09" w14:textId="1E1E56A9"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Synthetic media</w:t>
            </w:r>
          </w:p>
        </w:tc>
        <w:tc>
          <w:tcPr>
            <w:tcW w:w="816" w:type="dxa"/>
            <w:vMerge w:val="restart"/>
          </w:tcPr>
          <w:p w14:paraId="201E1F2D"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w:t>
            </w:r>
          </w:p>
        </w:tc>
        <w:tc>
          <w:tcPr>
            <w:tcW w:w="1163" w:type="dxa"/>
          </w:tcPr>
          <w:p w14:paraId="3E9EB739" w14:textId="77777777" w:rsidR="00A55F6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8.82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p w14:paraId="69E7D02F" w14:textId="77777777" w:rsidR="00A55F62" w:rsidRPr="00B20CC2" w:rsidRDefault="00A55F62" w:rsidP="00A55F62">
            <w:pPr>
              <w:rPr>
                <w:rFonts w:ascii="Times New Roman" w:hAnsi="Times New Roman" w:cs="Times New Roman"/>
                <w:sz w:val="18"/>
                <w:szCs w:val="18"/>
              </w:rPr>
            </w:pPr>
          </w:p>
        </w:tc>
        <w:tc>
          <w:tcPr>
            <w:tcW w:w="936" w:type="dxa"/>
            <w:vMerge w:val="restart"/>
          </w:tcPr>
          <w:p w14:paraId="7D2A8A0A"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Yes</w:t>
            </w:r>
          </w:p>
        </w:tc>
        <w:tc>
          <w:tcPr>
            <w:tcW w:w="727" w:type="dxa"/>
            <w:vMerge w:val="restart"/>
          </w:tcPr>
          <w:p w14:paraId="63FEA23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Yes</w:t>
            </w:r>
          </w:p>
        </w:tc>
        <w:tc>
          <w:tcPr>
            <w:tcW w:w="897" w:type="dxa"/>
          </w:tcPr>
          <w:p w14:paraId="3AA1BFC5"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962.82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vMerge w:val="restart"/>
            <w:tcBorders>
              <w:bottom w:val="single" w:sz="4" w:space="0" w:color="auto"/>
            </w:tcBorders>
          </w:tcPr>
          <w:p w14:paraId="6A46AD59" w14:textId="77777777" w:rsidR="00A55F62" w:rsidRPr="00B20CC2" w:rsidRDefault="00A55F62" w:rsidP="00A55F62">
            <w:pPr>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{"citationItems":[{"id":"ITEM-1","itemData":{"DOI":"10.1016/j.algal.2015.04.012","ISSN":"22119264","abstract":"Raceway pond is the most widely used for large scale microalgae culture. In the present study, the Particle Image Velocimetry technology was used to validate the reliability of the computational fluid dynamics simulation model for raceway pond. In order to increase the mixing degree and decrease the power consumption, novel mixers called sloping baffles and flow deflectors were combined in the raceway pond. The hydrodynamic characteristics of four types of raceway ponds (traditional raceway, raceway fitted with flow deflectors, raceway fitted with sloping baffles, raceway fitted with both flow deflectors and sloping baffles) were simulated by computational fluid dynamics. The results showed that the raceway pond fitted with sloping baffles and flow deflectors reduced the power consumption by 10%, increased the average velocity by 6.8%, promoted the velocity along the light attenuation direction by 93% and significantly eliminated the dead zone compared with the traditional raceway pond at the condition of rotation speed of paddlewheel of 20. rpm. Lastly, cultivation of Chlorella pyrenoidosa experiments was conducted, and the results indicated that the combination of sloping baffles and flow deflectors can significantly improve the productivity of microalgae.","author":[{"dropping-particle":"","family":"Huang","given":"Jianke","non-dropping-particle":"","parse-names":false,"suffix":""},{"dropping-particle":"","family":"Qu","given":"Xiaoxing","non-dropping-particle":"","parse-names":false,"suffix":""},{"dropping-particle":"","family":"Wan","given":"Minxi","non-dropping-particle":"","parse-names":false,"suffix":""},{"dropping-particle":"","family":"Ying","given":"Jiangguo","non-dropping-particle":"","parse-names":false,"suffix":""},{"dropping-particle":"","family":"Li","given":"Yuanguang","non-dropping-particle":"","parse-names":false,"suffix":""},{"dropping-particle":"","family":"Zhu","given":"Faochao","non-dropping-particle":"","parse-names":false,"suffix":""},{"dropping-particle":"","family":"Wang","given":"Jun","non-dropping-particle":"","parse-names":false,"suffix":""},{"dropping-particle":"","family":"Shen","given":"Guomin","non-dropping-particle":"","parse-names":false,"suffix":""},{"dropping-particle":"","family":"Chen","given":"Jianpei","non-dropping-particle":"","parse-names":false,"suffix":""},{"dropping-particle":"","family":"Li","given":"Wei","non-dropping-particle":"","parse-names":false,"suffix":""}],"container-title":"Algal Research","id":"ITEM-1","issued":{"date-parts":[["2015"]]},"page":"64-71","publisher":"Elsevier B.V.","title":"Investigation on the performance of raceway ponds with internal structures by the means of CFD simulations and experiments","type":"article-journal","volume":"10"},"uris":["http://www.mendeley.com/documents/?uuid=f3529b13-fc0e-4c79-b2e8-7ab9022c4a57"]}],"mendeley":{"formattedCitation":"(Huang et al., 2015)","plainTextFormattedCitation":"(Huang et al., 2015)","previouslyFormattedCitation":"(Huang et al., 2015)"},"properties":{"noteIndex":0},"schema":"https://github.com/citation-style-language/schema/raw/master/csl-citation.json"}</w:instrText>
            </w:r>
            <w:r>
              <w:rPr>
                <w:rFonts w:ascii="Times New Roman" w:hAnsi="Times New Roman" w:cs="Times New Roman"/>
                <w:sz w:val="18"/>
                <w:szCs w:val="18"/>
              </w:rPr>
              <w:fldChar w:fldCharType="separate"/>
            </w:r>
            <w:r w:rsidRPr="00AB319D">
              <w:rPr>
                <w:rFonts w:ascii="Times New Roman" w:hAnsi="Times New Roman" w:cs="Times New Roman"/>
                <w:noProof/>
                <w:sz w:val="18"/>
                <w:szCs w:val="18"/>
              </w:rPr>
              <w:t>(Huang et al., 2015)</w:t>
            </w:r>
            <w:r>
              <w:rPr>
                <w:rFonts w:ascii="Times New Roman" w:hAnsi="Times New Roman" w:cs="Times New Roman"/>
                <w:sz w:val="18"/>
                <w:szCs w:val="18"/>
              </w:rPr>
              <w:fldChar w:fldCharType="end"/>
            </w:r>
          </w:p>
        </w:tc>
      </w:tr>
      <w:tr w:rsidR="00A55F62" w14:paraId="6EB781E7" w14:textId="77777777" w:rsidTr="00AF2837">
        <w:trPr>
          <w:trHeight w:val="540"/>
        </w:trPr>
        <w:tc>
          <w:tcPr>
            <w:tcW w:w="1440" w:type="dxa"/>
            <w:vMerge/>
            <w:tcBorders>
              <w:bottom w:val="single" w:sz="18" w:space="0" w:color="auto"/>
            </w:tcBorders>
          </w:tcPr>
          <w:p w14:paraId="0D37BD42" w14:textId="77777777" w:rsidR="00A55F62" w:rsidRPr="00B20CC2" w:rsidRDefault="00A55F62" w:rsidP="00A55F62">
            <w:pPr>
              <w:rPr>
                <w:rFonts w:ascii="Times New Roman" w:hAnsi="Times New Roman" w:cs="Times New Roman"/>
                <w:sz w:val="18"/>
                <w:szCs w:val="18"/>
              </w:rPr>
            </w:pPr>
          </w:p>
        </w:tc>
        <w:tc>
          <w:tcPr>
            <w:tcW w:w="616" w:type="dxa"/>
            <w:vMerge/>
            <w:tcBorders>
              <w:bottom w:val="single" w:sz="18" w:space="0" w:color="auto"/>
            </w:tcBorders>
          </w:tcPr>
          <w:p w14:paraId="2E643EA8" w14:textId="77777777" w:rsidR="00A55F62" w:rsidRPr="00B20CC2" w:rsidRDefault="00A55F62" w:rsidP="00A55F62">
            <w:pPr>
              <w:rPr>
                <w:rFonts w:ascii="Times New Roman" w:hAnsi="Times New Roman" w:cs="Times New Roman"/>
                <w:sz w:val="18"/>
                <w:szCs w:val="18"/>
              </w:rPr>
            </w:pPr>
          </w:p>
        </w:tc>
        <w:tc>
          <w:tcPr>
            <w:tcW w:w="986" w:type="dxa"/>
            <w:vMerge/>
            <w:tcBorders>
              <w:bottom w:val="single" w:sz="18" w:space="0" w:color="auto"/>
            </w:tcBorders>
          </w:tcPr>
          <w:p w14:paraId="56C476EA" w14:textId="77777777" w:rsidR="00A55F62" w:rsidRPr="00B20CC2" w:rsidRDefault="00A55F62" w:rsidP="00A55F62">
            <w:pPr>
              <w:rPr>
                <w:rFonts w:ascii="Times New Roman" w:hAnsi="Times New Roman" w:cs="Times New Roman"/>
                <w:sz w:val="18"/>
                <w:szCs w:val="18"/>
              </w:rPr>
            </w:pPr>
          </w:p>
        </w:tc>
        <w:tc>
          <w:tcPr>
            <w:tcW w:w="1236" w:type="dxa"/>
            <w:vMerge/>
            <w:tcBorders>
              <w:bottom w:val="single" w:sz="18" w:space="0" w:color="auto"/>
            </w:tcBorders>
          </w:tcPr>
          <w:p w14:paraId="4A12DE93" w14:textId="77777777" w:rsidR="00A55F62" w:rsidRPr="00B20CC2" w:rsidRDefault="00A55F62" w:rsidP="00A55F62">
            <w:pPr>
              <w:rPr>
                <w:rFonts w:ascii="Times New Roman" w:hAnsi="Times New Roman" w:cs="Times New Roman"/>
                <w:sz w:val="18"/>
                <w:szCs w:val="18"/>
              </w:rPr>
            </w:pPr>
          </w:p>
        </w:tc>
        <w:tc>
          <w:tcPr>
            <w:tcW w:w="816" w:type="dxa"/>
            <w:vMerge/>
            <w:tcBorders>
              <w:bottom w:val="single" w:sz="18" w:space="0" w:color="auto"/>
            </w:tcBorders>
          </w:tcPr>
          <w:p w14:paraId="50F19900" w14:textId="77777777" w:rsidR="00A55F62" w:rsidRPr="00B20CC2" w:rsidRDefault="00A55F62" w:rsidP="00A55F62">
            <w:pPr>
              <w:rPr>
                <w:rFonts w:ascii="Times New Roman" w:hAnsi="Times New Roman" w:cs="Times New Roman"/>
                <w:sz w:val="18"/>
                <w:szCs w:val="18"/>
              </w:rPr>
            </w:pPr>
          </w:p>
        </w:tc>
        <w:tc>
          <w:tcPr>
            <w:tcW w:w="1163" w:type="dxa"/>
            <w:tcBorders>
              <w:bottom w:val="single" w:sz="18" w:space="0" w:color="auto"/>
            </w:tcBorders>
          </w:tcPr>
          <w:p w14:paraId="5F87688B"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4.95 (g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d</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936" w:type="dxa"/>
            <w:vMerge/>
            <w:tcBorders>
              <w:bottom w:val="single" w:sz="18" w:space="0" w:color="auto"/>
            </w:tcBorders>
          </w:tcPr>
          <w:p w14:paraId="68C28AA3" w14:textId="77777777" w:rsidR="00A55F62" w:rsidRPr="00B20CC2" w:rsidRDefault="00A55F62" w:rsidP="00A55F62">
            <w:pPr>
              <w:rPr>
                <w:rFonts w:ascii="Times New Roman" w:hAnsi="Times New Roman" w:cs="Times New Roman"/>
                <w:sz w:val="18"/>
                <w:szCs w:val="18"/>
              </w:rPr>
            </w:pPr>
          </w:p>
        </w:tc>
        <w:tc>
          <w:tcPr>
            <w:tcW w:w="727" w:type="dxa"/>
            <w:vMerge/>
            <w:tcBorders>
              <w:bottom w:val="single" w:sz="18" w:space="0" w:color="auto"/>
            </w:tcBorders>
          </w:tcPr>
          <w:p w14:paraId="0A4D8FDF" w14:textId="77777777" w:rsidR="00A55F62" w:rsidRPr="00B20CC2" w:rsidRDefault="00A55F62" w:rsidP="00A55F62">
            <w:pPr>
              <w:rPr>
                <w:rFonts w:ascii="Times New Roman" w:hAnsi="Times New Roman" w:cs="Times New Roman"/>
                <w:sz w:val="18"/>
                <w:szCs w:val="18"/>
              </w:rPr>
            </w:pPr>
          </w:p>
        </w:tc>
        <w:tc>
          <w:tcPr>
            <w:tcW w:w="897" w:type="dxa"/>
            <w:tcBorders>
              <w:bottom w:val="single" w:sz="18" w:space="0" w:color="auto"/>
            </w:tcBorders>
          </w:tcPr>
          <w:p w14:paraId="5C950CC4" w14:textId="77777777" w:rsidR="00A55F62" w:rsidRPr="00B20CC2" w:rsidRDefault="00A55F62" w:rsidP="00A55F62">
            <w:pPr>
              <w:rPr>
                <w:rFonts w:ascii="Times New Roman" w:hAnsi="Times New Roman" w:cs="Times New Roman"/>
                <w:sz w:val="18"/>
                <w:szCs w:val="18"/>
              </w:rPr>
            </w:pPr>
            <w:r w:rsidRPr="00B20CC2">
              <w:rPr>
                <w:rFonts w:ascii="Times New Roman" w:hAnsi="Times New Roman" w:cs="Times New Roman"/>
                <w:sz w:val="18"/>
                <w:szCs w:val="18"/>
              </w:rPr>
              <w:t>192.24 (μmol m</w:t>
            </w:r>
            <w:r w:rsidRPr="00864BFD">
              <w:rPr>
                <w:rFonts w:ascii="Times New Roman" w:hAnsi="Times New Roman" w:cs="Times New Roman"/>
                <w:sz w:val="18"/>
                <w:szCs w:val="18"/>
                <w:vertAlign w:val="superscript"/>
              </w:rPr>
              <w:t>−2</w:t>
            </w:r>
            <w:r w:rsidRPr="00B20CC2">
              <w:rPr>
                <w:rFonts w:ascii="Times New Roman" w:hAnsi="Times New Roman" w:cs="Times New Roman"/>
                <w:sz w:val="18"/>
                <w:szCs w:val="18"/>
              </w:rPr>
              <w:t xml:space="preserve"> s </w:t>
            </w:r>
            <w:r w:rsidRPr="00864BFD">
              <w:rPr>
                <w:rFonts w:ascii="Times New Roman" w:hAnsi="Times New Roman" w:cs="Times New Roman"/>
                <w:sz w:val="18"/>
                <w:szCs w:val="18"/>
                <w:vertAlign w:val="superscript"/>
              </w:rPr>
              <w:t>−1</w:t>
            </w:r>
            <w:r w:rsidRPr="00B20CC2">
              <w:rPr>
                <w:rFonts w:ascii="Times New Roman" w:hAnsi="Times New Roman" w:cs="Times New Roman"/>
                <w:sz w:val="18"/>
                <w:szCs w:val="18"/>
              </w:rPr>
              <w:t>)</w:t>
            </w:r>
          </w:p>
        </w:tc>
        <w:tc>
          <w:tcPr>
            <w:tcW w:w="1556" w:type="dxa"/>
            <w:vMerge/>
            <w:tcBorders>
              <w:bottom w:val="single" w:sz="18" w:space="0" w:color="auto"/>
            </w:tcBorders>
          </w:tcPr>
          <w:p w14:paraId="5D17A23A" w14:textId="77777777" w:rsidR="00A55F62" w:rsidRPr="00B20CC2" w:rsidRDefault="00A55F62" w:rsidP="00A55F62">
            <w:pPr>
              <w:rPr>
                <w:rFonts w:ascii="Times New Roman" w:hAnsi="Times New Roman" w:cs="Times New Roman"/>
                <w:sz w:val="18"/>
                <w:szCs w:val="18"/>
              </w:rPr>
            </w:pPr>
          </w:p>
        </w:tc>
      </w:tr>
    </w:tbl>
    <w:p w14:paraId="0B5847D8" w14:textId="77777777" w:rsidR="00C26031" w:rsidRDefault="00C26031" w:rsidP="00C26031">
      <w:pPr>
        <w:pStyle w:val="Caption"/>
        <w:keepNext/>
      </w:pPr>
    </w:p>
    <w:p w14:paraId="58CF9322" w14:textId="2D743774" w:rsidR="00C26031" w:rsidRPr="00C26031" w:rsidRDefault="00C26031" w:rsidP="00C26031">
      <w:pPr>
        <w:pStyle w:val="Caption"/>
        <w:keepNext/>
        <w:jc w:val="center"/>
        <w:rPr>
          <w:rFonts w:ascii="Times New Roman" w:hAnsi="Times New Roman" w:cs="Times New Roman"/>
          <w:i w:val="0"/>
          <w:iCs w:val="0"/>
          <w:color w:val="000000" w:themeColor="text1"/>
          <w:sz w:val="22"/>
          <w:szCs w:val="22"/>
        </w:rPr>
      </w:pPr>
      <w:r w:rsidRPr="0015072B">
        <w:rPr>
          <w:rFonts w:ascii="Times New Roman" w:hAnsi="Times New Roman" w:cs="Times New Roman"/>
          <w:b/>
          <w:bCs/>
          <w:i w:val="0"/>
          <w:color w:val="000000" w:themeColor="text1"/>
          <w:sz w:val="22"/>
          <w:szCs w:val="22"/>
        </w:rPr>
        <w:t xml:space="preserve">Table </w:t>
      </w:r>
      <w:r w:rsidRPr="0015072B">
        <w:rPr>
          <w:rFonts w:ascii="Times New Roman" w:hAnsi="Times New Roman" w:cs="Times New Roman"/>
          <w:b/>
          <w:bCs/>
          <w:i w:val="0"/>
          <w:color w:val="000000" w:themeColor="text1"/>
          <w:sz w:val="22"/>
          <w:szCs w:val="22"/>
        </w:rPr>
        <w:fldChar w:fldCharType="begin"/>
      </w:r>
      <w:r w:rsidRPr="0015072B">
        <w:rPr>
          <w:rFonts w:ascii="Times New Roman" w:hAnsi="Times New Roman" w:cs="Times New Roman"/>
          <w:b/>
          <w:bCs/>
          <w:i w:val="0"/>
          <w:color w:val="000000" w:themeColor="text1"/>
          <w:sz w:val="22"/>
          <w:szCs w:val="22"/>
        </w:rPr>
        <w:instrText xml:space="preserve"> SEQ Table \* ARABIC </w:instrText>
      </w:r>
      <w:r w:rsidRPr="0015072B">
        <w:rPr>
          <w:rFonts w:ascii="Times New Roman" w:hAnsi="Times New Roman" w:cs="Times New Roman"/>
          <w:b/>
          <w:bCs/>
          <w:i w:val="0"/>
          <w:color w:val="000000" w:themeColor="text1"/>
          <w:sz w:val="22"/>
          <w:szCs w:val="22"/>
        </w:rPr>
        <w:fldChar w:fldCharType="separate"/>
      </w:r>
      <w:r w:rsidRPr="0015072B">
        <w:rPr>
          <w:rFonts w:ascii="Times New Roman" w:hAnsi="Times New Roman" w:cs="Times New Roman"/>
          <w:b/>
          <w:bCs/>
          <w:i w:val="0"/>
          <w:noProof/>
          <w:color w:val="000000" w:themeColor="text1"/>
          <w:sz w:val="22"/>
          <w:szCs w:val="22"/>
        </w:rPr>
        <w:t>2</w:t>
      </w:r>
      <w:r w:rsidRPr="0015072B">
        <w:rPr>
          <w:rFonts w:ascii="Times New Roman" w:hAnsi="Times New Roman" w:cs="Times New Roman"/>
          <w:b/>
          <w:bCs/>
          <w:i w:val="0"/>
          <w:color w:val="000000" w:themeColor="text1"/>
          <w:sz w:val="22"/>
          <w:szCs w:val="22"/>
        </w:rPr>
        <w:fldChar w:fldCharType="end"/>
      </w:r>
      <w:r w:rsidRPr="00C26031">
        <w:rPr>
          <w:rFonts w:ascii="Times New Roman" w:hAnsi="Times New Roman" w:cs="Times New Roman"/>
          <w:b/>
          <w:bCs/>
          <w:color w:val="000000" w:themeColor="text1"/>
          <w:sz w:val="22"/>
          <w:szCs w:val="22"/>
        </w:rPr>
        <w:t>.</w:t>
      </w:r>
      <w:r w:rsidRPr="00C26031">
        <w:rPr>
          <w:rFonts w:ascii="Times New Roman" w:hAnsi="Times New Roman" w:cs="Times New Roman"/>
          <w:i w:val="0"/>
          <w:iCs w:val="0"/>
          <w:color w:val="000000" w:themeColor="text1"/>
          <w:sz w:val="22"/>
          <w:szCs w:val="22"/>
        </w:rPr>
        <w:t xml:space="preserve"> </w:t>
      </w:r>
      <w:r w:rsidRPr="009F28C3">
        <w:rPr>
          <w:rFonts w:ascii="Times New Roman" w:hAnsi="Times New Roman" w:cs="Times New Roman"/>
          <w:i w:val="0"/>
          <w:iCs w:val="0"/>
          <w:color w:val="000000" w:themeColor="text1"/>
          <w:sz w:val="22"/>
          <w:szCs w:val="22"/>
        </w:rPr>
        <w:t>Nutrient recovery analysis</w:t>
      </w:r>
      <w:r w:rsidR="009F28C3" w:rsidRPr="009F28C3">
        <w:rPr>
          <w:rFonts w:ascii="Times New Roman" w:hAnsi="Times New Roman" w:cs="Times New Roman"/>
          <w:i w:val="0"/>
          <w:iCs w:val="0"/>
          <w:color w:val="000000" w:themeColor="text1"/>
          <w:sz w:val="22"/>
          <w:szCs w:val="22"/>
        </w:rPr>
        <w:t xml:space="preserve"> for </w:t>
      </w:r>
      <w:r w:rsidR="009F28C3" w:rsidRPr="009F28C3">
        <w:rPr>
          <w:rFonts w:ascii="Times New Roman" w:hAnsi="Times New Roman" w:cs="Times New Roman"/>
          <w:iCs w:val="0"/>
          <w:color w:val="000000" w:themeColor="text1"/>
          <w:sz w:val="22"/>
          <w:szCs w:val="22"/>
        </w:rPr>
        <w:t>Scenedesmus</w:t>
      </w:r>
      <w:r w:rsidR="009F28C3" w:rsidRPr="009F28C3">
        <w:rPr>
          <w:rFonts w:ascii="Times New Roman" w:hAnsi="Times New Roman" w:cs="Times New Roman"/>
          <w:i w:val="0"/>
          <w:iCs w:val="0"/>
          <w:color w:val="000000" w:themeColor="text1"/>
          <w:sz w:val="22"/>
          <w:szCs w:val="22"/>
        </w:rPr>
        <w:t xml:space="preserve"> sp.</w:t>
      </w:r>
      <w:r w:rsidR="009F28C3">
        <w:rPr>
          <w:rFonts w:ascii="Times New Roman" w:hAnsi="Times New Roman" w:cs="Times New Roman"/>
          <w:i w:val="0"/>
          <w:iCs w:val="0"/>
          <w:color w:val="000000" w:themeColor="text1"/>
          <w:sz w:val="22"/>
          <w:szCs w:val="22"/>
        </w:rPr>
        <w:t xml:space="preserve"> cultivated in raceway pond under different mixing duration systems</w:t>
      </w:r>
    </w:p>
    <w:tbl>
      <w:tblPr>
        <w:tblStyle w:val="TableGrid"/>
        <w:tblpPr w:leftFromText="180" w:rightFromText="180" w:vertAnchor="page" w:horzAnchor="margin" w:tblpXSpec="center" w:tblpY="24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38"/>
        <w:gridCol w:w="1793"/>
        <w:gridCol w:w="2095"/>
      </w:tblGrid>
      <w:tr w:rsidR="00775286" w:rsidRPr="00EC7724" w14:paraId="273D65AB" w14:textId="77777777" w:rsidTr="00AF2837">
        <w:tc>
          <w:tcPr>
            <w:tcW w:w="1803" w:type="dxa"/>
            <w:tcBorders>
              <w:top w:val="single" w:sz="18" w:space="0" w:color="auto"/>
              <w:bottom w:val="single" w:sz="18" w:space="0" w:color="auto"/>
            </w:tcBorders>
          </w:tcPr>
          <w:p w14:paraId="2E0E7E8F" w14:textId="77777777" w:rsidR="00775286" w:rsidRPr="0048328A" w:rsidRDefault="00775286" w:rsidP="00C9355D">
            <w:pPr>
              <w:spacing w:line="360" w:lineRule="auto"/>
              <w:jc w:val="both"/>
              <w:rPr>
                <w:rFonts w:ascii="Times New Roman" w:hAnsi="Times New Roman" w:cs="Times New Roman"/>
                <w:b/>
                <w:bCs/>
              </w:rPr>
            </w:pPr>
            <w:r w:rsidRPr="0048328A">
              <w:rPr>
                <w:rFonts w:ascii="Times New Roman" w:hAnsi="Times New Roman" w:cs="Times New Roman"/>
                <w:b/>
                <w:bCs/>
              </w:rPr>
              <w:t>Systems</w:t>
            </w:r>
          </w:p>
        </w:tc>
        <w:tc>
          <w:tcPr>
            <w:tcW w:w="1838" w:type="dxa"/>
            <w:tcBorders>
              <w:top w:val="single" w:sz="18" w:space="0" w:color="auto"/>
              <w:bottom w:val="single" w:sz="18" w:space="0" w:color="auto"/>
            </w:tcBorders>
          </w:tcPr>
          <w:p w14:paraId="7D1A11E8" w14:textId="77777777" w:rsidR="00775286" w:rsidRPr="0048328A" w:rsidRDefault="00775286" w:rsidP="00C9355D">
            <w:pPr>
              <w:spacing w:line="360" w:lineRule="auto"/>
              <w:jc w:val="both"/>
              <w:rPr>
                <w:rFonts w:ascii="Times New Roman" w:hAnsi="Times New Roman" w:cs="Times New Roman"/>
                <w:b/>
                <w:bCs/>
              </w:rPr>
            </w:pPr>
            <w:r w:rsidRPr="0048328A">
              <w:rPr>
                <w:rFonts w:ascii="Times New Roman" w:hAnsi="Times New Roman" w:cs="Times New Roman"/>
                <w:b/>
                <w:bCs/>
              </w:rPr>
              <w:t>Nutrient Parameters</w:t>
            </w:r>
          </w:p>
        </w:tc>
        <w:tc>
          <w:tcPr>
            <w:tcW w:w="1793" w:type="dxa"/>
            <w:tcBorders>
              <w:top w:val="single" w:sz="18" w:space="0" w:color="auto"/>
              <w:bottom w:val="single" w:sz="18" w:space="0" w:color="auto"/>
            </w:tcBorders>
          </w:tcPr>
          <w:p w14:paraId="6C2DE8F0" w14:textId="77777777" w:rsidR="00775286" w:rsidRDefault="00775286" w:rsidP="00C9355D">
            <w:pPr>
              <w:spacing w:line="360" w:lineRule="auto"/>
              <w:jc w:val="both"/>
              <w:rPr>
                <w:rFonts w:ascii="Times New Roman" w:hAnsi="Times New Roman" w:cs="Times New Roman"/>
                <w:b/>
                <w:bCs/>
              </w:rPr>
            </w:pPr>
            <w:r w:rsidRPr="0048328A">
              <w:rPr>
                <w:rFonts w:ascii="Times New Roman" w:hAnsi="Times New Roman" w:cs="Times New Roman"/>
                <w:b/>
                <w:bCs/>
              </w:rPr>
              <w:t xml:space="preserve">Nitrate </w:t>
            </w:r>
          </w:p>
          <w:p w14:paraId="384E428A" w14:textId="77777777" w:rsidR="00775286" w:rsidRPr="0048328A" w:rsidRDefault="00775286" w:rsidP="00C9355D">
            <w:pPr>
              <w:spacing w:line="360" w:lineRule="auto"/>
              <w:jc w:val="both"/>
              <w:rPr>
                <w:rFonts w:ascii="Times New Roman" w:hAnsi="Times New Roman" w:cs="Times New Roman"/>
                <w:b/>
                <w:bCs/>
              </w:rPr>
            </w:pPr>
            <w:r w:rsidRPr="0048328A">
              <w:rPr>
                <w:rFonts w:ascii="Times New Roman" w:hAnsi="Times New Roman" w:cs="Times New Roman"/>
                <w:b/>
                <w:bCs/>
              </w:rPr>
              <w:t>(NO</w:t>
            </w:r>
            <w:r w:rsidRPr="0048328A">
              <w:rPr>
                <w:rFonts w:ascii="Times New Roman" w:hAnsi="Times New Roman" w:cs="Times New Roman"/>
                <w:b/>
                <w:bCs/>
                <w:vertAlign w:val="subscript"/>
              </w:rPr>
              <w:t>3</w:t>
            </w:r>
            <w:r w:rsidRPr="0048328A">
              <w:rPr>
                <w:rFonts w:ascii="Times New Roman" w:hAnsi="Times New Roman" w:cs="Times New Roman"/>
                <w:b/>
                <w:bCs/>
              </w:rPr>
              <w:t xml:space="preserve"> </w:t>
            </w:r>
            <w:r w:rsidRPr="0048328A">
              <w:rPr>
                <w:rFonts w:ascii="Times New Roman" w:hAnsi="Times New Roman" w:cs="Times New Roman"/>
                <w:b/>
                <w:bCs/>
                <w:vertAlign w:val="superscript"/>
              </w:rPr>
              <w:t>–</w:t>
            </w:r>
            <w:r w:rsidRPr="0048328A">
              <w:rPr>
                <w:rFonts w:ascii="Times New Roman" w:hAnsi="Times New Roman" w:cs="Times New Roman"/>
                <w:b/>
                <w:bCs/>
              </w:rPr>
              <w:t xml:space="preserve"> N)</w:t>
            </w:r>
          </w:p>
        </w:tc>
        <w:tc>
          <w:tcPr>
            <w:tcW w:w="2095" w:type="dxa"/>
            <w:tcBorders>
              <w:top w:val="single" w:sz="18" w:space="0" w:color="auto"/>
              <w:bottom w:val="single" w:sz="18" w:space="0" w:color="auto"/>
            </w:tcBorders>
          </w:tcPr>
          <w:p w14:paraId="2D5B6BA5" w14:textId="77777777" w:rsidR="00775286" w:rsidRPr="0048328A" w:rsidRDefault="00775286" w:rsidP="00C9355D">
            <w:pPr>
              <w:spacing w:line="360" w:lineRule="auto"/>
              <w:jc w:val="both"/>
              <w:rPr>
                <w:rFonts w:ascii="Times New Roman" w:hAnsi="Times New Roman" w:cs="Times New Roman"/>
                <w:b/>
                <w:bCs/>
              </w:rPr>
            </w:pPr>
            <w:r w:rsidRPr="0048328A">
              <w:rPr>
                <w:rFonts w:ascii="Times New Roman" w:hAnsi="Times New Roman" w:cs="Times New Roman"/>
                <w:b/>
                <w:bCs/>
              </w:rPr>
              <w:t>Orthophosphate (PO</w:t>
            </w:r>
            <w:r w:rsidRPr="0048328A">
              <w:rPr>
                <w:rFonts w:ascii="Times New Roman" w:hAnsi="Times New Roman" w:cs="Times New Roman"/>
                <w:b/>
                <w:bCs/>
                <w:vertAlign w:val="subscript"/>
              </w:rPr>
              <w:t>4</w:t>
            </w:r>
            <w:r w:rsidRPr="0048328A">
              <w:rPr>
                <w:rFonts w:ascii="Times New Roman" w:hAnsi="Times New Roman" w:cs="Times New Roman"/>
                <w:b/>
                <w:bCs/>
                <w:vertAlign w:val="superscript"/>
              </w:rPr>
              <w:t>3-</w:t>
            </w:r>
            <w:r w:rsidRPr="0048328A">
              <w:rPr>
                <w:rFonts w:ascii="Times New Roman" w:hAnsi="Times New Roman" w:cs="Times New Roman"/>
                <w:b/>
                <w:bCs/>
              </w:rPr>
              <w:t xml:space="preserve"> - P)</w:t>
            </w:r>
          </w:p>
        </w:tc>
      </w:tr>
      <w:tr w:rsidR="00775286" w:rsidRPr="00EC7724" w14:paraId="31F0C902" w14:textId="77777777" w:rsidTr="00AF2837">
        <w:tc>
          <w:tcPr>
            <w:tcW w:w="1803" w:type="dxa"/>
            <w:vMerge w:val="restart"/>
            <w:tcBorders>
              <w:top w:val="single" w:sz="18" w:space="0" w:color="auto"/>
            </w:tcBorders>
          </w:tcPr>
          <w:p w14:paraId="79722AF5"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R1</w:t>
            </w:r>
          </w:p>
        </w:tc>
        <w:tc>
          <w:tcPr>
            <w:tcW w:w="1838" w:type="dxa"/>
            <w:tcBorders>
              <w:top w:val="single" w:sz="18" w:space="0" w:color="auto"/>
            </w:tcBorders>
          </w:tcPr>
          <w:p w14:paraId="2BE6F10A"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 xml:space="preserve">R </w:t>
            </w:r>
          </w:p>
        </w:tc>
        <w:tc>
          <w:tcPr>
            <w:tcW w:w="1793" w:type="dxa"/>
            <w:tcBorders>
              <w:top w:val="single" w:sz="18" w:space="0" w:color="auto"/>
            </w:tcBorders>
          </w:tcPr>
          <w:p w14:paraId="55B9E62C"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51.81 ± </w:t>
            </w:r>
            <w:r w:rsidRPr="00C36B56">
              <w:rPr>
                <w:rFonts w:ascii="Times New Roman" w:hAnsi="Times New Roman" w:cs="Times New Roman"/>
                <w:color w:val="000000"/>
                <w:sz w:val="24"/>
                <w:szCs w:val="24"/>
              </w:rPr>
              <w:t>2.371</w:t>
            </w:r>
          </w:p>
          <w:p w14:paraId="57C00225"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Borders>
              <w:top w:val="single" w:sz="18" w:space="0" w:color="auto"/>
            </w:tcBorders>
          </w:tcPr>
          <w:p w14:paraId="7C1F2F50"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A05330">
              <w:rPr>
                <w:rFonts w:ascii="Times New Roman" w:hAnsi="Times New Roman" w:cs="Times New Roman"/>
                <w:color w:val="000000" w:themeColor="text1"/>
                <w:sz w:val="24"/>
                <w:szCs w:val="24"/>
              </w:rPr>
              <w:t xml:space="preserve">34.05 ± </w:t>
            </w:r>
            <w:r w:rsidRPr="00A05330">
              <w:rPr>
                <w:rFonts w:ascii="Times New Roman" w:hAnsi="Times New Roman" w:cs="Times New Roman"/>
                <w:color w:val="000000"/>
                <w:sz w:val="24"/>
                <w:szCs w:val="24"/>
              </w:rPr>
              <w:t>0.443</w:t>
            </w:r>
          </w:p>
          <w:p w14:paraId="53670327"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r>
      <w:tr w:rsidR="00775286" w:rsidRPr="00EC7724" w14:paraId="1A592017" w14:textId="77777777" w:rsidTr="00C9355D">
        <w:tc>
          <w:tcPr>
            <w:tcW w:w="1803" w:type="dxa"/>
            <w:vMerge/>
          </w:tcPr>
          <w:p w14:paraId="7D5C2365"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Pr>
          <w:p w14:paraId="52C6D971" w14:textId="77777777" w:rsidR="00775286" w:rsidRPr="00AF3837" w:rsidRDefault="00775286" w:rsidP="00C9355D">
            <w:pPr>
              <w:spacing w:line="360" w:lineRule="auto"/>
              <w:rPr>
                <w:rFonts w:ascii="Times New Roman" w:hAnsi="Times New Roman" w:cs="Times New Roman"/>
                <w:color w:val="000000" w:themeColor="text1"/>
                <w:sz w:val="24"/>
                <w:szCs w:val="24"/>
              </w:rPr>
            </w:pPr>
            <w:proofErr w:type="spellStart"/>
            <w:r w:rsidRPr="00AF3837">
              <w:rPr>
                <w:rFonts w:ascii="Times New Roman" w:hAnsi="Times New Roman" w:cs="Times New Roman"/>
                <w:color w:val="000000" w:themeColor="text1"/>
                <w:sz w:val="24"/>
                <w:szCs w:val="24"/>
              </w:rPr>
              <w:t>RR</w:t>
            </w:r>
            <w:r w:rsidRPr="00AF3837">
              <w:rPr>
                <w:rFonts w:ascii="Times New Roman" w:hAnsi="Times New Roman" w:cs="Times New Roman"/>
                <w:color w:val="000000" w:themeColor="text1"/>
                <w:sz w:val="24"/>
                <w:szCs w:val="24"/>
                <w:vertAlign w:val="subscript"/>
              </w:rPr>
              <w:t>x</w:t>
            </w:r>
            <w:proofErr w:type="spellEnd"/>
          </w:p>
        </w:tc>
        <w:tc>
          <w:tcPr>
            <w:tcW w:w="1793" w:type="dxa"/>
          </w:tcPr>
          <w:p w14:paraId="3190B8B7"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5.181 ± </w:t>
            </w:r>
            <w:r w:rsidRPr="00C36B56">
              <w:rPr>
                <w:rFonts w:ascii="Times New Roman" w:hAnsi="Times New Roman" w:cs="Times New Roman"/>
                <w:color w:val="000000"/>
                <w:sz w:val="24"/>
                <w:szCs w:val="24"/>
              </w:rPr>
              <w:t>0.237</w:t>
            </w:r>
          </w:p>
          <w:p w14:paraId="180B1734"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Pr>
          <w:p w14:paraId="7C85EDBE"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A05330">
              <w:rPr>
                <w:rFonts w:ascii="Times New Roman" w:hAnsi="Times New Roman" w:cs="Times New Roman"/>
                <w:color w:val="000000" w:themeColor="text1"/>
                <w:sz w:val="24"/>
                <w:szCs w:val="24"/>
              </w:rPr>
              <w:t xml:space="preserve">3.41 ± </w:t>
            </w:r>
            <w:r w:rsidRPr="00A05330">
              <w:rPr>
                <w:rFonts w:ascii="Times New Roman" w:hAnsi="Times New Roman" w:cs="Times New Roman"/>
                <w:color w:val="000000"/>
                <w:sz w:val="24"/>
                <w:szCs w:val="24"/>
              </w:rPr>
              <w:t>0.044</w:t>
            </w:r>
          </w:p>
          <w:p w14:paraId="38FE99A5"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r>
      <w:tr w:rsidR="00775286" w:rsidRPr="00EC7724" w14:paraId="71C70B44" w14:textId="77777777" w:rsidTr="00C9355D">
        <w:trPr>
          <w:trHeight w:val="430"/>
        </w:trPr>
        <w:tc>
          <w:tcPr>
            <w:tcW w:w="1803" w:type="dxa"/>
            <w:vMerge/>
          </w:tcPr>
          <w:p w14:paraId="6830E154"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Pr>
          <w:p w14:paraId="36413E97"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 R</w:t>
            </w:r>
          </w:p>
        </w:tc>
        <w:tc>
          <w:tcPr>
            <w:tcW w:w="1793" w:type="dxa"/>
          </w:tcPr>
          <w:p w14:paraId="000AEFFD"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90.82 ± </w:t>
            </w:r>
            <w:r w:rsidRPr="00C36B56">
              <w:rPr>
                <w:rFonts w:ascii="Times New Roman" w:hAnsi="Times New Roman" w:cs="Times New Roman"/>
                <w:color w:val="000000"/>
                <w:sz w:val="24"/>
                <w:szCs w:val="24"/>
              </w:rPr>
              <w:t>3.087</w:t>
            </w:r>
          </w:p>
          <w:p w14:paraId="3EA57B2D"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Pr>
          <w:p w14:paraId="6D734503"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A05330">
              <w:rPr>
                <w:rFonts w:ascii="Times New Roman" w:hAnsi="Times New Roman" w:cs="Times New Roman"/>
                <w:color w:val="000000" w:themeColor="text1"/>
                <w:sz w:val="24"/>
                <w:szCs w:val="24"/>
              </w:rPr>
              <w:t>69.17 ±</w:t>
            </w:r>
            <w:r w:rsidRPr="00A05330">
              <w:rPr>
                <w:rFonts w:ascii="Times New Roman" w:hAnsi="Times New Roman" w:cs="Times New Roman"/>
                <w:color w:val="000000"/>
                <w:sz w:val="24"/>
                <w:szCs w:val="24"/>
              </w:rPr>
              <w:t>0.651</w:t>
            </w:r>
          </w:p>
          <w:p w14:paraId="7A2B7F7E" w14:textId="77777777" w:rsidR="00775286" w:rsidRPr="00A05330" w:rsidRDefault="00775286" w:rsidP="00C9355D">
            <w:pPr>
              <w:spacing w:line="360" w:lineRule="auto"/>
              <w:rPr>
                <w:rFonts w:ascii="Times New Roman" w:hAnsi="Times New Roman" w:cs="Times New Roman"/>
                <w:color w:val="000000" w:themeColor="text1"/>
                <w:sz w:val="24"/>
                <w:szCs w:val="24"/>
              </w:rPr>
            </w:pPr>
          </w:p>
        </w:tc>
      </w:tr>
      <w:tr w:rsidR="00775286" w:rsidRPr="00EC7724" w14:paraId="0C0D53E3" w14:textId="77777777" w:rsidTr="00C9355D">
        <w:tc>
          <w:tcPr>
            <w:tcW w:w="1803" w:type="dxa"/>
            <w:vMerge w:val="restart"/>
          </w:tcPr>
          <w:p w14:paraId="7C0831B3"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R2</w:t>
            </w:r>
          </w:p>
        </w:tc>
        <w:tc>
          <w:tcPr>
            <w:tcW w:w="1838" w:type="dxa"/>
          </w:tcPr>
          <w:p w14:paraId="6167A5EC"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R</w:t>
            </w:r>
          </w:p>
        </w:tc>
        <w:tc>
          <w:tcPr>
            <w:tcW w:w="1793" w:type="dxa"/>
          </w:tcPr>
          <w:p w14:paraId="60553F5A"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42.56 ± </w:t>
            </w:r>
            <w:r w:rsidRPr="00C36B56">
              <w:rPr>
                <w:rFonts w:ascii="Times New Roman" w:hAnsi="Times New Roman" w:cs="Times New Roman"/>
                <w:color w:val="000000"/>
                <w:sz w:val="24"/>
                <w:szCs w:val="24"/>
              </w:rPr>
              <w:t>2.741</w:t>
            </w:r>
          </w:p>
          <w:p w14:paraId="416C39C2"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Pr>
          <w:p w14:paraId="6FF0AE0D"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A05330">
              <w:rPr>
                <w:rFonts w:ascii="Times New Roman" w:hAnsi="Times New Roman" w:cs="Times New Roman"/>
                <w:color w:val="000000" w:themeColor="text1"/>
                <w:sz w:val="24"/>
                <w:szCs w:val="24"/>
              </w:rPr>
              <w:t xml:space="preserve">29.49 ± </w:t>
            </w:r>
            <w:r w:rsidRPr="00A05330">
              <w:rPr>
                <w:rFonts w:ascii="Times New Roman" w:hAnsi="Times New Roman" w:cs="Times New Roman"/>
                <w:color w:val="000000"/>
                <w:sz w:val="24"/>
                <w:szCs w:val="24"/>
              </w:rPr>
              <w:t>0.190</w:t>
            </w:r>
          </w:p>
          <w:p w14:paraId="7F521C1C"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r>
      <w:tr w:rsidR="00775286" w:rsidRPr="00EC7724" w14:paraId="278BE848" w14:textId="77777777" w:rsidTr="00C9355D">
        <w:tc>
          <w:tcPr>
            <w:tcW w:w="1803" w:type="dxa"/>
            <w:vMerge/>
          </w:tcPr>
          <w:p w14:paraId="7657ECB9"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Pr>
          <w:p w14:paraId="26217D6E" w14:textId="77777777" w:rsidR="00775286" w:rsidRPr="00AF3837" w:rsidRDefault="00775286" w:rsidP="00C9355D">
            <w:pPr>
              <w:spacing w:line="360" w:lineRule="auto"/>
              <w:rPr>
                <w:rFonts w:ascii="Times New Roman" w:hAnsi="Times New Roman" w:cs="Times New Roman"/>
                <w:color w:val="000000" w:themeColor="text1"/>
                <w:sz w:val="24"/>
                <w:szCs w:val="24"/>
              </w:rPr>
            </w:pPr>
            <w:proofErr w:type="spellStart"/>
            <w:r w:rsidRPr="00AF3837">
              <w:rPr>
                <w:rFonts w:ascii="Times New Roman" w:hAnsi="Times New Roman" w:cs="Times New Roman"/>
                <w:color w:val="000000" w:themeColor="text1"/>
                <w:sz w:val="24"/>
                <w:szCs w:val="24"/>
              </w:rPr>
              <w:t>RR</w:t>
            </w:r>
            <w:r w:rsidRPr="00AF3837">
              <w:rPr>
                <w:rFonts w:ascii="Times New Roman" w:hAnsi="Times New Roman" w:cs="Times New Roman"/>
                <w:color w:val="000000" w:themeColor="text1"/>
                <w:sz w:val="24"/>
                <w:szCs w:val="24"/>
                <w:vertAlign w:val="subscript"/>
              </w:rPr>
              <w:t>x</w:t>
            </w:r>
            <w:proofErr w:type="spellEnd"/>
          </w:p>
        </w:tc>
        <w:tc>
          <w:tcPr>
            <w:tcW w:w="1793" w:type="dxa"/>
          </w:tcPr>
          <w:p w14:paraId="6DD5A120" w14:textId="77777777" w:rsidR="00775286" w:rsidRPr="00C36B56" w:rsidRDefault="00775286" w:rsidP="00C9355D">
            <w:pPr>
              <w:spacing w:line="360" w:lineRule="auto"/>
              <w:rPr>
                <w:rFonts w:ascii="Times New Roman" w:hAnsi="Times New Roman" w:cs="Times New Roman"/>
                <w:color w:val="000000" w:themeColor="text1"/>
                <w:sz w:val="24"/>
                <w:szCs w:val="24"/>
              </w:rPr>
            </w:pPr>
            <w:r w:rsidRPr="00C36B56">
              <w:rPr>
                <w:rFonts w:ascii="Times New Roman" w:hAnsi="Times New Roman" w:cs="Times New Roman"/>
                <w:color w:val="000000" w:themeColor="text1"/>
                <w:sz w:val="24"/>
                <w:szCs w:val="24"/>
              </w:rPr>
              <w:t xml:space="preserve">4.256 ± </w:t>
            </w:r>
            <w:r w:rsidRPr="00C36B56">
              <w:rPr>
                <w:rFonts w:ascii="Times New Roman" w:hAnsi="Times New Roman" w:cs="Times New Roman"/>
                <w:color w:val="000000"/>
                <w:sz w:val="24"/>
                <w:szCs w:val="24"/>
              </w:rPr>
              <w:t>0.274</w:t>
            </w:r>
          </w:p>
        </w:tc>
        <w:tc>
          <w:tcPr>
            <w:tcW w:w="2095" w:type="dxa"/>
          </w:tcPr>
          <w:p w14:paraId="3793435C" w14:textId="77777777" w:rsidR="00775286" w:rsidRPr="00A05330" w:rsidRDefault="00775286" w:rsidP="00C9355D">
            <w:pPr>
              <w:spacing w:line="360" w:lineRule="auto"/>
              <w:rPr>
                <w:rFonts w:ascii="Times New Roman" w:hAnsi="Times New Roman" w:cs="Times New Roman"/>
                <w:color w:val="000000" w:themeColor="text1"/>
                <w:sz w:val="24"/>
                <w:szCs w:val="24"/>
              </w:rPr>
            </w:pPr>
            <w:r w:rsidRPr="00A05330">
              <w:rPr>
                <w:rFonts w:ascii="Times New Roman" w:hAnsi="Times New Roman" w:cs="Times New Roman"/>
                <w:color w:val="000000" w:themeColor="text1"/>
                <w:sz w:val="24"/>
                <w:szCs w:val="24"/>
              </w:rPr>
              <w:t xml:space="preserve">2.95 ± </w:t>
            </w:r>
            <w:r w:rsidRPr="00A05330">
              <w:rPr>
                <w:rFonts w:ascii="Times New Roman" w:hAnsi="Times New Roman" w:cs="Times New Roman"/>
                <w:color w:val="000000"/>
                <w:sz w:val="24"/>
                <w:szCs w:val="24"/>
              </w:rPr>
              <w:t>0.019</w:t>
            </w:r>
          </w:p>
        </w:tc>
      </w:tr>
      <w:tr w:rsidR="00775286" w:rsidRPr="00EC7724" w14:paraId="492FC3B8" w14:textId="77777777" w:rsidTr="00C9355D">
        <w:trPr>
          <w:trHeight w:val="693"/>
        </w:trPr>
        <w:tc>
          <w:tcPr>
            <w:tcW w:w="1803" w:type="dxa"/>
            <w:vMerge/>
          </w:tcPr>
          <w:p w14:paraId="3D5ACD0D"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Pr>
          <w:p w14:paraId="5F793CB8"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 R</w:t>
            </w:r>
          </w:p>
        </w:tc>
        <w:tc>
          <w:tcPr>
            <w:tcW w:w="1793" w:type="dxa"/>
          </w:tcPr>
          <w:p w14:paraId="491B463F"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74.62 ± </w:t>
            </w:r>
            <w:r w:rsidRPr="00C36B56">
              <w:rPr>
                <w:rFonts w:ascii="Times New Roman" w:hAnsi="Times New Roman" w:cs="Times New Roman"/>
                <w:color w:val="000000"/>
                <w:sz w:val="24"/>
                <w:szCs w:val="24"/>
              </w:rPr>
              <w:t>0.94</w:t>
            </w:r>
            <w:r>
              <w:rPr>
                <w:rFonts w:ascii="Times New Roman" w:hAnsi="Times New Roman" w:cs="Times New Roman"/>
                <w:color w:val="000000"/>
                <w:sz w:val="24"/>
                <w:szCs w:val="24"/>
              </w:rPr>
              <w:t>4</w:t>
            </w:r>
          </w:p>
          <w:p w14:paraId="3662ABD7"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Pr>
          <w:p w14:paraId="02671F7E" w14:textId="77777777" w:rsidR="00775286" w:rsidRPr="00A05330" w:rsidRDefault="00775286" w:rsidP="00C9355D">
            <w:pPr>
              <w:spacing w:line="360" w:lineRule="auto"/>
              <w:rPr>
                <w:rFonts w:ascii="Times New Roman" w:hAnsi="Times New Roman" w:cs="Times New Roman"/>
                <w:color w:val="000000" w:themeColor="text1"/>
                <w:sz w:val="24"/>
                <w:szCs w:val="24"/>
              </w:rPr>
            </w:pPr>
            <w:r w:rsidRPr="00A05330">
              <w:rPr>
                <w:rFonts w:ascii="Times New Roman" w:hAnsi="Times New Roman" w:cs="Times New Roman"/>
                <w:color w:val="000000" w:themeColor="text1"/>
                <w:sz w:val="24"/>
                <w:szCs w:val="24"/>
              </w:rPr>
              <w:t xml:space="preserve">59.90 ± </w:t>
            </w:r>
            <w:r w:rsidRPr="00A05330">
              <w:rPr>
                <w:rFonts w:ascii="Times New Roman" w:hAnsi="Times New Roman" w:cs="Times New Roman"/>
                <w:color w:val="000000"/>
                <w:sz w:val="24"/>
                <w:szCs w:val="24"/>
              </w:rPr>
              <w:t>0.318</w:t>
            </w:r>
          </w:p>
        </w:tc>
      </w:tr>
      <w:tr w:rsidR="00775286" w:rsidRPr="00EC7724" w14:paraId="7A76B1F2" w14:textId="77777777" w:rsidTr="00C9355D">
        <w:tc>
          <w:tcPr>
            <w:tcW w:w="1803" w:type="dxa"/>
            <w:vMerge w:val="restart"/>
          </w:tcPr>
          <w:p w14:paraId="4874445C"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R3</w:t>
            </w:r>
          </w:p>
        </w:tc>
        <w:tc>
          <w:tcPr>
            <w:tcW w:w="1838" w:type="dxa"/>
          </w:tcPr>
          <w:p w14:paraId="2F6F5816"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R</w:t>
            </w:r>
          </w:p>
        </w:tc>
        <w:tc>
          <w:tcPr>
            <w:tcW w:w="1793" w:type="dxa"/>
          </w:tcPr>
          <w:p w14:paraId="5D931596"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31.84 ± </w:t>
            </w:r>
            <w:r w:rsidRPr="00C36B56">
              <w:rPr>
                <w:rFonts w:ascii="Times New Roman" w:hAnsi="Times New Roman" w:cs="Times New Roman"/>
                <w:color w:val="000000"/>
                <w:sz w:val="24"/>
                <w:szCs w:val="24"/>
              </w:rPr>
              <w:t>0.320</w:t>
            </w:r>
          </w:p>
          <w:p w14:paraId="6EB01446"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Pr>
          <w:p w14:paraId="7406BA23"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A05330">
              <w:rPr>
                <w:rFonts w:ascii="Times New Roman" w:hAnsi="Times New Roman" w:cs="Times New Roman"/>
                <w:color w:val="000000" w:themeColor="text1"/>
                <w:sz w:val="24"/>
                <w:szCs w:val="24"/>
              </w:rPr>
              <w:t xml:space="preserve">26.50 ± </w:t>
            </w:r>
            <w:r w:rsidRPr="00A05330">
              <w:rPr>
                <w:rFonts w:ascii="Times New Roman" w:hAnsi="Times New Roman" w:cs="Times New Roman"/>
                <w:color w:val="000000"/>
                <w:sz w:val="24"/>
                <w:szCs w:val="24"/>
              </w:rPr>
              <w:t>1.163</w:t>
            </w:r>
          </w:p>
          <w:p w14:paraId="411FC288" w14:textId="77777777" w:rsidR="00775286" w:rsidRPr="00A05330"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r>
      <w:tr w:rsidR="00775286" w:rsidRPr="00EC7724" w14:paraId="2F3324DA" w14:textId="77777777" w:rsidTr="00C9355D">
        <w:tc>
          <w:tcPr>
            <w:tcW w:w="1803" w:type="dxa"/>
            <w:vMerge/>
          </w:tcPr>
          <w:p w14:paraId="36958940"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Pr>
          <w:p w14:paraId="21BF2B4D" w14:textId="77777777" w:rsidR="00775286" w:rsidRPr="00AF3837" w:rsidRDefault="00775286" w:rsidP="00C9355D">
            <w:pPr>
              <w:spacing w:line="360" w:lineRule="auto"/>
              <w:rPr>
                <w:rFonts w:ascii="Times New Roman" w:hAnsi="Times New Roman" w:cs="Times New Roman"/>
                <w:color w:val="000000" w:themeColor="text1"/>
                <w:sz w:val="24"/>
                <w:szCs w:val="24"/>
              </w:rPr>
            </w:pPr>
            <w:proofErr w:type="spellStart"/>
            <w:r w:rsidRPr="00AF3837">
              <w:rPr>
                <w:rFonts w:ascii="Times New Roman" w:hAnsi="Times New Roman" w:cs="Times New Roman"/>
                <w:color w:val="000000" w:themeColor="text1"/>
                <w:sz w:val="24"/>
                <w:szCs w:val="24"/>
              </w:rPr>
              <w:t>RR</w:t>
            </w:r>
            <w:r w:rsidRPr="00AF3837">
              <w:rPr>
                <w:rFonts w:ascii="Times New Roman" w:hAnsi="Times New Roman" w:cs="Times New Roman"/>
                <w:color w:val="000000" w:themeColor="text1"/>
                <w:sz w:val="24"/>
                <w:szCs w:val="24"/>
                <w:vertAlign w:val="subscript"/>
              </w:rPr>
              <w:t>x</w:t>
            </w:r>
            <w:proofErr w:type="spellEnd"/>
          </w:p>
        </w:tc>
        <w:tc>
          <w:tcPr>
            <w:tcW w:w="1793" w:type="dxa"/>
          </w:tcPr>
          <w:p w14:paraId="3DECF4A7" w14:textId="77777777" w:rsidR="00775286" w:rsidRPr="00C36B56" w:rsidRDefault="00775286" w:rsidP="00C9355D">
            <w:pPr>
              <w:spacing w:line="360" w:lineRule="auto"/>
              <w:rPr>
                <w:rFonts w:ascii="Times New Roman" w:hAnsi="Times New Roman" w:cs="Times New Roman"/>
                <w:color w:val="000000" w:themeColor="text1"/>
                <w:sz w:val="24"/>
                <w:szCs w:val="24"/>
              </w:rPr>
            </w:pPr>
            <w:r w:rsidRPr="00C36B56">
              <w:rPr>
                <w:rFonts w:ascii="Times New Roman" w:hAnsi="Times New Roman" w:cs="Times New Roman"/>
                <w:color w:val="000000" w:themeColor="text1"/>
                <w:sz w:val="24"/>
                <w:szCs w:val="24"/>
              </w:rPr>
              <w:t xml:space="preserve">3.184 ± </w:t>
            </w:r>
            <w:r w:rsidRPr="00C36B56">
              <w:rPr>
                <w:rFonts w:ascii="Times New Roman" w:hAnsi="Times New Roman" w:cs="Times New Roman"/>
                <w:color w:val="000000"/>
                <w:sz w:val="24"/>
                <w:szCs w:val="24"/>
              </w:rPr>
              <w:t>0.032</w:t>
            </w:r>
          </w:p>
        </w:tc>
        <w:tc>
          <w:tcPr>
            <w:tcW w:w="2095" w:type="dxa"/>
          </w:tcPr>
          <w:p w14:paraId="46726FAD" w14:textId="77777777" w:rsidR="00775286" w:rsidRPr="00A05330" w:rsidRDefault="00775286" w:rsidP="00C9355D">
            <w:pPr>
              <w:spacing w:line="360" w:lineRule="auto"/>
              <w:rPr>
                <w:rFonts w:ascii="Times New Roman" w:hAnsi="Times New Roman" w:cs="Times New Roman"/>
                <w:color w:val="000000" w:themeColor="text1"/>
                <w:sz w:val="24"/>
                <w:szCs w:val="24"/>
              </w:rPr>
            </w:pPr>
            <w:r w:rsidRPr="00A05330">
              <w:rPr>
                <w:rFonts w:ascii="Times New Roman" w:hAnsi="Times New Roman" w:cs="Times New Roman"/>
                <w:color w:val="000000" w:themeColor="text1"/>
                <w:sz w:val="24"/>
                <w:szCs w:val="24"/>
              </w:rPr>
              <w:t xml:space="preserve">2.65 ± </w:t>
            </w:r>
            <w:r w:rsidRPr="00A05330">
              <w:rPr>
                <w:rFonts w:ascii="Times New Roman" w:hAnsi="Times New Roman" w:cs="Times New Roman"/>
                <w:color w:val="000000"/>
                <w:sz w:val="24"/>
                <w:szCs w:val="24"/>
              </w:rPr>
              <w:t>0.116</w:t>
            </w:r>
          </w:p>
        </w:tc>
      </w:tr>
      <w:tr w:rsidR="00775286" w:rsidRPr="00EC7724" w14:paraId="362E3E63" w14:textId="77777777" w:rsidTr="00AF2837">
        <w:tc>
          <w:tcPr>
            <w:tcW w:w="1803" w:type="dxa"/>
            <w:vMerge/>
            <w:tcBorders>
              <w:bottom w:val="single" w:sz="18" w:space="0" w:color="auto"/>
            </w:tcBorders>
          </w:tcPr>
          <w:p w14:paraId="58199357" w14:textId="77777777" w:rsidR="00775286" w:rsidRPr="00AF3837" w:rsidRDefault="00775286" w:rsidP="00C9355D">
            <w:pPr>
              <w:spacing w:line="360" w:lineRule="auto"/>
              <w:jc w:val="both"/>
              <w:rPr>
                <w:rFonts w:ascii="Times New Roman" w:hAnsi="Times New Roman" w:cs="Times New Roman"/>
                <w:color w:val="000000" w:themeColor="text1"/>
                <w:sz w:val="24"/>
                <w:szCs w:val="24"/>
              </w:rPr>
            </w:pPr>
          </w:p>
        </w:tc>
        <w:tc>
          <w:tcPr>
            <w:tcW w:w="1838" w:type="dxa"/>
            <w:tcBorders>
              <w:bottom w:val="single" w:sz="18" w:space="0" w:color="auto"/>
            </w:tcBorders>
          </w:tcPr>
          <w:p w14:paraId="683649C5" w14:textId="77777777" w:rsidR="00775286" w:rsidRPr="00AF3837" w:rsidRDefault="00775286" w:rsidP="00C9355D">
            <w:pPr>
              <w:spacing w:line="360" w:lineRule="auto"/>
              <w:rPr>
                <w:rFonts w:ascii="Times New Roman" w:hAnsi="Times New Roman" w:cs="Times New Roman"/>
                <w:color w:val="000000" w:themeColor="text1"/>
                <w:sz w:val="24"/>
                <w:szCs w:val="24"/>
              </w:rPr>
            </w:pPr>
            <w:r w:rsidRPr="00AF3837">
              <w:rPr>
                <w:rFonts w:ascii="Times New Roman" w:hAnsi="Times New Roman" w:cs="Times New Roman"/>
                <w:color w:val="000000" w:themeColor="text1"/>
                <w:sz w:val="24"/>
                <w:szCs w:val="24"/>
              </w:rPr>
              <w:t>% R</w:t>
            </w:r>
          </w:p>
        </w:tc>
        <w:tc>
          <w:tcPr>
            <w:tcW w:w="1793" w:type="dxa"/>
            <w:tcBorders>
              <w:bottom w:val="single" w:sz="18" w:space="0" w:color="auto"/>
            </w:tcBorders>
          </w:tcPr>
          <w:p w14:paraId="05B8EA41"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r w:rsidRPr="00C36B56">
              <w:rPr>
                <w:rFonts w:ascii="Times New Roman" w:hAnsi="Times New Roman" w:cs="Times New Roman"/>
                <w:color w:val="000000" w:themeColor="text1"/>
                <w:sz w:val="24"/>
                <w:szCs w:val="24"/>
              </w:rPr>
              <w:t xml:space="preserve">55.81 ± </w:t>
            </w:r>
            <w:r w:rsidRPr="00C36B56">
              <w:rPr>
                <w:rFonts w:ascii="Times New Roman" w:hAnsi="Times New Roman" w:cs="Times New Roman"/>
                <w:color w:val="000000"/>
                <w:sz w:val="24"/>
                <w:szCs w:val="24"/>
              </w:rPr>
              <w:t>0.72</w:t>
            </w:r>
            <w:r>
              <w:rPr>
                <w:rFonts w:ascii="Times New Roman" w:hAnsi="Times New Roman" w:cs="Times New Roman"/>
                <w:color w:val="000000"/>
                <w:sz w:val="24"/>
                <w:szCs w:val="24"/>
              </w:rPr>
              <w:t>2</w:t>
            </w:r>
          </w:p>
          <w:p w14:paraId="21FF715E" w14:textId="77777777" w:rsidR="00775286" w:rsidRPr="00C36B56" w:rsidRDefault="00775286" w:rsidP="00C9355D">
            <w:pPr>
              <w:spacing w:after="0" w:line="240" w:lineRule="auto"/>
              <w:rPr>
                <w:rFonts w:ascii="Times New Roman" w:eastAsia="Times New Roman" w:hAnsi="Times New Roman" w:cs="Times New Roman"/>
                <w:color w:val="000000" w:themeColor="text1"/>
                <w:sz w:val="24"/>
                <w:szCs w:val="24"/>
                <w:lang w:eastAsia="ja-JP"/>
              </w:rPr>
            </w:pPr>
          </w:p>
        </w:tc>
        <w:tc>
          <w:tcPr>
            <w:tcW w:w="2095" w:type="dxa"/>
            <w:tcBorders>
              <w:bottom w:val="single" w:sz="18" w:space="0" w:color="auto"/>
            </w:tcBorders>
          </w:tcPr>
          <w:p w14:paraId="5FACEE00" w14:textId="77777777" w:rsidR="00775286" w:rsidRPr="00A05330" w:rsidRDefault="00775286" w:rsidP="00C9355D">
            <w:pPr>
              <w:spacing w:line="360" w:lineRule="auto"/>
              <w:rPr>
                <w:rFonts w:ascii="Times New Roman" w:hAnsi="Times New Roman" w:cs="Times New Roman"/>
                <w:color w:val="000000" w:themeColor="text1"/>
                <w:sz w:val="24"/>
                <w:szCs w:val="24"/>
              </w:rPr>
            </w:pPr>
            <w:r w:rsidRPr="00A05330">
              <w:rPr>
                <w:rFonts w:ascii="Times New Roman" w:hAnsi="Times New Roman" w:cs="Times New Roman"/>
                <w:color w:val="000000" w:themeColor="text1"/>
                <w:sz w:val="24"/>
                <w:szCs w:val="24"/>
              </w:rPr>
              <w:t xml:space="preserve">53.83 ± </w:t>
            </w:r>
            <w:r w:rsidRPr="00A05330">
              <w:rPr>
                <w:rFonts w:ascii="Times New Roman" w:hAnsi="Times New Roman" w:cs="Times New Roman"/>
                <w:color w:val="000000"/>
                <w:sz w:val="24"/>
                <w:szCs w:val="24"/>
              </w:rPr>
              <w:t>1.747</w:t>
            </w:r>
          </w:p>
          <w:p w14:paraId="08336173" w14:textId="77777777" w:rsidR="00775286" w:rsidRPr="00A05330" w:rsidRDefault="00775286" w:rsidP="00C9355D">
            <w:pPr>
              <w:spacing w:line="360" w:lineRule="auto"/>
              <w:rPr>
                <w:rFonts w:ascii="Times New Roman" w:hAnsi="Times New Roman" w:cs="Times New Roman"/>
                <w:color w:val="000000" w:themeColor="text1"/>
                <w:sz w:val="24"/>
                <w:szCs w:val="24"/>
              </w:rPr>
            </w:pPr>
          </w:p>
        </w:tc>
      </w:tr>
    </w:tbl>
    <w:p w14:paraId="793EBFAF" w14:textId="77777777" w:rsidR="00A55F62" w:rsidRPr="00A55F62" w:rsidRDefault="00A55F62" w:rsidP="00A55F62"/>
    <w:sectPr w:rsidR="00A55F62" w:rsidRPr="00A55F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F62"/>
    <w:rsid w:val="0015072B"/>
    <w:rsid w:val="004F253C"/>
    <w:rsid w:val="00505010"/>
    <w:rsid w:val="0060547E"/>
    <w:rsid w:val="007270B4"/>
    <w:rsid w:val="00775286"/>
    <w:rsid w:val="00916FC7"/>
    <w:rsid w:val="009F28C3"/>
    <w:rsid w:val="00A55F62"/>
    <w:rsid w:val="00A86DD0"/>
    <w:rsid w:val="00AF2837"/>
    <w:rsid w:val="00AF3837"/>
    <w:rsid w:val="00C26031"/>
    <w:rsid w:val="00F84E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5703"/>
  <w15:chartTrackingRefBased/>
  <w15:docId w15:val="{053F19BA-1E22-4D9A-9118-D13159ED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62"/>
    <w:pPr>
      <w:spacing w:after="200" w:line="276" w:lineRule="auto"/>
    </w:pPr>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F62"/>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55F62"/>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55648">
      <w:bodyDiv w:val="1"/>
      <w:marLeft w:val="0"/>
      <w:marRight w:val="0"/>
      <w:marTop w:val="0"/>
      <w:marBottom w:val="0"/>
      <w:divBdr>
        <w:top w:val="none" w:sz="0" w:space="0" w:color="auto"/>
        <w:left w:val="none" w:sz="0" w:space="0" w:color="auto"/>
        <w:bottom w:val="none" w:sz="0" w:space="0" w:color="auto"/>
        <w:right w:val="none" w:sz="0" w:space="0" w:color="auto"/>
      </w:divBdr>
    </w:div>
    <w:div w:id="772672005">
      <w:bodyDiv w:val="1"/>
      <w:marLeft w:val="0"/>
      <w:marRight w:val="0"/>
      <w:marTop w:val="0"/>
      <w:marBottom w:val="0"/>
      <w:divBdr>
        <w:top w:val="none" w:sz="0" w:space="0" w:color="auto"/>
        <w:left w:val="none" w:sz="0" w:space="0" w:color="auto"/>
        <w:bottom w:val="none" w:sz="0" w:space="0" w:color="auto"/>
        <w:right w:val="none" w:sz="0" w:space="0" w:color="auto"/>
      </w:divBdr>
    </w:div>
    <w:div w:id="884416866">
      <w:bodyDiv w:val="1"/>
      <w:marLeft w:val="0"/>
      <w:marRight w:val="0"/>
      <w:marTop w:val="0"/>
      <w:marBottom w:val="0"/>
      <w:divBdr>
        <w:top w:val="none" w:sz="0" w:space="0" w:color="auto"/>
        <w:left w:val="none" w:sz="0" w:space="0" w:color="auto"/>
        <w:bottom w:val="none" w:sz="0" w:space="0" w:color="auto"/>
        <w:right w:val="none" w:sz="0" w:space="0" w:color="auto"/>
      </w:divBdr>
    </w:div>
    <w:div w:id="1064598144">
      <w:bodyDiv w:val="1"/>
      <w:marLeft w:val="0"/>
      <w:marRight w:val="0"/>
      <w:marTop w:val="0"/>
      <w:marBottom w:val="0"/>
      <w:divBdr>
        <w:top w:val="none" w:sz="0" w:space="0" w:color="auto"/>
        <w:left w:val="none" w:sz="0" w:space="0" w:color="auto"/>
        <w:bottom w:val="none" w:sz="0" w:space="0" w:color="auto"/>
        <w:right w:val="none" w:sz="0" w:space="0" w:color="auto"/>
      </w:divBdr>
    </w:div>
    <w:div w:id="1120302189">
      <w:bodyDiv w:val="1"/>
      <w:marLeft w:val="0"/>
      <w:marRight w:val="0"/>
      <w:marTop w:val="0"/>
      <w:marBottom w:val="0"/>
      <w:divBdr>
        <w:top w:val="none" w:sz="0" w:space="0" w:color="auto"/>
        <w:left w:val="none" w:sz="0" w:space="0" w:color="auto"/>
        <w:bottom w:val="none" w:sz="0" w:space="0" w:color="auto"/>
        <w:right w:val="none" w:sz="0" w:space="0" w:color="auto"/>
      </w:divBdr>
    </w:div>
    <w:div w:id="1408840096">
      <w:bodyDiv w:val="1"/>
      <w:marLeft w:val="0"/>
      <w:marRight w:val="0"/>
      <w:marTop w:val="0"/>
      <w:marBottom w:val="0"/>
      <w:divBdr>
        <w:top w:val="none" w:sz="0" w:space="0" w:color="auto"/>
        <w:left w:val="none" w:sz="0" w:space="0" w:color="auto"/>
        <w:bottom w:val="none" w:sz="0" w:space="0" w:color="auto"/>
        <w:right w:val="none" w:sz="0" w:space="0" w:color="auto"/>
      </w:divBdr>
    </w:div>
    <w:div w:id="1435635358">
      <w:bodyDiv w:val="1"/>
      <w:marLeft w:val="0"/>
      <w:marRight w:val="0"/>
      <w:marTop w:val="0"/>
      <w:marBottom w:val="0"/>
      <w:divBdr>
        <w:top w:val="none" w:sz="0" w:space="0" w:color="auto"/>
        <w:left w:val="none" w:sz="0" w:space="0" w:color="auto"/>
        <w:bottom w:val="none" w:sz="0" w:space="0" w:color="auto"/>
        <w:right w:val="none" w:sz="0" w:space="0" w:color="auto"/>
      </w:divBdr>
    </w:div>
    <w:div w:id="1515804071">
      <w:bodyDiv w:val="1"/>
      <w:marLeft w:val="0"/>
      <w:marRight w:val="0"/>
      <w:marTop w:val="0"/>
      <w:marBottom w:val="0"/>
      <w:divBdr>
        <w:top w:val="none" w:sz="0" w:space="0" w:color="auto"/>
        <w:left w:val="none" w:sz="0" w:space="0" w:color="auto"/>
        <w:bottom w:val="none" w:sz="0" w:space="0" w:color="auto"/>
        <w:right w:val="none" w:sz="0" w:space="0" w:color="auto"/>
      </w:divBdr>
    </w:div>
    <w:div w:id="1638991772">
      <w:bodyDiv w:val="1"/>
      <w:marLeft w:val="0"/>
      <w:marRight w:val="0"/>
      <w:marTop w:val="0"/>
      <w:marBottom w:val="0"/>
      <w:divBdr>
        <w:top w:val="none" w:sz="0" w:space="0" w:color="auto"/>
        <w:left w:val="none" w:sz="0" w:space="0" w:color="auto"/>
        <w:bottom w:val="none" w:sz="0" w:space="0" w:color="auto"/>
        <w:right w:val="none" w:sz="0" w:space="0" w:color="auto"/>
      </w:divBdr>
    </w:div>
    <w:div w:id="1857117400">
      <w:bodyDiv w:val="1"/>
      <w:marLeft w:val="0"/>
      <w:marRight w:val="0"/>
      <w:marTop w:val="0"/>
      <w:marBottom w:val="0"/>
      <w:divBdr>
        <w:top w:val="none" w:sz="0" w:space="0" w:color="auto"/>
        <w:left w:val="none" w:sz="0" w:space="0" w:color="auto"/>
        <w:bottom w:val="none" w:sz="0" w:space="0" w:color="auto"/>
        <w:right w:val="none" w:sz="0" w:space="0" w:color="auto"/>
      </w:divBdr>
    </w:div>
    <w:div w:id="1900362606">
      <w:bodyDiv w:val="1"/>
      <w:marLeft w:val="0"/>
      <w:marRight w:val="0"/>
      <w:marTop w:val="0"/>
      <w:marBottom w:val="0"/>
      <w:divBdr>
        <w:top w:val="none" w:sz="0" w:space="0" w:color="auto"/>
        <w:left w:val="none" w:sz="0" w:space="0" w:color="auto"/>
        <w:bottom w:val="none" w:sz="0" w:space="0" w:color="auto"/>
        <w:right w:val="none" w:sz="0" w:space="0" w:color="auto"/>
      </w:divBdr>
    </w:div>
    <w:div w:id="197579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DBB04-A5A6-4885-ACED-E73EBC6C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2666</Words>
  <Characters>15201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Aakash</dc:creator>
  <cp:keywords/>
  <dc:description/>
  <cp:lastModifiedBy>Sahar Saleem</cp:lastModifiedBy>
  <cp:revision>6</cp:revision>
  <dcterms:created xsi:type="dcterms:W3CDTF">2024-10-03T04:06:00Z</dcterms:created>
  <dcterms:modified xsi:type="dcterms:W3CDTF">2025-07-24T04:13:00Z</dcterms:modified>
</cp:coreProperties>
</file>