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tabs>
          <w:tab w:val="left" w:pos="2410"/>
        </w:tabs>
        <w:rPr>
          <w:rFonts w:hint="eastAsia"/>
          <w:lang w:eastAsia="zh-CN"/>
        </w:rPr>
      </w:pPr>
      <w:r>
        <w:t>H13 Subtype Avian Influenza Viruses are</w:t>
      </w:r>
    </w:p>
    <w:p>
      <w:pPr>
        <w:pStyle w:val="6"/>
        <w:rPr>
          <w:rFonts w:hint="eastAsia"/>
          <w:lang w:eastAsia="zh-CN"/>
        </w:rPr>
      </w:pPr>
      <w:r>
        <w:t>Crossing Host Species Barrier from Wild Waterfowl to Land Fowl</w:t>
      </w:r>
    </w:p>
    <w:p>
      <w:pPr>
        <w:pStyle w:val="6"/>
        <w:rPr>
          <w:rFonts w:hint="eastAsia"/>
          <w:lang w:eastAsia="zh-CN"/>
        </w:rPr>
      </w:pPr>
      <w:r>
        <w:rPr>
          <w:rFonts w:hint="eastAsia"/>
          <w:lang w:eastAsia="zh-CN"/>
        </w:rPr>
        <w:t>Archives of Virology</w:t>
      </w:r>
    </w:p>
    <w:p>
      <w:pPr>
        <w:pStyle w:val="7"/>
        <w:rPr>
          <w:rFonts w:hint="eastAsia"/>
          <w:vertAlign w:val="superscript"/>
          <w:lang w:eastAsia="zh-CN"/>
        </w:rPr>
      </w:pPr>
      <w:r>
        <w:rPr>
          <w:lang w:eastAsia="zh-CN"/>
        </w:rPr>
        <w:t>Weiyang Sun</w:t>
      </w:r>
      <w:r>
        <w:rPr>
          <w:vertAlign w:val="superscript"/>
          <w:lang w:eastAsia="zh-CN"/>
        </w:rPr>
        <w:t>1</w:t>
      </w:r>
      <w:r>
        <w:rPr>
          <w:rFonts w:hint="eastAsia"/>
          <w:vertAlign w:val="superscript"/>
          <w:lang w:eastAsia="zh-CN"/>
        </w:rPr>
        <w:t>#</w:t>
      </w:r>
      <w:r>
        <w:rPr>
          <w:lang w:eastAsia="zh-CN"/>
        </w:rPr>
        <w:t>, Menglin Zhao</w:t>
      </w:r>
      <w:r>
        <w:rPr>
          <w:vertAlign w:val="superscript"/>
          <w:lang w:eastAsia="zh-CN"/>
        </w:rPr>
        <w:t>1</w:t>
      </w:r>
      <w:r>
        <w:rPr>
          <w:rFonts w:hint="eastAsia"/>
          <w:vertAlign w:val="superscript"/>
          <w:lang w:eastAsia="zh-CN"/>
        </w:rPr>
        <w:t>#</w:t>
      </w:r>
      <w:r>
        <w:rPr>
          <w:lang w:eastAsia="zh-CN"/>
        </w:rPr>
        <w:t>, Zhijun Yu</w:t>
      </w:r>
      <w:r>
        <w:rPr>
          <w:vertAlign w:val="superscript"/>
          <w:lang w:eastAsia="zh-CN"/>
        </w:rPr>
        <w:t>2</w:t>
      </w:r>
      <w:r>
        <w:rPr>
          <w:rFonts w:hint="eastAsia"/>
          <w:vertAlign w:val="superscript"/>
          <w:lang w:eastAsia="zh-CN"/>
        </w:rPr>
        <w:t>#</w:t>
      </w:r>
      <w:r>
        <w:rPr>
          <w:lang w:eastAsia="zh-CN"/>
        </w:rPr>
        <w:t>, Yuanguo Li</w:t>
      </w:r>
      <w:r>
        <w:rPr>
          <w:vertAlign w:val="superscript"/>
          <w:lang w:eastAsia="zh-CN"/>
        </w:rPr>
        <w:t>1,3</w:t>
      </w:r>
      <w:r>
        <w:rPr>
          <w:lang w:eastAsia="zh-CN"/>
        </w:rPr>
        <w:t>, Xinghai Zhang</w:t>
      </w:r>
      <w:r>
        <w:rPr>
          <w:vertAlign w:val="superscript"/>
          <w:lang w:eastAsia="zh-CN"/>
        </w:rPr>
        <w:t>1,3</w:t>
      </w:r>
      <w:r>
        <w:rPr>
          <w:lang w:eastAsia="zh-CN"/>
        </w:rPr>
        <w:t>, Na Feng</w:t>
      </w:r>
      <w:r>
        <w:rPr>
          <w:vertAlign w:val="superscript"/>
          <w:lang w:eastAsia="zh-CN"/>
        </w:rPr>
        <w:t>1</w:t>
      </w:r>
      <w:r>
        <w:rPr>
          <w:lang w:eastAsia="zh-CN"/>
        </w:rPr>
        <w:t>, Tiecheng Wang</w:t>
      </w:r>
      <w:r>
        <w:rPr>
          <w:vertAlign w:val="superscript"/>
          <w:lang w:eastAsia="zh-CN"/>
        </w:rPr>
        <w:t>1</w:t>
      </w:r>
      <w:r>
        <w:rPr>
          <w:lang w:eastAsia="zh-CN"/>
        </w:rPr>
        <w:t>, Hongmei Wang</w:t>
      </w:r>
      <w:r>
        <w:rPr>
          <w:vertAlign w:val="superscript"/>
          <w:lang w:eastAsia="zh-CN"/>
        </w:rPr>
        <w:t>4</w:t>
      </w:r>
      <w:r>
        <w:rPr>
          <w:lang w:eastAsia="zh-CN"/>
        </w:rPr>
        <w:t>, Hongbin He</w:t>
      </w:r>
      <w:r>
        <w:rPr>
          <w:vertAlign w:val="superscript"/>
          <w:lang w:eastAsia="zh-CN"/>
        </w:rPr>
        <w:t>4</w:t>
      </w:r>
      <w:r>
        <w:rPr>
          <w:lang w:eastAsia="zh-CN"/>
        </w:rPr>
        <w:t>, Yongkun Zhao</w:t>
      </w:r>
      <w:r>
        <w:rPr>
          <w:vertAlign w:val="superscript"/>
          <w:lang w:eastAsia="zh-CN"/>
        </w:rPr>
        <w:t>1</w:t>
      </w:r>
      <w:r>
        <w:rPr>
          <w:lang w:eastAsia="zh-CN"/>
        </w:rPr>
        <w:t>, Songtao Yang</w:t>
      </w:r>
      <w:r>
        <w:rPr>
          <w:vertAlign w:val="superscript"/>
          <w:lang w:eastAsia="zh-CN"/>
        </w:rPr>
        <w:t>1</w:t>
      </w:r>
      <w:r>
        <w:rPr>
          <w:lang w:eastAsia="zh-CN"/>
        </w:rPr>
        <w:t>, Xianzhu Xia</w:t>
      </w:r>
      <w:r>
        <w:rPr>
          <w:vertAlign w:val="superscript"/>
          <w:lang w:eastAsia="zh-CN"/>
        </w:rPr>
        <w:t>1,5</w:t>
      </w:r>
      <w:r>
        <w:rPr>
          <w:lang w:eastAsia="zh-CN"/>
        </w:rPr>
        <w:t>, Yuwei Gao</w:t>
      </w:r>
      <w:r>
        <w:rPr>
          <w:vertAlign w:val="superscript"/>
          <w:lang w:eastAsia="zh-CN"/>
        </w:rPr>
        <w:t>1,5*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#</w:t>
      </w:r>
      <w:r>
        <w:t>These authors have contributed eq</w:t>
      </w:r>
      <w:r>
        <w:rPr>
          <w:rFonts w:hint="eastAsia"/>
        </w:rPr>
        <w:t>u</w:t>
      </w:r>
      <w:r>
        <w:t>ally to this work.</w:t>
      </w:r>
    </w:p>
    <w:p>
      <w:pPr>
        <w:pStyle w:val="8"/>
        <w:rPr>
          <w:rFonts w:hint="eastAsia"/>
          <w:lang w:eastAsia="zh-CN"/>
        </w:rPr>
      </w:pPr>
      <w:r>
        <w:rPr>
          <w:vertAlign w:val="superscript"/>
          <w:lang w:eastAsia="zh-CN"/>
        </w:rPr>
        <w:t>1</w:t>
      </w:r>
      <w:r>
        <w:rPr>
          <w:lang w:eastAsia="zh-CN"/>
        </w:rPr>
        <w:t>Key Laboratory of Jilin Province for Zoonosis Prevention and Control, Changchun Veterinary Research Institute, Chinese Academy of Agricultural Sciences, Chang’chun, China;</w:t>
      </w:r>
    </w:p>
    <w:p>
      <w:pPr>
        <w:pStyle w:val="8"/>
        <w:rPr>
          <w:rFonts w:hint="eastAsia"/>
          <w:lang w:eastAsia="zh-CN"/>
        </w:rPr>
      </w:pPr>
      <w:r>
        <w:rPr>
          <w:vertAlign w:val="superscript"/>
          <w:lang w:eastAsia="zh-CN"/>
        </w:rPr>
        <w:t>2</w:t>
      </w:r>
      <w:r>
        <w:rPr>
          <w:lang w:eastAsia="zh-CN"/>
        </w:rPr>
        <w:t>Institute of Poultry Science, Shandong Academy of Agricultural Sciences, Ji’nan, China;</w:t>
      </w:r>
    </w:p>
    <w:p>
      <w:pPr>
        <w:pStyle w:val="8"/>
        <w:rPr>
          <w:rFonts w:hint="eastAsia"/>
          <w:lang w:eastAsia="zh-CN"/>
        </w:rPr>
      </w:pPr>
      <w:r>
        <w:rPr>
          <w:vertAlign w:val="superscript"/>
          <w:lang w:eastAsia="zh-CN"/>
        </w:rPr>
        <w:t>3</w:t>
      </w:r>
      <w:r>
        <w:rPr>
          <w:lang w:eastAsia="zh-CN"/>
        </w:rPr>
        <w:t>Department of Veterinary Preventive Medicine, College of Veterinary Medicine, Jilin University, Chang’chun, China</w:t>
      </w:r>
      <w:r>
        <w:rPr>
          <w:rFonts w:hint="eastAsia"/>
          <w:lang w:eastAsia="zh-CN"/>
        </w:rPr>
        <w:t>;</w:t>
      </w:r>
    </w:p>
    <w:p>
      <w:pPr>
        <w:pStyle w:val="8"/>
        <w:rPr>
          <w:rFonts w:hint="eastAsia"/>
          <w:lang w:eastAsia="zh-CN"/>
        </w:rPr>
      </w:pPr>
      <w:r>
        <w:rPr>
          <w:vertAlign w:val="superscript"/>
          <w:lang w:eastAsia="zh-CN"/>
        </w:rPr>
        <w:t>4</w:t>
      </w:r>
      <w:r>
        <w:rPr>
          <w:lang w:eastAsia="zh-CN"/>
        </w:rPr>
        <w:t>Key Laboratory of Animal Resistant Biology of Shandong, Ruminant Disease Research Center, College of Life Science, Shandong Normal University, Ji’nan, China;</w:t>
      </w:r>
    </w:p>
    <w:p>
      <w:pPr>
        <w:pStyle w:val="8"/>
        <w:rPr>
          <w:rFonts w:hint="eastAsia"/>
          <w:lang w:eastAsia="zh-CN"/>
        </w:rPr>
      </w:pPr>
      <w:r>
        <w:rPr>
          <w:vertAlign w:val="superscript"/>
          <w:lang w:eastAsia="zh-CN"/>
        </w:rPr>
        <w:t>5</w:t>
      </w:r>
      <w:r>
        <w:rPr>
          <w:lang w:eastAsia="zh-CN"/>
        </w:rPr>
        <w:t>Jiangsu Co-innovation Center for Prevention and Control of Important Animal Infectious Diseases and Zoonoses, Yangzhou University, Yang’zhou, China</w:t>
      </w:r>
    </w:p>
    <w:p>
      <w:pPr>
        <w:pStyle w:val="9"/>
        <w:rPr>
          <w:rFonts w:hint="eastAsia"/>
          <w:lang w:eastAsia="zh-CN"/>
        </w:rPr>
      </w:pPr>
    </w:p>
    <w:p>
      <w:pPr>
        <w:pStyle w:val="10"/>
        <w:rPr>
          <w:rFonts w:hint="eastAsia"/>
          <w:lang w:eastAsia="zh-CN"/>
        </w:rPr>
      </w:pPr>
      <w:r>
        <w:rPr>
          <w:lang w:eastAsia="zh-CN"/>
        </w:rPr>
        <w:t>Correspondence: Yuwei Gao</w:t>
      </w:r>
      <w:r>
        <w:rPr>
          <w:rFonts w:hint="eastAsia"/>
          <w:lang w:eastAsia="zh-CN"/>
        </w:rPr>
        <w:t xml:space="preserve"> , </w:t>
      </w:r>
      <w:r>
        <w:rPr>
          <w:lang w:eastAsia="zh-CN"/>
        </w:rPr>
        <w:fldChar w:fldCharType="begin"/>
      </w:r>
      <w:r>
        <w:rPr>
          <w:lang w:eastAsia="zh-CN"/>
        </w:rPr>
        <w:instrText xml:space="preserve"> HYPERLINK "mailto:yuwei0901@outlook.com" </w:instrText>
      </w:r>
      <w:r>
        <w:rPr>
          <w:lang w:eastAsia="zh-CN"/>
        </w:rPr>
        <w:fldChar w:fldCharType="separate"/>
      </w:r>
      <w:r>
        <w:rPr>
          <w:rStyle w:val="5"/>
          <w:lang w:eastAsia="zh-CN"/>
        </w:rPr>
        <w:t>yuwei0901@outlook.com</w:t>
      </w:r>
      <w:r>
        <w:rPr>
          <w:lang w:eastAsia="zh-CN"/>
        </w:rPr>
        <w:fldChar w:fldCharType="end"/>
      </w:r>
    </w:p>
    <w:p>
      <w:pPr>
        <w:pStyle w:val="13"/>
        <w:rPr>
          <w:rFonts w:hint="eastAsia"/>
          <w:lang w:eastAsia="zh-CN"/>
        </w:rPr>
      </w:pPr>
      <w:r>
        <w:rPr>
          <w:lang w:eastAsia="zh-CN"/>
        </w:rPr>
        <w:t>The species analysis of ZH385</w:t>
      </w:r>
    </w:p>
    <w:p>
      <w:pPr>
        <w:rPr>
          <w:rFonts w:hint="eastAsia"/>
          <w:lang w:eastAsia="zh-CN"/>
        </w:rPr>
      </w:pPr>
      <w:r>
        <w:rPr>
          <w:lang w:eastAsia="zh-CN"/>
        </w:rPr>
        <w:t>We analyse the species of ZH385 both HA and NA genes</w:t>
      </w:r>
      <w:r>
        <w:rPr>
          <w:rFonts w:hint="eastAsia"/>
          <w:lang w:eastAsia="zh-CN"/>
        </w:rPr>
        <w:t xml:space="preserve"> and </w:t>
      </w:r>
      <w:r>
        <w:rPr>
          <w:lang w:eastAsia="zh-CN"/>
        </w:rPr>
        <w:t>blast these genes in GenBank.</w:t>
      </w:r>
    </w:p>
    <w:p>
      <w:pPr>
        <w:pStyle w:val="13"/>
        <w:rPr>
          <w:rFonts w:hint="eastAsia"/>
          <w:lang w:eastAsia="zh-CN"/>
        </w:rPr>
      </w:pPr>
      <w:r>
        <w:rPr>
          <w:lang w:eastAsia="zh-CN"/>
        </w:rPr>
        <w:t>20-day-old chick experimental infection</w:t>
      </w:r>
    </w:p>
    <w:p>
      <w:pPr>
        <w:rPr>
          <w:rFonts w:hint="eastAsia"/>
          <w:lang w:eastAsia="zh-CN"/>
        </w:rPr>
      </w:pPr>
      <w:r>
        <w:rPr>
          <w:lang w:eastAsia="zh-CN"/>
        </w:rPr>
        <w:t>We chose 20-day-old chicks to evaluate its infections. Day-old chicks were infected with 10</w:t>
      </w:r>
      <w:r>
        <w:rPr>
          <w:vertAlign w:val="superscript"/>
          <w:lang w:eastAsia="zh-CN"/>
        </w:rPr>
        <w:t>6.0</w:t>
      </w:r>
      <w:r>
        <w:rPr>
          <w:lang w:eastAsia="zh-CN"/>
        </w:rPr>
        <w:t xml:space="preserve"> EID</w:t>
      </w:r>
      <w:r>
        <w:rPr>
          <w:vertAlign w:val="subscript"/>
          <w:lang w:eastAsia="zh-CN"/>
        </w:rPr>
        <w:t>50</w:t>
      </w:r>
      <w:r>
        <w:rPr>
          <w:lang w:eastAsia="zh-CN"/>
        </w:rPr>
        <w:t xml:space="preserve"> of H13 subtype influenza viruses in a volume of 50μl. Three chicks from each group were euthanized on 1 dpi, 3 dpi and 5 dpi. The samples from nasal turbinates, tracheas, lungs and colons were collected and measured as described previously</w:t>
      </w:r>
      <w:r>
        <w:rPr>
          <w:rFonts w:hint="eastAsia"/>
          <w:lang w:eastAsia="zh-CN"/>
        </w:rPr>
        <w:t>[1]</w:t>
      </w:r>
      <w:r>
        <w:rPr>
          <w:lang w:eastAsia="zh-CN"/>
        </w:rPr>
        <w:t>.</w:t>
      </w:r>
    </w:p>
    <w:p>
      <w:pPr>
        <w:pStyle w:val="13"/>
        <w:rPr>
          <w:rFonts w:hint="eastAsia"/>
          <w:lang w:eastAsia="zh-CN"/>
        </w:rPr>
      </w:pPr>
      <w:r>
        <w:rPr>
          <w:lang w:eastAsia="zh-CN"/>
        </w:rPr>
        <w:t>34-week-old chicken experimental infection</w:t>
      </w:r>
    </w:p>
    <w:p>
      <w:pPr>
        <w:rPr>
          <w:rFonts w:hint="eastAsia"/>
          <w:lang w:eastAsia="zh-CN"/>
        </w:rPr>
      </w:pPr>
      <w:r>
        <w:rPr>
          <w:lang w:eastAsia="zh-CN"/>
        </w:rPr>
        <w:t>We evaluated the transmission of A/black-tailed_gull/Weihai/17/2016 (H13N8) in 4-week-old chickens. The chickens were divided into three groups: infected group, direct contact group and airborne contact group. The chickens in infected group were infected with 4×10</w:t>
      </w:r>
      <w:r>
        <w:rPr>
          <w:vertAlign w:val="superscript"/>
          <w:lang w:eastAsia="zh-CN"/>
        </w:rPr>
        <w:t xml:space="preserve">6.0 </w:t>
      </w:r>
      <w:r>
        <w:rPr>
          <w:lang w:eastAsia="zh-CN"/>
        </w:rPr>
        <w:t>EID</w:t>
      </w:r>
      <w:r>
        <w:rPr>
          <w:vertAlign w:val="subscript"/>
          <w:lang w:eastAsia="zh-CN"/>
        </w:rPr>
        <w:t>50</w:t>
      </w:r>
      <w:r>
        <w:rPr>
          <w:lang w:eastAsia="zh-CN"/>
        </w:rPr>
        <w:t xml:space="preserve"> of A/black-tailed_gull/Weihai/17/2016 (H13N8) in a volume of 200μl. Three chicks from each group were collected by oropharyngeal and cloacal swabs until 7dpi. Swabs were  measured as described previously</w:t>
      </w:r>
      <w:r>
        <w:rPr>
          <w:rFonts w:hint="eastAsia"/>
          <w:lang w:eastAsia="zh-CN"/>
        </w:rPr>
        <w:t>[1]</w:t>
      </w:r>
      <w:r>
        <w:rPr>
          <w:lang w:eastAsia="zh-CN"/>
        </w:rPr>
        <w:t>.</w:t>
      </w:r>
    </w:p>
    <w:p>
      <w:pPr>
        <w:pStyle w:val="14"/>
        <w:rPr>
          <w:rFonts w:hint="eastAsia"/>
          <w:lang w:eastAsia="zh-CN"/>
        </w:rPr>
      </w:pPr>
      <w:r>
        <w:rPr>
          <w:lang w:eastAsia="zh-CN"/>
        </w:rPr>
        <w:t>Table S1. The species analysis of ZH385</w:t>
      </w:r>
    </w:p>
    <w:tbl>
      <w:tblPr>
        <w:tblStyle w:val="3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3"/>
        <w:gridCol w:w="1134"/>
        <w:gridCol w:w="251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  <w:vMerge w:val="restart"/>
            <w:tcBorders>
              <w:top w:val="single" w:color="auto" w:sz="12" w:space="0"/>
              <w:bottom w:val="nil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Virus</w:t>
            </w:r>
          </w:p>
        </w:tc>
        <w:tc>
          <w:tcPr>
            <w:tcW w:w="1134" w:type="dxa"/>
            <w:vMerge w:val="restart"/>
            <w:tcBorders>
              <w:top w:val="single" w:color="auto" w:sz="12" w:space="0"/>
              <w:bottom w:val="nil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gene</w:t>
            </w:r>
          </w:p>
        </w:tc>
        <w:tc>
          <w:tcPr>
            <w:tcW w:w="2516" w:type="dxa"/>
            <w:tcBorders>
              <w:top w:val="single" w:color="auto" w:sz="12" w:space="0"/>
              <w:bottom w:val="nil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Species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  <w:vMerge w:val="continue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516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Wild duck    Gull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A/Eurasian Curlew/Liaoning/ZH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lang w:eastAsia="zh-CN"/>
              </w:rPr>
              <w:t>385/2014(H13N8)</w:t>
            </w:r>
          </w:p>
        </w:tc>
        <w:tc>
          <w:tcPr>
            <w:tcW w:w="1134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HA</w:t>
            </w:r>
          </w:p>
        </w:tc>
        <w:tc>
          <w:tcPr>
            <w:tcW w:w="2516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〇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NA</w:t>
            </w:r>
          </w:p>
        </w:tc>
        <w:tc>
          <w:tcPr>
            <w:tcW w:w="2516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〇</w:t>
            </w:r>
          </w:p>
        </w:tc>
      </w:tr>
    </w:tbl>
    <w:p>
      <w:pPr>
        <w:pStyle w:val="14"/>
        <w:rPr>
          <w:rFonts w:hint="eastAsia"/>
          <w:lang w:eastAsia="zh-CN"/>
        </w:rPr>
      </w:pPr>
      <w:r>
        <w:rPr>
          <w:lang w:eastAsia="zh-CN"/>
        </w:rPr>
        <w:t>Table S2. The tissue virus titers of ZH385</w:t>
      </w:r>
      <w:r>
        <w:rPr>
          <w:lang w:eastAsia="zh-CN"/>
        </w:rPr>
        <w:tab/>
      </w:r>
    </w:p>
    <w:tbl>
      <w:tblPr>
        <w:tblStyle w:val="3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8"/>
        <w:gridCol w:w="2038"/>
        <w:gridCol w:w="2038"/>
        <w:gridCol w:w="203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8" w:type="dxa"/>
            <w:vMerge w:val="restart"/>
            <w:tcBorders>
              <w:top w:val="single" w:color="auto" w:sz="12" w:space="0"/>
              <w:bottom w:val="nil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Tissue</w:t>
            </w:r>
          </w:p>
        </w:tc>
        <w:tc>
          <w:tcPr>
            <w:tcW w:w="6115" w:type="dxa"/>
            <w:gridSpan w:val="3"/>
            <w:tcBorders>
              <w:top w:val="single" w:color="auto" w:sz="12" w:space="0"/>
              <w:bottom w:val="nil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Virus titers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8" w:type="dxa"/>
            <w:vMerge w:val="continue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038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1dpi</w:t>
            </w:r>
          </w:p>
        </w:tc>
        <w:tc>
          <w:tcPr>
            <w:tcW w:w="2038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3dpi</w:t>
            </w:r>
          </w:p>
        </w:tc>
        <w:tc>
          <w:tcPr>
            <w:tcW w:w="2039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5dpi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8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Nasal Turbinates</w:t>
            </w:r>
          </w:p>
        </w:tc>
        <w:tc>
          <w:tcPr>
            <w:tcW w:w="2038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2038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2039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8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Tracheas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2039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8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Lungs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2039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8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Colons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2038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2039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</w:tr>
    </w:tbl>
    <w:p>
      <w:pPr>
        <w:pStyle w:val="14"/>
        <w:rPr>
          <w:rFonts w:hint="eastAsia"/>
          <w:lang w:eastAsia="zh-CN"/>
        </w:rPr>
      </w:pPr>
      <w:r>
        <w:rPr>
          <w:lang w:eastAsia="zh-CN"/>
        </w:rPr>
        <w:t>-: negative results.</w:t>
      </w:r>
    </w:p>
    <w:p>
      <w:pPr>
        <w:pStyle w:val="14"/>
        <w:rPr>
          <w:rFonts w:hint="eastAsia"/>
          <w:lang w:eastAsia="zh-CN"/>
        </w:rPr>
      </w:pPr>
      <w:r>
        <w:rPr>
          <w:lang w:eastAsia="zh-CN"/>
        </w:rPr>
        <w:t>Table S3.The titers of swabs in infected group</w:t>
      </w:r>
    </w:p>
    <w:tbl>
      <w:tblPr>
        <w:tblStyle w:val="3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1130"/>
        <w:gridCol w:w="1130"/>
        <w:gridCol w:w="1130"/>
        <w:gridCol w:w="1130"/>
        <w:gridCol w:w="1130"/>
        <w:gridCol w:w="113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Merge w:val="restart"/>
            <w:tcBorders>
              <w:top w:val="single" w:color="auto" w:sz="12" w:space="0"/>
              <w:bottom w:val="nil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Tissues</w:t>
            </w:r>
          </w:p>
        </w:tc>
        <w:tc>
          <w:tcPr>
            <w:tcW w:w="6780" w:type="dxa"/>
            <w:gridSpan w:val="6"/>
            <w:tcBorders>
              <w:top w:val="single" w:color="auto" w:sz="12" w:space="0"/>
              <w:bottom w:val="nil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Virus titers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Merge w:val="continue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130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2dpi</w:t>
            </w:r>
          </w:p>
        </w:tc>
        <w:tc>
          <w:tcPr>
            <w:tcW w:w="1130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3dpi</w:t>
            </w:r>
          </w:p>
        </w:tc>
        <w:tc>
          <w:tcPr>
            <w:tcW w:w="1130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4dpi</w:t>
            </w:r>
          </w:p>
        </w:tc>
        <w:tc>
          <w:tcPr>
            <w:tcW w:w="1130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5dpi</w:t>
            </w:r>
          </w:p>
        </w:tc>
        <w:tc>
          <w:tcPr>
            <w:tcW w:w="1130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6dpi</w:t>
            </w:r>
          </w:p>
        </w:tc>
        <w:tc>
          <w:tcPr>
            <w:tcW w:w="1130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7dpi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oropharyngeal swabs</w:t>
            </w:r>
          </w:p>
        </w:tc>
        <w:tc>
          <w:tcPr>
            <w:tcW w:w="1130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130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130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130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130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130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cloacal swabs</w:t>
            </w:r>
          </w:p>
        </w:tc>
        <w:tc>
          <w:tcPr>
            <w:tcW w:w="1130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130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130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130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130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130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</w:tr>
    </w:tbl>
    <w:p>
      <w:pPr>
        <w:pStyle w:val="14"/>
        <w:rPr>
          <w:rFonts w:hint="eastAsia"/>
          <w:lang w:eastAsia="zh-CN"/>
        </w:rPr>
      </w:pPr>
      <w:r>
        <w:rPr>
          <w:lang w:eastAsia="zh-CN"/>
        </w:rPr>
        <w:t>-: negative results.</w:t>
      </w:r>
    </w:p>
    <w:p>
      <w:pPr>
        <w:pStyle w:val="14"/>
        <w:rPr>
          <w:rFonts w:hint="eastAsia"/>
          <w:lang w:eastAsia="zh-CN"/>
        </w:rPr>
      </w:pPr>
      <w:r>
        <w:rPr>
          <w:lang w:eastAsia="zh-CN"/>
        </w:rPr>
        <w:t>Table S4. The titers of swabs in direct contact group</w:t>
      </w:r>
    </w:p>
    <w:tbl>
      <w:tblPr>
        <w:tblStyle w:val="3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906"/>
        <w:gridCol w:w="906"/>
        <w:gridCol w:w="906"/>
        <w:gridCol w:w="906"/>
        <w:gridCol w:w="906"/>
        <w:gridCol w:w="906"/>
        <w:gridCol w:w="90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1" w:type="dxa"/>
            <w:vMerge w:val="restart"/>
            <w:tcBorders>
              <w:top w:val="single" w:color="auto" w:sz="12" w:space="0"/>
              <w:bottom w:val="nil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Tissues</w:t>
            </w:r>
          </w:p>
        </w:tc>
        <w:tc>
          <w:tcPr>
            <w:tcW w:w="6342" w:type="dxa"/>
            <w:gridSpan w:val="7"/>
            <w:tcBorders>
              <w:top w:val="single" w:color="auto" w:sz="12" w:space="0"/>
              <w:bottom w:val="nil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Virus titers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1" w:type="dxa"/>
            <w:vMerge w:val="continue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906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1dpi</w:t>
            </w:r>
          </w:p>
        </w:tc>
        <w:tc>
          <w:tcPr>
            <w:tcW w:w="906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dpi</w:t>
            </w:r>
          </w:p>
        </w:tc>
        <w:tc>
          <w:tcPr>
            <w:tcW w:w="906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  <w:r>
              <w:rPr>
                <w:lang w:eastAsia="zh-CN"/>
              </w:rPr>
              <w:t>dpi</w:t>
            </w:r>
          </w:p>
        </w:tc>
        <w:tc>
          <w:tcPr>
            <w:tcW w:w="906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  <w:r>
              <w:rPr>
                <w:lang w:eastAsia="zh-CN"/>
              </w:rPr>
              <w:t>dpi</w:t>
            </w:r>
          </w:p>
        </w:tc>
        <w:tc>
          <w:tcPr>
            <w:tcW w:w="906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dpi</w:t>
            </w:r>
          </w:p>
        </w:tc>
        <w:tc>
          <w:tcPr>
            <w:tcW w:w="906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6</w:t>
            </w:r>
            <w:r>
              <w:rPr>
                <w:lang w:eastAsia="zh-CN"/>
              </w:rPr>
              <w:t>dpi</w:t>
            </w:r>
          </w:p>
        </w:tc>
        <w:tc>
          <w:tcPr>
            <w:tcW w:w="906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  <w:r>
              <w:rPr>
                <w:lang w:eastAsia="zh-CN"/>
              </w:rPr>
              <w:t>dpi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1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oropharyngeal swabs</w:t>
            </w:r>
          </w:p>
        </w:tc>
        <w:tc>
          <w:tcPr>
            <w:tcW w:w="906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1" w:type="dxa"/>
            <w:noWrap w:val="0"/>
            <w:vAlign w:val="top"/>
          </w:tcPr>
          <w:p>
            <w:pPr>
              <w:pStyle w:val="14"/>
              <w:ind w:firstLine="100" w:firstLineChars="50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cloacal swabs</w:t>
            </w:r>
          </w:p>
        </w:tc>
        <w:tc>
          <w:tcPr>
            <w:tcW w:w="906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</w:tr>
    </w:tbl>
    <w:p>
      <w:pPr>
        <w:pStyle w:val="14"/>
        <w:rPr>
          <w:rFonts w:hint="eastAsia"/>
          <w:lang w:eastAsia="zh-CN"/>
        </w:rPr>
      </w:pPr>
      <w:r>
        <w:rPr>
          <w:lang w:eastAsia="zh-CN"/>
        </w:rPr>
        <w:t>-: negative results.</w:t>
      </w:r>
    </w:p>
    <w:p>
      <w:pPr>
        <w:pStyle w:val="14"/>
        <w:rPr>
          <w:rFonts w:hint="eastAsia"/>
          <w:lang w:eastAsia="zh-CN"/>
        </w:rPr>
      </w:pPr>
      <w:r>
        <w:rPr>
          <w:lang w:eastAsia="zh-CN"/>
        </w:rPr>
        <w:t>Table S5. The titers of swabs in airborne contact group</w:t>
      </w:r>
    </w:p>
    <w:tbl>
      <w:tblPr>
        <w:tblStyle w:val="3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906"/>
        <w:gridCol w:w="906"/>
        <w:gridCol w:w="906"/>
        <w:gridCol w:w="906"/>
        <w:gridCol w:w="906"/>
        <w:gridCol w:w="906"/>
        <w:gridCol w:w="90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1" w:type="dxa"/>
            <w:vMerge w:val="restart"/>
            <w:tcBorders>
              <w:top w:val="single" w:color="auto" w:sz="12" w:space="0"/>
              <w:bottom w:val="nil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Tissues</w:t>
            </w:r>
          </w:p>
        </w:tc>
        <w:tc>
          <w:tcPr>
            <w:tcW w:w="6342" w:type="dxa"/>
            <w:gridSpan w:val="7"/>
            <w:tcBorders>
              <w:top w:val="single" w:color="auto" w:sz="12" w:space="0"/>
              <w:bottom w:val="nil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Virus titers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1" w:type="dxa"/>
            <w:vMerge w:val="continue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906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1dpi</w:t>
            </w:r>
          </w:p>
        </w:tc>
        <w:tc>
          <w:tcPr>
            <w:tcW w:w="906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dpi</w:t>
            </w:r>
          </w:p>
        </w:tc>
        <w:tc>
          <w:tcPr>
            <w:tcW w:w="906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  <w:r>
              <w:rPr>
                <w:lang w:eastAsia="zh-CN"/>
              </w:rPr>
              <w:t>dpi</w:t>
            </w:r>
          </w:p>
        </w:tc>
        <w:tc>
          <w:tcPr>
            <w:tcW w:w="906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  <w:r>
              <w:rPr>
                <w:lang w:eastAsia="zh-CN"/>
              </w:rPr>
              <w:t>dpi</w:t>
            </w:r>
          </w:p>
        </w:tc>
        <w:tc>
          <w:tcPr>
            <w:tcW w:w="906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dpi</w:t>
            </w:r>
          </w:p>
        </w:tc>
        <w:tc>
          <w:tcPr>
            <w:tcW w:w="906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6</w:t>
            </w:r>
            <w:r>
              <w:rPr>
                <w:lang w:eastAsia="zh-CN"/>
              </w:rPr>
              <w:t>dpi</w:t>
            </w:r>
          </w:p>
        </w:tc>
        <w:tc>
          <w:tcPr>
            <w:tcW w:w="906" w:type="dxa"/>
            <w:tcBorders>
              <w:top w:val="nil"/>
              <w:bottom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  <w:r>
              <w:rPr>
                <w:lang w:eastAsia="zh-CN"/>
              </w:rPr>
              <w:t>dpi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1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oropharyngeal swabs</w:t>
            </w:r>
          </w:p>
        </w:tc>
        <w:tc>
          <w:tcPr>
            <w:tcW w:w="906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1" w:type="dxa"/>
            <w:noWrap w:val="0"/>
            <w:vAlign w:val="top"/>
          </w:tcPr>
          <w:p>
            <w:pPr>
              <w:pStyle w:val="14"/>
              <w:ind w:firstLine="100" w:firstLineChars="50"/>
              <w:jc w:val="center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cloacal swabs</w:t>
            </w:r>
          </w:p>
        </w:tc>
        <w:tc>
          <w:tcPr>
            <w:tcW w:w="906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06" w:type="dxa"/>
            <w:noWrap w:val="0"/>
            <w:vAlign w:val="top"/>
          </w:tcPr>
          <w:p>
            <w:pPr>
              <w:pStyle w:val="1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</w:tr>
    </w:tbl>
    <w:p>
      <w:pPr>
        <w:pStyle w:val="14"/>
        <w:rPr>
          <w:rFonts w:hint="eastAsia"/>
          <w:lang w:eastAsia="zh-CN"/>
        </w:rPr>
      </w:pPr>
      <w:r>
        <w:rPr>
          <w:lang w:eastAsia="zh-CN"/>
        </w:rPr>
        <w:t>-: negative results.</w:t>
      </w:r>
    </w:p>
    <w:p>
      <w:pPr>
        <w:pStyle w:val="15"/>
        <w:rPr>
          <w:rFonts w:hint="eastAsia"/>
          <w:b/>
          <w:lang w:eastAsia="zh-CN"/>
        </w:rPr>
      </w:pPr>
      <w:r>
        <w:rPr>
          <w:rFonts w:hint="eastAsia"/>
          <w:b/>
          <w:lang w:eastAsia="zh-CN"/>
        </w:rPr>
        <w:t>Reference:</w:t>
      </w:r>
    </w:p>
    <w:p>
      <w:pPr>
        <w:pStyle w:val="16"/>
        <w:ind w:left="720" w:hanging="720"/>
      </w:pPr>
      <w:bookmarkStart w:id="0" w:name="_ENREF_1"/>
      <w:r>
        <w:rPr>
          <w:rFonts w:hint="eastAsia"/>
        </w:rPr>
        <w:t>[1]</w:t>
      </w:r>
      <w:r>
        <w:t xml:space="preserve">Reed, L.J., and Muench, H.A. (1938). A simple method of determining fifty percent end points. </w:t>
      </w:r>
      <w:r>
        <w:rPr>
          <w:i/>
        </w:rPr>
        <w:t>Am.j.hyg.</w:t>
      </w:r>
      <w:r>
        <w:t xml:space="preserve"> </w:t>
      </w:r>
      <w:bookmarkEnd w:id="0"/>
      <w:r>
        <w:t>27, 493–497. doi: 10.1093/oxfordjournals.aje.a118408.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502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overflowPunct w:val="0"/>
      <w:autoSpaceDE w:val="0"/>
      <w:autoSpaceDN w:val="0"/>
      <w:adjustRightInd w:val="0"/>
      <w:spacing w:line="360" w:lineRule="auto"/>
      <w:textAlignment w:val="baseline"/>
    </w:pPr>
    <w:rPr>
      <w:rFonts w:ascii="Times New Roman" w:hAnsi="Times New Roman" w:eastAsia="宋体" w:cs="Times New Roman"/>
      <w:sz w:val="24"/>
      <w:lang w:val="en-US" w:eastAsia="de-DE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overflowPunct w:val="0"/>
      <w:autoSpaceDE w:val="0"/>
      <w:autoSpaceDN w:val="0"/>
      <w:adjustRightInd w:val="0"/>
      <w:spacing w:line="360" w:lineRule="auto"/>
      <w:textAlignment w:val="baseline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  <w:style w:type="paragraph" w:customStyle="1" w:styleId="6">
    <w:name w:val="title"/>
    <w:basedOn w:val="1"/>
    <w:next w:val="7"/>
    <w:uiPriority w:val="0"/>
    <w:rPr>
      <w:rFonts w:ascii="Arial" w:hAnsi="Arial"/>
      <w:b/>
      <w:sz w:val="36"/>
    </w:rPr>
  </w:style>
  <w:style w:type="paragraph" w:customStyle="1" w:styleId="7">
    <w:name w:val="author"/>
    <w:basedOn w:val="1"/>
    <w:next w:val="8"/>
    <w:uiPriority w:val="0"/>
    <w:pPr>
      <w:spacing w:before="120"/>
    </w:pPr>
  </w:style>
  <w:style w:type="paragraph" w:customStyle="1" w:styleId="8">
    <w:name w:val="affiliation"/>
    <w:basedOn w:val="1"/>
    <w:next w:val="9"/>
    <w:uiPriority w:val="0"/>
    <w:pPr>
      <w:spacing w:before="120" w:line="240" w:lineRule="auto"/>
    </w:pPr>
    <w:rPr>
      <w:i/>
    </w:rPr>
  </w:style>
  <w:style w:type="paragraph" w:customStyle="1" w:styleId="9">
    <w:name w:val="phone"/>
    <w:basedOn w:val="10"/>
    <w:next w:val="12"/>
    <w:uiPriority w:val="0"/>
  </w:style>
  <w:style w:type="paragraph" w:customStyle="1" w:styleId="10">
    <w:name w:val="email"/>
    <w:basedOn w:val="1"/>
    <w:next w:val="11"/>
    <w:uiPriority w:val="0"/>
    <w:pPr>
      <w:spacing w:before="120" w:line="240" w:lineRule="auto"/>
    </w:pPr>
    <w:rPr>
      <w:sz w:val="20"/>
    </w:rPr>
  </w:style>
  <w:style w:type="paragraph" w:customStyle="1" w:styleId="11">
    <w:name w:val="url"/>
    <w:basedOn w:val="10"/>
    <w:next w:val="1"/>
    <w:uiPriority w:val="0"/>
  </w:style>
  <w:style w:type="paragraph" w:customStyle="1" w:styleId="12">
    <w:name w:val="fax"/>
    <w:basedOn w:val="10"/>
    <w:next w:val="10"/>
    <w:uiPriority w:val="0"/>
  </w:style>
  <w:style w:type="paragraph" w:customStyle="1" w:styleId="13">
    <w:name w:val="heading1"/>
    <w:basedOn w:val="1"/>
    <w:next w:val="1"/>
    <w:uiPriority w:val="0"/>
    <w:pPr>
      <w:keepNext/>
      <w:spacing w:before="240" w:after="180"/>
    </w:pPr>
    <w:rPr>
      <w:rFonts w:ascii="Arial" w:hAnsi="Arial"/>
      <w:b/>
      <w:sz w:val="32"/>
    </w:rPr>
  </w:style>
  <w:style w:type="paragraph" w:customStyle="1" w:styleId="14">
    <w:name w:val="tablelegend"/>
    <w:basedOn w:val="1"/>
    <w:next w:val="1"/>
    <w:uiPriority w:val="0"/>
    <w:pPr>
      <w:spacing w:before="120"/>
    </w:pPr>
    <w:rPr>
      <w:sz w:val="20"/>
    </w:rPr>
  </w:style>
  <w:style w:type="paragraph" w:customStyle="1" w:styleId="15">
    <w:name w:val="reference"/>
    <w:basedOn w:val="1"/>
    <w:uiPriority w:val="0"/>
    <w:rPr>
      <w:sz w:val="20"/>
    </w:rPr>
  </w:style>
  <w:style w:type="paragraph" w:customStyle="1" w:styleId="16">
    <w:name w:val="EndNote Bibliography"/>
    <w:basedOn w:val="1"/>
    <w:uiPriority w:val="0"/>
    <w:pPr>
      <w:widowControl w:val="0"/>
      <w:overflowPunct/>
      <w:autoSpaceDE/>
      <w:autoSpaceDN/>
      <w:adjustRightInd/>
      <w:spacing w:line="240" w:lineRule="auto"/>
      <w:jc w:val="both"/>
      <w:textAlignment w:val="auto"/>
    </w:pPr>
    <w:rPr>
      <w:kern w:val="2"/>
      <w:sz w:val="20"/>
      <w:szCs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WPS_1559566319</cp:lastModifiedBy>
  <dcterms:modified xsi:type="dcterms:W3CDTF">2021-07-19T12:20:37Z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AE97B26C654C4A0DB8CA3F3AEF65B55D</vt:lpwstr>
  </property>
</Properties>
</file>