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qriomol5mth9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Supplementary </w:t>
      </w:r>
      <w:r>
        <w:rPr>
          <w:rFonts w:eastAsia="Times New Roman" w:cs="Times New Roman" w:ascii="Times New Roman" w:hAnsi="Times New Roman"/>
          <w:sz w:val="24"/>
          <w:szCs w:val="24"/>
        </w:rPr>
        <w:t>Data</w:t>
      </w:r>
    </w:p>
    <w:p>
      <w:pPr>
        <w:pStyle w:val="Title"/>
        <w:widowControl w:val="false"/>
        <w:spacing w:lineRule="auto" w:line="240"/>
        <w:jc w:val="left"/>
        <w:rPr/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>Unraveling the role of CACNA1F, RASAL1, GARIN4, and TRIM56 in common opioid side effects via transcriptomic analysis of differentiated neuron-like SH-SY5Y cells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left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11"/>
        <w:spacing w:lineRule="auto" w:line="480" w:before="0" w:after="240"/>
        <w:rPr/>
      </w:pPr>
      <w:r>
        <w:rPr>
          <w:sz w:val="24"/>
          <w:szCs w:val="24"/>
        </w:rPr>
        <w:t>Aly Abotaleb¹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>²*, Nguyen Phan Khoi Le³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>⁴, Sara Tucci¹, Martin J. Hug¹, Evelyn Lamy³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>⁴, Stefan Günther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*</w:t>
      </w:r>
    </w:p>
    <w:p>
      <w:pPr>
        <w:pStyle w:val="normal11"/>
        <w:spacing w:lineRule="auto" w:line="480" w:before="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AUTHOR ADDRESS</w:t>
      </w:r>
    </w:p>
    <w:p>
      <w:pPr>
        <w:pStyle w:val="normal1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¹ </w:t>
      </w:r>
      <w:r>
        <w:rPr>
          <w:sz w:val="24"/>
          <w:szCs w:val="24"/>
        </w:rPr>
        <w:t>Pharmacy, Medical Center – University of Freiburg, Freiburg, Germany</w:t>
      </w:r>
    </w:p>
    <w:p>
      <w:pPr>
        <w:pStyle w:val="normal1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² </w:t>
      </w:r>
      <w:r>
        <w:rPr>
          <w:sz w:val="24"/>
          <w:szCs w:val="24"/>
        </w:rPr>
        <w:t>Institute of Pharmaceutical Sciences, Faculty of Chemistry and Pharmacy, University of Freiburg, Freiburg, Germany</w:t>
      </w:r>
    </w:p>
    <w:p>
      <w:pPr>
        <w:pStyle w:val="normal1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³ </w:t>
      </w:r>
      <w:r>
        <w:rPr>
          <w:sz w:val="24"/>
          <w:szCs w:val="24"/>
        </w:rPr>
        <w:t>Molecular Preventive Medicine, University Medical Center and Faculty of Medicine, University of Freiburg, Freiburg, Germany</w:t>
      </w:r>
    </w:p>
    <w:p>
      <w:pPr>
        <w:pStyle w:val="normal1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⁴ </w:t>
      </w:r>
      <w:r>
        <w:rPr>
          <w:sz w:val="24"/>
          <w:szCs w:val="24"/>
        </w:rPr>
        <w:t>Chair for Research of Environment-Related Mechanisms of Action on Health, Medical Faculty, University of Augsburg, Augsburg, Germany</w:t>
      </w:r>
    </w:p>
    <w:p>
      <w:pPr>
        <w:pStyle w:val="normal1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⁵ </w:t>
      </w:r>
      <w:r>
        <w:rPr>
          <w:sz w:val="24"/>
          <w:szCs w:val="24"/>
        </w:rPr>
        <w:t>Department of Microbiology and Immunology, Pasteur Institute in Ho Chi Minh City, Ho Chi Minh City, Vietnam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*Corresponding authors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Aly Abotaleb; </w:t>
      </w:r>
      <w:hyperlink r:id="rId2">
        <w:r>
          <w:rPr>
            <w:rStyle w:val="ListLabel1"/>
            <w:color w:val="1155CC"/>
            <w:sz w:val="24"/>
            <w:szCs w:val="24"/>
            <w:u w:val="single"/>
          </w:rPr>
          <w:t>aly.abotaleb@uniklinik-freiburg.de</w:t>
        </w:r>
      </w:hyperlink>
    </w:p>
    <w:p>
      <w:pPr>
        <w:pStyle w:val="normal1"/>
        <w:spacing w:lineRule="auto" w:line="360"/>
        <w:jc w:val="both"/>
        <w:rPr/>
      </w:pPr>
      <w:r>
        <w:rPr>
          <w:sz w:val="24"/>
          <w:szCs w:val="24"/>
        </w:rPr>
        <w:t xml:space="preserve">Stefan Günther; </w:t>
      </w:r>
      <w:hyperlink r:id="rId3">
        <w:r>
          <w:rPr>
            <w:rStyle w:val="ListLabel1"/>
            <w:color w:val="1155CC"/>
            <w:sz w:val="24"/>
            <w:szCs w:val="24"/>
            <w:u w:val="single"/>
          </w:rPr>
          <w:t>stefan.guenther@pharmazie.uni-freiburg.de</w:t>
        </w:r>
      </w:hyperlink>
    </w:p>
    <w:p>
      <w:pPr>
        <w:pStyle w:val="normal1"/>
        <w:spacing w:lineRule="auto" w:line="276" w:before="240" w:after="240"/>
        <w:rPr/>
      </w:pPr>
      <w:r>
        <w:rPr/>
        <w:t>Table of Contents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1"/>
            <w:widowControl w:val="false"/>
            <w:tabs>
              <w:tab w:val="clear" w:pos="720"/>
              <w:tab w:val="right" w:pos="12000" w:leader="dot"/>
            </w:tabs>
            <w:spacing w:lineRule="auto" w:line="240" w:before="60" w:after="0"/>
            <w:rPr>
              <w:b/>
              <w:color w:val="000000"/>
              <w:u w:val="none"/>
            </w:rPr>
          </w:pPr>
          <w:r>
            <w:fldChar w:fldCharType="begin"/>
          </w:r>
          <w:r>
            <w:rPr>
              <w:webHidden/>
              <w:rStyle w:val="IndexLink"/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hd w:fill="auto" w:val="clear"/>
              <w:szCs w:val="22"/>
              <w:vanish w:val="false"/>
              <w:rFonts w:eastAsia="Arial" w:cs="Arial"/>
              <w:color w:val="000000"/>
            </w:rPr>
            <w:instrText xml:space="preserve"> TOC \z \o "1-9" \u \t "Heading 1,1,Heading 2,2,Heading 3,3,Heading 4,4,Heading 5,5,Heading 6,6" \h</w:instrText>
          </w:r>
          <w:r>
            <w:rPr>
              <w:webHidden/>
              <w:rStyle w:val="IndexLink"/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hd w:fill="auto" w:val="clear"/>
              <w:szCs w:val="22"/>
              <w:vanish w:val="false"/>
              <w:rFonts w:eastAsia="Arial" w:cs="Arial"/>
              <w:color w:val="000000"/>
            </w:rPr>
            <w:fldChar w:fldCharType="separate"/>
          </w:r>
          <w:hyperlink w:anchor="_jm11le534zeg">
            <w:r>
              <w:rPr>
                <w:webHidden/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Figure S1. Per Sequence GC Content:</w:t>
            </w:r>
            <w:r>
              <w:rPr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ab/>
              <w:t>2</w:t>
            </w:r>
          </w:hyperlink>
        </w:p>
        <w:p>
          <w:pPr>
            <w:pStyle w:val="normal1"/>
            <w:widowControl w:val="false"/>
            <w:tabs>
              <w:tab w:val="clear" w:pos="720"/>
              <w:tab w:val="right" w:pos="12000" w:leader="dot"/>
            </w:tabs>
            <w:spacing w:lineRule="auto" w:line="240" w:before="60" w:after="0"/>
            <w:rPr>
              <w:b/>
              <w:color w:val="000000"/>
              <w:u w:val="none"/>
            </w:rPr>
          </w:pPr>
          <w:hyperlink w:anchor="_iqdnpzglil32">
            <w:r>
              <w:rPr>
                <w:webHidden/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Figure S2. Sequence Count:</w:t>
              <w:tab/>
              <w:t>3</w:t>
            </w:r>
          </w:hyperlink>
        </w:p>
        <w:p>
          <w:pPr>
            <w:pStyle w:val="normal1"/>
            <w:widowControl w:val="false"/>
            <w:tabs>
              <w:tab w:val="clear" w:pos="720"/>
              <w:tab w:val="right" w:pos="12000" w:leader="dot"/>
            </w:tabs>
            <w:spacing w:lineRule="auto" w:line="240" w:before="60" w:after="0"/>
            <w:rPr>
              <w:b/>
              <w:color w:val="000000"/>
              <w:u w:val="none"/>
            </w:rPr>
          </w:pPr>
          <w:hyperlink w:anchor="_je60451sywoj">
            <w:r>
              <w:rPr>
                <w:webHidden/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Figure S3. Per Sequence Quality Scores:</w:t>
              <w:tab/>
              <w:t>4</w:t>
            </w:r>
          </w:hyperlink>
        </w:p>
        <w:p>
          <w:pPr>
            <w:pStyle w:val="normal1"/>
            <w:widowControl w:val="false"/>
            <w:tabs>
              <w:tab w:val="clear" w:pos="720"/>
              <w:tab w:val="right" w:pos="12000" w:leader="dot"/>
            </w:tabs>
            <w:spacing w:lineRule="auto" w:line="240" w:before="60" w:after="0"/>
            <w:rPr>
              <w:b/>
              <w:color w:val="000000"/>
              <w:u w:val="none"/>
            </w:rPr>
          </w:pPr>
          <w:hyperlink w:anchor="_v9sgbfrikp9o">
            <w:r>
              <w:rPr>
                <w:webHidden/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Figure S4. Mean Quality Score:</w:t>
              <w:tab/>
              <w:t>5</w:t>
            </w:r>
          </w:hyperlink>
        </w:p>
        <w:p>
          <w:pPr>
            <w:pStyle w:val="normal1"/>
            <w:widowControl w:val="false"/>
            <w:tabs>
              <w:tab w:val="clear" w:pos="720"/>
              <w:tab w:val="right" w:pos="12000" w:leader="dot"/>
            </w:tabs>
            <w:spacing w:lineRule="auto" w:line="240" w:before="60" w:after="0"/>
            <w:rPr>
              <w:b/>
              <w:color w:val="000000"/>
              <w:u w:val="none"/>
            </w:rPr>
          </w:pPr>
          <w:hyperlink w:anchor="_623cfla3gm3s">
            <w:r>
              <w:rPr>
                <w:webHidden/>
                <w:rStyle w:val="IndexLink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Table S1. Downregulated Genes After Opioid Treatment</w:t>
              <w:tab/>
              <w:t>6</w:t>
            </w:r>
          </w:hyperlink>
          <w:r>
            <w:rPr>
              <w:rStyle w:val="IndexLink"/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hd w:fill="auto" w:val="clear"/>
              <w:szCs w:val="22"/>
              <w:vanish w:val="false"/>
              <w:rFonts w:eastAsia="Arial" w:cs="Arial"/>
              <w:color w:val="000000"/>
            </w:rPr>
            <w:fldChar w:fldCharType="end"/>
          </w:r>
        </w:p>
      </w:sdtContent>
    </w:sdt>
    <w:p>
      <w:pPr>
        <w:pStyle w:val="normal1"/>
        <w:spacing w:lineRule="auto" w:line="276" w:before="240" w:after="24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  <w:drawing>
          <wp:inline distT="0" distB="0" distL="0" distR="0">
            <wp:extent cx="5943600" cy="3962400"/>
            <wp:effectExtent l="0" t="0" r="0" b="0"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sz w:val="24"/>
          <w:szCs w:val="24"/>
        </w:rPr>
      </w:pPr>
      <w:bookmarkStart w:id="1" w:name="_jm11le534zeg"/>
      <w:bookmarkEnd w:id="1"/>
      <w:r>
        <w:rPr>
          <w:b/>
          <w:sz w:val="24"/>
          <w:szCs w:val="24"/>
        </w:rPr>
        <w:t>Figure S1. Per Sequence GC Content</w:t>
      </w:r>
      <w:r>
        <w:rPr>
          <w:sz w:val="24"/>
          <w:szCs w:val="24"/>
        </w:rPr>
        <w:t xml:space="preserve">: 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  <w:t>Displays the distribution of GC content across all sequences. A normal distribution suggests uniform GC content.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  <w:drawing>
          <wp:inline distT="0" distB="0" distL="0" distR="0">
            <wp:extent cx="5943600" cy="396240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sz w:val="24"/>
          <w:szCs w:val="24"/>
        </w:rPr>
      </w:pPr>
      <w:bookmarkStart w:id="2" w:name="_iqdnpzglil32"/>
      <w:bookmarkEnd w:id="2"/>
      <w:r>
        <w:rPr>
          <w:b/>
          <w:sz w:val="24"/>
          <w:szCs w:val="24"/>
        </w:rPr>
        <w:t>Figure S2. Sequence Count</w:t>
      </w:r>
      <w:r>
        <w:rPr>
          <w:sz w:val="24"/>
          <w:szCs w:val="24"/>
        </w:rPr>
        <w:t>: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  <w:t>Indicates the total number of reads in the sequencing dataset. A higher read count improves transcriptome coverage and statistical robustness in downstream analysis.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  <w:drawing>
          <wp:inline distT="0" distB="0" distL="0" distR="0">
            <wp:extent cx="5943600" cy="3962400"/>
            <wp:effectExtent l="0" t="0" r="0" b="0"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sz w:val="24"/>
          <w:szCs w:val="24"/>
        </w:rPr>
      </w:pPr>
      <w:bookmarkStart w:id="3" w:name="_je60451sywoj"/>
      <w:bookmarkEnd w:id="3"/>
      <w:r>
        <w:rPr>
          <w:b/>
          <w:sz w:val="24"/>
          <w:szCs w:val="24"/>
        </w:rPr>
        <w:t>Figure S3. Per Sequence Quality Scores</w:t>
      </w:r>
      <w:r>
        <w:rPr>
          <w:sz w:val="24"/>
          <w:szCs w:val="24"/>
        </w:rPr>
        <w:t xml:space="preserve">: 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  <w:t>Shows the average quality score per read. Most reads are expected to have high Phred scores, indicating good base call accuracy</w:t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  <w:drawing>
          <wp:inline distT="0" distB="0" distL="0" distR="0">
            <wp:extent cx="5943600" cy="3962400"/>
            <wp:effectExtent l="0" t="0" r="0" b="0"/>
            <wp:docPr id="4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sz w:val="24"/>
          <w:szCs w:val="24"/>
        </w:rPr>
      </w:pPr>
      <w:bookmarkStart w:id="4" w:name="_v9sgbfrikp9o"/>
      <w:bookmarkEnd w:id="4"/>
      <w:r>
        <w:rPr>
          <w:b/>
          <w:sz w:val="24"/>
          <w:szCs w:val="24"/>
        </w:rPr>
        <w:t>Figure S4. Mean Quality Score</w:t>
      </w:r>
      <w:r>
        <w:rPr>
          <w:sz w:val="24"/>
          <w:szCs w:val="24"/>
        </w:rPr>
        <w:t xml:space="preserve">: </w:t>
      </w:r>
    </w:p>
    <w:p>
      <w:pPr>
        <w:pStyle w:val="normal1"/>
        <w:spacing w:lineRule="auto" w:line="276" w:before="240" w:after="240"/>
        <w:ind w:hanging="0" w:left="720"/>
        <w:rPr/>
      </w:pPr>
      <w:r>
        <w:rPr>
          <w:sz w:val="24"/>
          <w:szCs w:val="24"/>
        </w:rPr>
        <w:t>Represents the average Phred quality score across all bases and reads in the dataset. A high mean quality score reflects overall sequencing reliability.</w:t>
      </w:r>
      <w:r>
        <w:rPr/>
        <w:b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ind w:hanging="0" w:left="72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</w:r>
    </w:p>
    <w:tbl>
      <w:tblPr>
        <w:tblStyle w:val="Table1"/>
        <w:tblW w:w="96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220"/>
        <w:gridCol w:w="823"/>
        <w:gridCol w:w="1112"/>
        <w:gridCol w:w="1289"/>
        <w:gridCol w:w="1157"/>
        <w:gridCol w:w="1093"/>
        <w:gridCol w:w="1950"/>
      </w:tblGrid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Ensembl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baseMean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log2FoldChange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pvalue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padj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Gene Symbol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Gene Name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ENSG00000235862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4.28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-4.33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2.34E-07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ENSG00000162771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4.21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-4.48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6.69E-08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Q8IYT1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GARIN4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ENSG00000169871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11.45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-3.97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1.02E-05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Q9BRZ2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TRIM56_HUMAN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ENSG00000102001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10.25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-5.52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1.98E-06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O60840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CACNA1F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ENSG00000180210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5.97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-3.16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1.95E-05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P00734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F2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ENSG00000111344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7.01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-3.54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1.26E-05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0.043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O95294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RASAL1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ENSG00000274376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-2.84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3.50E-06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0.016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ENSG00000167483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20.26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-2.38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1.78E-05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Q86XR2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NIBAN3</w:t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ENSG00000279175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5.39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-4.65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1.45E-05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0.044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ENSG00000280800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16.27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-4.06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7.07E-07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ENSG00000281383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18.44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-3.57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2.73E-07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/>
              <w:t>0.003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76" w:before="240" w:after="240"/>
        <w:rPr/>
      </w:pPr>
      <w:r>
        <w:rPr/>
      </w:r>
    </w:p>
    <w:p>
      <w:pPr>
        <w:pStyle w:val="Heading1"/>
        <w:rPr>
          <w:rFonts w:ascii="Times New Roman" w:hAnsi="Times New Roman" w:eastAsia="Times New Roman" w:cs="Times New Roman"/>
          <w:b/>
          <w:color w:val="365F91"/>
          <w:sz w:val="32"/>
          <w:szCs w:val="32"/>
        </w:rPr>
      </w:pPr>
      <w:bookmarkStart w:id="5" w:name="_623cfla3gm3s"/>
      <w:bookmarkEnd w:id="5"/>
      <w:r>
        <w:rPr>
          <w:b/>
          <w:sz w:val="26"/>
          <w:szCs w:val="26"/>
        </w:rPr>
        <w:t>Table S1. Downregulated Genes After Opioid Treatment</w:t>
      </w:r>
    </w:p>
    <w:p>
      <w:pPr>
        <w:pStyle w:val="normal1"/>
        <w:spacing w:lineRule="auto" w:line="240" w:before="240" w:after="200"/>
        <w:rPr/>
      </w:pPr>
      <w:r>
        <w:rPr/>
        <w:t>Table S1. List of significantly downregulated genes in SH-SY5Y cells treated with opioids for 15 minutes. The table includes Ensembl ID, base mean expression, log2 fold change, p-value, adjusted p-value (padj), gene symbol, and gene name.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y.abotaleb@uniklinik-freiburg.de" TargetMode="External"/><Relationship Id="rId3" Type="http://schemas.openxmlformats.org/officeDocument/2006/relationships/hyperlink" Target="mailto:stefan.guenther@pharmazie.uni-freiburg.de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6</Pages>
  <Words>400</Words>
  <Characters>2425</Characters>
  <CharactersWithSpaces>2713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2025-08-08T15:29:54Z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