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0D89" w14:textId="417198F2" w:rsidR="00445C46" w:rsidRPr="004D1CB0" w:rsidRDefault="00FA24A3" w:rsidP="00445C46">
      <w:pPr>
        <w:pStyle w:val="Sansinterligne"/>
        <w:spacing w:line="360" w:lineRule="auto"/>
        <w:jc w:val="both"/>
        <w:rPr>
          <w:rFonts w:eastAsiaTheme="minorEastAsia"/>
          <w:b/>
          <w:bCs/>
          <w:lang w:val="en-US"/>
        </w:rPr>
      </w:pPr>
      <w:r>
        <w:rPr>
          <w:rFonts w:eastAsiaTheme="minorEastAsia"/>
          <w:b/>
          <w:bCs/>
          <w:lang w:val="en-US"/>
        </w:rPr>
        <w:t>Additional file</w:t>
      </w:r>
      <w:r w:rsidR="0089143A">
        <w:rPr>
          <w:rFonts w:eastAsiaTheme="minorEastAsia"/>
          <w:b/>
          <w:bCs/>
          <w:lang w:val="en-US"/>
        </w:rPr>
        <w:t xml:space="preserve"> 1</w:t>
      </w:r>
    </w:p>
    <w:p w14:paraId="32DA172A" w14:textId="77777777" w:rsidR="00445C46" w:rsidRDefault="00445C46" w:rsidP="00445C46">
      <w:pPr>
        <w:pStyle w:val="Sansinterligne"/>
        <w:spacing w:line="360" w:lineRule="auto"/>
        <w:jc w:val="both"/>
        <w:rPr>
          <w:rFonts w:eastAsiaTheme="minorEastAsia"/>
          <w:lang w:val="en-US"/>
        </w:rPr>
      </w:pPr>
    </w:p>
    <w:p w14:paraId="73B76A4A" w14:textId="77777777" w:rsidR="00445C46" w:rsidRPr="00180AC4" w:rsidRDefault="00445C46" w:rsidP="00445C46">
      <w:pPr>
        <w:pStyle w:val="Sansinterligne"/>
        <w:spacing w:line="360" w:lineRule="auto"/>
        <w:jc w:val="both"/>
        <w:rPr>
          <w:rFonts w:eastAsiaTheme="minorEastAsia"/>
          <w:lang w:val="en-US"/>
        </w:rPr>
      </w:pPr>
      <w:r w:rsidRPr="00180AC4">
        <w:rPr>
          <w:rFonts w:eastAsiaTheme="minorEastAsia"/>
          <w:lang w:val="en-US"/>
        </w:rPr>
        <w:t>We applied a Poisson m</w:t>
      </w:r>
      <w:r>
        <w:rPr>
          <w:rFonts w:eastAsiaTheme="minorEastAsia"/>
          <w:lang w:val="en-US"/>
        </w:rPr>
        <w:t xml:space="preserve">odel (logarithmic link) on the number of deaths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,</m:t>
            </m:r>
            <m:r>
              <w:rPr>
                <w:rFonts w:ascii="Cambria Math" w:hAnsi="Cambria Math"/>
              </w:rPr>
              <m:t>y</m:t>
            </m:r>
          </m:sub>
        </m:sSub>
      </m:oMath>
      <w:r w:rsidRPr="00180AC4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 xml:space="preserve">by age </w:t>
      </w:r>
      <m:oMath>
        <m:r>
          <w:rPr>
            <w:rFonts w:ascii="Cambria Math" w:hAnsi="Cambria Math"/>
          </w:rPr>
          <m:t>x</m:t>
        </m:r>
      </m:oMath>
      <w:r w:rsidRPr="00180AC4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(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US"/>
          </w:rPr>
          <m:t>=0,..,110</m:t>
        </m:r>
      </m:oMath>
      <w:r>
        <w:rPr>
          <w:rFonts w:eastAsiaTheme="minorEastAsia"/>
          <w:lang w:val="en-US"/>
        </w:rPr>
        <w:t xml:space="preserve">) and year </w:t>
      </w:r>
      <m:oMath>
        <m:r>
          <w:rPr>
            <w:rFonts w:ascii="Cambria Math" w:hAnsi="Cambria Math"/>
          </w:rPr>
          <m:t>y</m:t>
        </m:r>
      </m:oMath>
      <w:r w:rsidRPr="00180AC4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(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n-US"/>
          </w:rPr>
          <m:t>=2000,…,2019</m:t>
        </m:r>
      </m:oMath>
      <w:r>
        <w:rPr>
          <w:rFonts w:eastAsiaTheme="minorEastAsia"/>
          <w:lang w:val="en-US"/>
        </w:rPr>
        <w:t>) with an</w:t>
      </w:r>
      <w:r w:rsidRPr="00874295">
        <w:rPr>
          <w:rFonts w:eastAsiaTheme="minorEastAsia"/>
          <w:i/>
          <w:iCs/>
          <w:lang w:val="en-US"/>
        </w:rPr>
        <w:t xml:space="preserve"> offset</w:t>
      </w:r>
      <w:r>
        <w:rPr>
          <w:rFonts w:eastAsiaTheme="minorEastAsia"/>
          <w:lang w:val="en-US"/>
        </w:rPr>
        <w:t xml:space="preserve"> for the corresponding population size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,</m:t>
            </m:r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  <w:lang w:val="en-US"/>
          </w:rPr>
          <m:t> </m:t>
        </m:r>
      </m:oMath>
      <w:r w:rsidRPr="00180AC4">
        <w:rPr>
          <w:rFonts w:eastAsiaTheme="minorEastAsia"/>
          <w:lang w:val="en-US"/>
        </w:rPr>
        <w:t>:</w:t>
      </w:r>
    </w:p>
    <w:p w14:paraId="5E759663" w14:textId="77777777" w:rsidR="00445C46" w:rsidRPr="00180AC4" w:rsidRDefault="00445C46" w:rsidP="00445C46">
      <w:pPr>
        <w:pStyle w:val="Sansinterligne"/>
        <w:spacing w:line="360" w:lineRule="auto"/>
        <w:jc w:val="both"/>
        <w:rPr>
          <w:rFonts w:eastAsiaTheme="minorEastAsia"/>
          <w:lang w:val="en-US"/>
        </w:rPr>
      </w:pPr>
    </w:p>
    <w:p w14:paraId="60173765" w14:textId="77777777" w:rsidR="00445C46" w:rsidRPr="00180AC4" w:rsidRDefault="00000000" w:rsidP="00445C46">
      <w:pPr>
        <w:pStyle w:val="Sansinterligne"/>
        <w:spacing w:line="360" w:lineRule="auto"/>
        <w:jc w:val="both"/>
        <w:rPr>
          <w:rFonts w:eastAsiaTheme="minorEastAsia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</w:rPr>
              </m:ctrlPr>
            </m:eqArrPr>
            <m:e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log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lang w:val="en-US"/>
                        </w:rPr>
                        <m:t>/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 xml:space="preserve">= </m:t>
              </m:r>
              <m:r>
                <w:rPr>
                  <w:rFonts w:ascii="Cambria Math" w:hAns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+</m:t>
              </m:r>
              <m:r>
                <w:rPr>
                  <w:rFonts w:ascii="Cambria Math" w:hAns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∙</m:t>
              </m:r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  <w:lang w:val="en-US"/>
                </w:rPr>
                <m:t>+</m:t>
              </m:r>
              <m:r>
                <w:rPr>
                  <w:rFonts w:ascii="Cambria Math" w:hAnsi="Cambria Math"/>
                </w:rPr>
                <m:t>δ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∙</m:t>
                  </m:r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  <w:lang w:val="en-US"/>
                </w:rPr>
                <m:t>#</m:t>
              </m:r>
              <m:r>
                <w:rPr>
                  <w:rFonts w:ascii="Cambria Math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</m:eqArr>
        </m:oMath>
      </m:oMathPara>
    </w:p>
    <w:p w14:paraId="75B4F8F3" w14:textId="77777777" w:rsidR="00445C46" w:rsidRPr="00180AC4" w:rsidRDefault="00445C46" w:rsidP="00445C46">
      <w:pPr>
        <w:pStyle w:val="Sansinterligne"/>
        <w:spacing w:line="360" w:lineRule="auto"/>
        <w:jc w:val="both"/>
        <w:rPr>
          <w:rFonts w:eastAsiaTheme="minorEastAsia"/>
          <w:lang w:val="en-US"/>
        </w:rPr>
      </w:pPr>
    </w:p>
    <w:p w14:paraId="3ABF8B9F" w14:textId="77777777" w:rsidR="00445C46" w:rsidRPr="00180AC4" w:rsidRDefault="00445C46" w:rsidP="00445C46">
      <w:pPr>
        <w:pStyle w:val="Sansinterligne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In (1) </w:t>
      </w:r>
      <m:oMath>
        <m:r>
          <w:rPr>
            <w:rFonts w:ascii="Cambria Math" w:hAnsi="Cambria Math"/>
          </w:rPr>
          <m:t>α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  <w:lang w:val="en-US"/>
        </w:rPr>
        <w:t xml:space="preserve"> is the age effect on the log-mortality rate, which is modelled using natural </w:t>
      </w:r>
      <w:r w:rsidRPr="008B379A">
        <w:rPr>
          <w:rFonts w:eastAsiaTheme="minorEastAsia"/>
          <w:lang w:val="en-US"/>
        </w:rPr>
        <w:t>splines</w:t>
      </w:r>
      <w:r>
        <w:rPr>
          <w:rFonts w:eastAsiaTheme="minorEastAsia"/>
          <w:lang w:val="en-US"/>
        </w:rPr>
        <w:t xml:space="preserve">, </w:t>
      </w:r>
      <m:oMath>
        <m:r>
          <w:rPr>
            <w:rFonts w:ascii="Cambria Math" w:hAnsi="Cambria Math"/>
          </w:rPr>
          <m:t>β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  <w:lang w:val="en-US"/>
        </w:rPr>
        <w:t xml:space="preserve"> is a linear period (year) effect depending on age (also defined via splines), and </w:t>
      </w:r>
      <m:oMath>
        <m:r>
          <w:rPr>
            <w:rFonts w:ascii="Cambria Math" w:hAnsi="Cambria Math"/>
          </w:rPr>
          <m:t>δ</m:t>
        </m:r>
      </m:oMath>
      <w:r w:rsidRPr="00180AC4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 xml:space="preserve">is an age-independent quadratic period effect. Model-estimated age-specific mortality rate for year </w:t>
      </w:r>
      <m:oMath>
        <m:r>
          <w:rPr>
            <w:rFonts w:ascii="Cambria Math" w:hAnsi="Cambria Math"/>
          </w:rPr>
          <m:t>y</m:t>
        </m:r>
      </m:oMath>
      <w:r>
        <w:rPr>
          <w:rFonts w:eastAsiaTheme="minorEastAsia"/>
          <w:lang w:val="en-US"/>
        </w:rPr>
        <w:t xml:space="preserve"> is thus the following: </w:t>
      </w:r>
    </w:p>
    <w:p w14:paraId="615C2AA7" w14:textId="77777777" w:rsidR="00445C46" w:rsidRPr="00180AC4" w:rsidRDefault="00445C46" w:rsidP="00445C46">
      <w:pPr>
        <w:pStyle w:val="Sansinterligne"/>
        <w:spacing w:line="360" w:lineRule="auto"/>
        <w:jc w:val="both"/>
        <w:rPr>
          <w:lang w:val="en-US"/>
        </w:rPr>
      </w:pPr>
    </w:p>
    <w:p w14:paraId="27DD24FB" w14:textId="77777777" w:rsidR="00445C46" w:rsidRPr="00A61B91" w:rsidRDefault="00000000" w:rsidP="00445C46">
      <w:pPr>
        <w:pStyle w:val="Sansinterligne"/>
        <w:spacing w:line="360" w:lineRule="auto"/>
        <w:jc w:val="both"/>
        <w:rPr>
          <w:rFonts w:eastAsiaTheme="minorEastAsia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x,y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∙y+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</m:acc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∙y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func>
              <m:r>
                <w:rPr>
                  <w:rFonts w:ascii="Cambria Math" w:hAnsi="Cambria Math"/>
                </w:rPr>
                <m:t xml:space="preserve"> #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d>
            </m:e>
          </m:eqArr>
        </m:oMath>
      </m:oMathPara>
    </w:p>
    <w:p w14:paraId="69E082A1" w14:textId="77777777" w:rsidR="00445C46" w:rsidRPr="00180AC4" w:rsidRDefault="00445C46" w:rsidP="00445C46">
      <w:pPr>
        <w:pStyle w:val="Sansinterligne"/>
        <w:spacing w:line="360" w:lineRule="auto"/>
        <w:jc w:val="both"/>
        <w:rPr>
          <w:rFonts w:eastAsiaTheme="minorEastAsia"/>
        </w:rPr>
      </w:pPr>
    </w:p>
    <w:p w14:paraId="65004556" w14:textId="77777777" w:rsidR="00445C46" w:rsidRPr="00A61B91" w:rsidRDefault="00445C46" w:rsidP="00445C46">
      <w:pPr>
        <w:pStyle w:val="Sansinterligne"/>
        <w:spacing w:line="360" w:lineRule="auto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w</w:t>
      </w:r>
      <w:r w:rsidRPr="00A61B91">
        <w:rPr>
          <w:rFonts w:eastAsiaTheme="minorEastAsia"/>
          <w:lang w:val="en-US"/>
        </w:rPr>
        <w:t xml:space="preserve">here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α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A61B91">
        <w:rPr>
          <w:rFonts w:eastAsiaTheme="minorEastAsia"/>
          <w:lang w:val="en-US"/>
        </w:rPr>
        <w:t xml:space="preserve">,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β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A61B91">
        <w:rPr>
          <w:rFonts w:eastAsiaTheme="minorEastAsia"/>
          <w:lang w:val="en-US"/>
        </w:rPr>
        <w:t>, a</w:t>
      </w:r>
      <w:r>
        <w:rPr>
          <w:rFonts w:eastAsiaTheme="minorEastAsia"/>
          <w:lang w:val="en-US"/>
        </w:rPr>
        <w:t xml:space="preserve">nd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δ</m:t>
            </m:r>
          </m:e>
        </m:acc>
      </m:oMath>
      <w:r w:rsidRPr="00A61B91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 xml:space="preserve">are estimated effects in (1). Estimates (2) were extended until year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n-US"/>
          </w:rPr>
          <m:t>=2024</m:t>
        </m:r>
      </m:oMath>
      <w:r>
        <w:rPr>
          <w:rFonts w:eastAsiaTheme="minorEastAsia"/>
          <w:lang w:val="en-US"/>
        </w:rPr>
        <w:t xml:space="preserve"> and used to estimate/predict the SMR </w:t>
      </w:r>
      <w:proofErr w:type="gramStart"/>
      <w:r>
        <w:rPr>
          <w:rFonts w:eastAsiaTheme="minorEastAsia"/>
          <w:lang w:val="en-US"/>
        </w:rPr>
        <w:t>in a given</w:t>
      </w:r>
      <w:proofErr w:type="gramEnd"/>
      <w:r>
        <w:rPr>
          <w:rFonts w:eastAsiaTheme="minorEastAsia"/>
          <w:lang w:val="en-US"/>
        </w:rPr>
        <w:t xml:space="preserve"> age interval </w:t>
      </w:r>
      <m:oMath>
        <m:r>
          <w:rPr>
            <w:rFonts w:ascii="Cambria Math" w:hAnsi="Cambria Math"/>
          </w:rPr>
          <m:t>I</m:t>
        </m:r>
      </m:oMath>
      <w:r w:rsidRPr="00A61B91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 xml:space="preserve">(for example with </w:t>
      </w:r>
      <m:oMath>
        <m:r>
          <w:rPr>
            <w:rFonts w:ascii="Cambria Math" w:hAnsi="Cambria Math"/>
          </w:rPr>
          <m:t>I</m:t>
        </m:r>
        <m:r>
          <w:rPr>
            <w:rFonts w:ascii="Cambria Math" w:hAnsi="Cambria Math"/>
            <w:lang w:val="en-US"/>
          </w:rPr>
          <m:t>=[0,…,110]</m:t>
        </m:r>
      </m:oMath>
      <w:r>
        <w:rPr>
          <w:rFonts w:eastAsiaTheme="minorEastAsia"/>
          <w:lang w:val="en-US"/>
        </w:rPr>
        <w:t xml:space="preserve"> to get the overall SMR):</w:t>
      </w:r>
    </w:p>
    <w:p w14:paraId="5670CED4" w14:textId="77777777" w:rsidR="00445C46" w:rsidRPr="00A61B91" w:rsidRDefault="00445C46" w:rsidP="00445C46">
      <w:pPr>
        <w:pStyle w:val="Sansinterligne"/>
        <w:spacing w:line="360" w:lineRule="auto"/>
        <w:jc w:val="both"/>
        <w:rPr>
          <w:rFonts w:eastAsiaTheme="minorEastAsia"/>
          <w:lang w:val="en-US"/>
        </w:rPr>
      </w:pPr>
    </w:p>
    <w:p w14:paraId="40BB8C02" w14:textId="77777777" w:rsidR="00445C46" w:rsidRPr="00643A92" w:rsidRDefault="00000000" w:rsidP="00445C46">
      <w:pPr>
        <w:pStyle w:val="Sansinterligne"/>
        <w:spacing w:line="360" w:lineRule="auto"/>
        <w:jc w:val="both"/>
        <w:rPr>
          <w:rFonts w:eastAsiaTheme="minorEastAsia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</w:rPr>
              </m:ctrlPr>
            </m:eqArr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I,y</m:t>
                  </m:r>
                </m:sub>
                <m:sup>
                  <m:r>
                    <w:rPr>
                      <w:rFonts w:ascii="Cambria Math" w:hAnsi="Cambria Math"/>
                    </w:rPr>
                    <m:t>S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</m:t>
                      </m:r>
                    </m:sup>
                  </m:sSubSup>
                </m:den>
              </m:f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x∈I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x,y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</m:t>
                      </m:r>
                    </m:sup>
                  </m:sSubSup>
                </m:e>
              </m:nary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eqArr>
        </m:oMath>
      </m:oMathPara>
    </w:p>
    <w:p w14:paraId="75F6FF44" w14:textId="77777777" w:rsidR="00445C46" w:rsidRPr="001337CC" w:rsidRDefault="00445C46" w:rsidP="00445C46">
      <w:pPr>
        <w:pStyle w:val="Sansinterligne"/>
        <w:spacing w:line="360" w:lineRule="auto"/>
        <w:jc w:val="both"/>
        <w:rPr>
          <w:rFonts w:eastAsiaTheme="minorEastAsia"/>
        </w:rPr>
      </w:pPr>
    </w:p>
    <w:p w14:paraId="1FABCC0A" w14:textId="77777777" w:rsidR="00445C46" w:rsidRPr="00A61B91" w:rsidRDefault="00445C46" w:rsidP="00445C46">
      <w:pPr>
        <w:pStyle w:val="Sansinterligne"/>
        <w:spacing w:line="360" w:lineRule="auto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w</w:t>
      </w:r>
      <w:r w:rsidRPr="00A61B91">
        <w:rPr>
          <w:rFonts w:eastAsiaTheme="minorEastAsia"/>
          <w:lang w:val="en-US"/>
        </w:rPr>
        <w:t xml:space="preserve">here </w:t>
      </w:r>
      <m:oMath>
        <m:r>
          <w:rPr>
            <w:rFonts w:ascii="Cambria Math" w:hAnsi="Cambria Math"/>
          </w:rPr>
          <m:t>S</m:t>
        </m:r>
      </m:oMath>
      <w:r w:rsidRPr="00A61B91">
        <w:rPr>
          <w:rFonts w:eastAsiaTheme="minorEastAsia"/>
          <w:lang w:val="en-US"/>
        </w:rPr>
        <w:t xml:space="preserve"> is a r</w:t>
      </w:r>
      <w:r>
        <w:rPr>
          <w:rFonts w:eastAsiaTheme="minorEastAsia"/>
          <w:lang w:val="en-US"/>
        </w:rPr>
        <w:t xml:space="preserve">eference population,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S</m:t>
            </m:r>
          </m:sup>
        </m:sSubSup>
      </m:oMath>
      <w:r w:rsidRPr="00BB0BE5">
        <w:rPr>
          <w:rFonts w:eastAsiaTheme="minorEastAsia"/>
          <w:lang w:val="en-US"/>
        </w:rPr>
        <w:t xml:space="preserve"> the size of this population at age </w:t>
      </w:r>
      <m:oMath>
        <m:r>
          <w:rPr>
            <w:rFonts w:ascii="Cambria Math" w:hAnsi="Cambria Math"/>
          </w:rPr>
          <m:t>x</m:t>
        </m:r>
      </m:oMath>
      <w:r w:rsidRPr="00BB0BE5">
        <w:rPr>
          <w:rFonts w:eastAsiaTheme="minorEastAsia"/>
          <w:lang w:val="en-US"/>
        </w:rPr>
        <w:t xml:space="preserve">,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S</m:t>
            </m:r>
          </m:sup>
        </m:sSubSup>
        <m:r>
          <w:rPr>
            <w:rFonts w:ascii="Cambria Math" w:hAnsi="Cambria Math"/>
            <w:lang w:val="en-US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∈</m:t>
            </m:r>
            <m:r>
              <w:rPr>
                <w:rFonts w:ascii="Cambria Math" w:hAnsi="Cambria Math"/>
              </w:rPr>
              <m:t>I</m:t>
            </m:r>
          </m:sub>
          <m:sup/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  <m:sup>
                <m:r>
                  <w:rPr>
                    <w:rFonts w:ascii="Cambria Math" w:hAnsi="Cambria Math"/>
                  </w:rPr>
                  <m:t>S</m:t>
                </m:r>
              </m:sup>
            </m:sSubSup>
          </m:e>
        </m:nary>
      </m:oMath>
      <w:r w:rsidRPr="00874295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 xml:space="preserve">the size in the age interval </w:t>
      </w:r>
      <m:oMath>
        <m:r>
          <w:rPr>
            <w:rFonts w:ascii="Cambria Math" w:hAnsi="Cambria Math"/>
          </w:rPr>
          <m:t>I</m:t>
        </m:r>
      </m:oMath>
      <w:r>
        <w:rPr>
          <w:rFonts w:eastAsiaTheme="minorEastAsia"/>
          <w:lang w:val="en-US"/>
        </w:rPr>
        <w:t xml:space="preserve">. Model (1) is estimated separately for men and women. </w:t>
      </w:r>
    </w:p>
    <w:p w14:paraId="1CBF6AAF" w14:textId="77777777" w:rsidR="00445C46" w:rsidRPr="00A61B91" w:rsidRDefault="00445C46" w:rsidP="00445C46">
      <w:pPr>
        <w:pStyle w:val="Sansinterligne"/>
        <w:spacing w:line="360" w:lineRule="auto"/>
        <w:jc w:val="both"/>
        <w:rPr>
          <w:rFonts w:eastAsiaTheme="minorEastAsia"/>
          <w:lang w:val="en-US"/>
        </w:rPr>
      </w:pPr>
    </w:p>
    <w:p w14:paraId="766C8740" w14:textId="77777777" w:rsidR="00445C46" w:rsidRDefault="00445C46" w:rsidP="00445C46">
      <w:pPr>
        <w:pStyle w:val="Sansinterligne"/>
        <w:spacing w:line="360" w:lineRule="auto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To define a 95% prediction interval for </w:t>
      </w:r>
      <m:oMath>
        <m:r>
          <w:rPr>
            <w:rFonts w:ascii="Cambria Math" w:hAnsi="Cambria Math"/>
            <w:lang w:val="en-US"/>
          </w:rPr>
          <m:t>(3)</m:t>
        </m:r>
      </m:oMath>
      <w:r w:rsidRPr="0061527C">
        <w:rPr>
          <w:rFonts w:eastAsiaTheme="minorEastAsia"/>
          <w:lang w:val="en-US"/>
        </w:rPr>
        <w:t>,</w:t>
      </w:r>
      <w:r w:rsidRPr="00DF01C3">
        <w:rPr>
          <w:rFonts w:eastAsiaTheme="minorEastAsia"/>
          <w:lang w:val="en-US"/>
        </w:rPr>
        <w:t xml:space="preserve"> l</w:t>
      </w:r>
      <w:r w:rsidRPr="00F40779">
        <w:rPr>
          <w:rFonts w:eastAsiaTheme="minorEastAsia"/>
          <w:lang w:val="en-US"/>
        </w:rPr>
        <w:t xml:space="preserve">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,</m:t>
            </m:r>
            <m:r>
              <w:rPr>
                <w:rFonts w:ascii="Cambria Math" w:eastAsiaTheme="minorEastAsia" w:hAnsi="Cambria Math"/>
              </w:rPr>
              <m:t>y</m:t>
            </m:r>
          </m:sub>
        </m:sSub>
      </m:oMath>
      <w:r w:rsidRPr="00F40779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 xml:space="preserve">be the variance of the log-mortality rates estimated under model (1) and given by the software. Using the delta method, we obtain the variance of rates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λ</m:t>
                </m:r>
              </m:e>
            </m:acc>
          </m:e>
          <m:sub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,</m:t>
            </m:r>
            <m:r>
              <w:rPr>
                <w:rFonts w:ascii="Cambria Math" w:hAnsi="Cambria Math"/>
              </w:rPr>
              <m:t>y</m:t>
            </m:r>
          </m:sub>
        </m:sSub>
      </m:oMath>
      <w:r w:rsidRPr="001337CC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 xml:space="preserve">due to </w:t>
      </w:r>
      <w:r w:rsidRPr="001337CC">
        <w:rPr>
          <w:rFonts w:eastAsiaTheme="minorEastAsia"/>
          <w:lang w:val="en-US"/>
        </w:rPr>
        <w:t>uncertainty</w:t>
      </w:r>
      <w:r>
        <w:rPr>
          <w:rFonts w:eastAsiaTheme="minorEastAsia"/>
          <w:lang w:val="en-US"/>
        </w:rPr>
        <w:t xml:space="preserve"> in</w:t>
      </w:r>
      <w:r w:rsidRPr="001337CC">
        <w:rPr>
          <w:rFonts w:eastAsiaTheme="minorEastAsia"/>
          <w:lang w:val="en-US"/>
        </w:rPr>
        <w:t xml:space="preserve"> the </w:t>
      </w:r>
      <w:r>
        <w:rPr>
          <w:rFonts w:eastAsiaTheme="minorEastAsia"/>
          <w:lang w:val="en-US"/>
        </w:rPr>
        <w:t>parameter</w:t>
      </w:r>
      <w:r w:rsidRPr="001337CC">
        <w:rPr>
          <w:rFonts w:eastAsiaTheme="minorEastAsia"/>
          <w:lang w:val="en-US"/>
        </w:rPr>
        <w:t xml:space="preserve"> estimate</w:t>
      </w:r>
      <w:r>
        <w:rPr>
          <w:rFonts w:eastAsiaTheme="minorEastAsia"/>
          <w:lang w:val="en-US"/>
        </w:rPr>
        <w:t xml:space="preserve">s,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λ</m:t>
                </m:r>
              </m:e>
            </m:acc>
          </m:e>
          <m:sub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,</m:t>
            </m:r>
            <m:r>
              <w:rPr>
                <w:rFonts w:ascii="Cambria Math" w:hAnsi="Cambria Math"/>
              </w:rPr>
              <m:t>y</m:t>
            </m:r>
          </m:sub>
          <m:sup>
            <m:r>
              <w:rPr>
                <w:rFonts w:ascii="Cambria Math" w:hAnsi="Cambria Math"/>
                <w:lang w:val="en-US"/>
              </w:rPr>
              <m:t>2</m:t>
            </m:r>
          </m:sup>
        </m:sSubSup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,</m:t>
            </m:r>
            <m:r>
              <w:rPr>
                <w:rFonts w:ascii="Cambria Math" w:eastAsiaTheme="minorEastAsia" w:hAnsi="Cambria Math"/>
              </w:rPr>
              <m:t>y</m:t>
            </m:r>
          </m:sub>
        </m:sSub>
      </m:oMath>
      <w:r>
        <w:rPr>
          <w:rFonts w:eastAsiaTheme="minorEastAsia"/>
          <w:lang w:val="en-US"/>
        </w:rPr>
        <w:t xml:space="preserve">, to which we add the inherent Poisson variability at the estimated model parameters,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λ</m:t>
                </m:r>
              </m:e>
            </m:acc>
          </m:e>
          <m:sub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,</m:t>
            </m:r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  <w:lang w:val="en-US"/>
          </w:rPr>
          <m:t>/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,</m:t>
            </m:r>
            <m:r>
              <w:rPr>
                <w:rFonts w:ascii="Cambria Math" w:eastAsiaTheme="minorEastAsia" w:hAnsi="Cambria Math"/>
              </w:rPr>
              <m:t>y</m:t>
            </m:r>
          </m:sub>
        </m:sSub>
      </m:oMath>
      <w:r w:rsidRPr="000504EA">
        <w:rPr>
          <w:rFonts w:eastAsiaTheme="minorEastAsia"/>
          <w:lang w:val="en-US"/>
        </w:rPr>
        <w:t>.</w:t>
      </w:r>
      <w:r>
        <w:rPr>
          <w:rFonts w:eastAsiaTheme="minorEastAsia"/>
          <w:lang w:val="en-US"/>
        </w:rPr>
        <w:t xml:space="preserve"> This gives the following: </w:t>
      </w:r>
    </w:p>
    <w:p w14:paraId="3C8D8D9F" w14:textId="77777777" w:rsidR="00445C46" w:rsidRPr="001337CC" w:rsidRDefault="00445C46" w:rsidP="00445C46">
      <w:pPr>
        <w:pStyle w:val="Sansinterligne"/>
        <w:spacing w:line="360" w:lineRule="auto"/>
        <w:jc w:val="both"/>
        <w:rPr>
          <w:rFonts w:eastAsiaTheme="minorEastAsia"/>
          <w:lang w:val="en-US"/>
        </w:rPr>
      </w:pPr>
    </w:p>
    <w:p w14:paraId="1D7EF1D8" w14:textId="77777777" w:rsidR="00445C46" w:rsidRPr="0061527C" w:rsidRDefault="00000000" w:rsidP="00445C46">
      <w:pPr>
        <w:pStyle w:val="Sansinterligne"/>
        <w:spacing w:line="360" w:lineRule="auto"/>
        <w:jc w:val="both"/>
        <w:rPr>
          <w:rFonts w:eastAsiaTheme="minorEastAsia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qArrPr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y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λ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sub>
                      </m:sSub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V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,</m:t>
                      </m:r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  <w:lang w:val="en-US"/>
                    </w:rPr>
                    <m:t>/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,</m:t>
                      </m:r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 xml:space="preserve">. </m:t>
              </m:r>
              <m:r>
                <w:rPr>
                  <w:rFonts w:ascii="Cambria Math" w:eastAsiaTheme="minorEastAsia" w:hAnsi="Cambria Math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eqArr>
        </m:oMath>
      </m:oMathPara>
    </w:p>
    <w:p w14:paraId="2A10A038" w14:textId="77777777" w:rsidR="00445C46" w:rsidRPr="0061527C" w:rsidRDefault="00445C46" w:rsidP="00445C46">
      <w:pPr>
        <w:pStyle w:val="Sansinterligne"/>
        <w:spacing w:line="360" w:lineRule="auto"/>
        <w:jc w:val="both"/>
        <w:rPr>
          <w:rFonts w:eastAsiaTheme="minorEastAsia"/>
          <w:lang w:val="en-US"/>
        </w:rPr>
      </w:pPr>
    </w:p>
    <w:p w14:paraId="5ADF5963" w14:textId="77777777" w:rsidR="00445C46" w:rsidRDefault="00445C46" w:rsidP="00445C46">
      <w:pPr>
        <w:pStyle w:val="Sansinterligne"/>
        <w:spacing w:line="360" w:lineRule="auto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Using delta method a second time, we obtain an estimate of the variance of log-SMR in age interval </w:t>
      </w:r>
      <m:oMath>
        <m:r>
          <w:rPr>
            <w:rFonts w:ascii="Cambria Math" w:hAnsi="Cambria Math"/>
          </w:rPr>
          <m:t>I</m:t>
        </m:r>
      </m:oMath>
      <w:r>
        <w:rPr>
          <w:rFonts w:eastAsiaTheme="minorEastAsia"/>
          <w:lang w:val="en-US"/>
        </w:rPr>
        <w:t>:</w:t>
      </w:r>
    </w:p>
    <w:p w14:paraId="45750B06" w14:textId="77777777" w:rsidR="00445C46" w:rsidRPr="0061527C" w:rsidRDefault="00445C46" w:rsidP="00445C46">
      <w:pPr>
        <w:pStyle w:val="Sansinterligne"/>
        <w:spacing w:line="360" w:lineRule="auto"/>
        <w:jc w:val="both"/>
        <w:rPr>
          <w:rFonts w:eastAsiaTheme="minorEastAsia"/>
          <w:lang w:val="en-US"/>
        </w:rPr>
      </w:pPr>
    </w:p>
    <w:p w14:paraId="3634B9C6" w14:textId="77777777" w:rsidR="00445C46" w:rsidRPr="00AF33DD" w:rsidRDefault="00000000" w:rsidP="00445C46">
      <w:pPr>
        <w:pStyle w:val="Sansinterligne"/>
        <w:spacing w:line="360" w:lineRule="auto"/>
        <w:jc w:val="both"/>
        <w:rPr>
          <w:rFonts w:eastAsiaTheme="minorEastAsia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</w:rPr>
              </m:ctrlPr>
            </m:eqArrPr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log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I,y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</m:t>
                      </m:r>
                    </m:sup>
                  </m:sSubSup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λ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I,y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sup>
                          </m:sSubSup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x∈I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(P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x,y</m:t>
                      </m:r>
                    </m:sub>
                  </m:s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λ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x,y</m:t>
                              </m:r>
                            </m:sub>
                          </m:sSub>
                          <m:acc>
                            <m:ac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V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/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</m:e>
                  </m:d>
                </m:e>
              </m:nary>
              <m:r>
                <w:rPr>
                  <w:rFonts w:ascii="Cambria Math" w:hAnsi="Cambria Math"/>
                </w:rPr>
                <m:t xml:space="preserve">. </m:t>
              </m:r>
              <m:r>
                <w:rPr>
                  <w:rFonts w:ascii="Cambria Math" w:eastAsiaTheme="minorEastAsia" w:hAnsi="Cambria Math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eqArr>
        </m:oMath>
      </m:oMathPara>
    </w:p>
    <w:p w14:paraId="1FC7BD8B" w14:textId="77777777" w:rsidR="00445C46" w:rsidRPr="00ED4AE4" w:rsidRDefault="00445C46" w:rsidP="00445C46">
      <w:pPr>
        <w:pStyle w:val="Sansinterligne"/>
        <w:spacing w:line="360" w:lineRule="auto"/>
        <w:jc w:val="both"/>
        <w:rPr>
          <w:rFonts w:eastAsiaTheme="minorEastAsia"/>
        </w:rPr>
      </w:pPr>
    </w:p>
    <w:p w14:paraId="4CBF4474" w14:textId="77777777" w:rsidR="00445C46" w:rsidRPr="00AF33DD" w:rsidRDefault="00445C46" w:rsidP="00445C46">
      <w:pPr>
        <w:pStyle w:val="Sansinterligne"/>
        <w:spacing w:line="360" w:lineRule="auto"/>
        <w:jc w:val="both"/>
        <w:rPr>
          <w:rFonts w:eastAsiaTheme="minorEastAsia"/>
          <w:lang w:val="en-US"/>
        </w:rPr>
      </w:pPr>
      <w:r w:rsidRPr="00AF33DD">
        <w:rPr>
          <w:rFonts w:eastAsiaTheme="minorEastAsia"/>
          <w:lang w:val="en-US"/>
        </w:rPr>
        <w:t xml:space="preserve">And </w:t>
      </w:r>
      <w:r>
        <w:rPr>
          <w:rFonts w:eastAsiaTheme="minorEastAsia"/>
          <w:lang w:val="en-US"/>
        </w:rPr>
        <w:t>finally, a</w:t>
      </w:r>
      <w:r w:rsidRPr="00AF33DD">
        <w:rPr>
          <w:rFonts w:eastAsiaTheme="minorEastAsia"/>
          <w:lang w:val="en-US"/>
        </w:rPr>
        <w:t xml:space="preserve"> 95% prediction interval f</w:t>
      </w:r>
      <w:r>
        <w:rPr>
          <w:rFonts w:eastAsiaTheme="minorEastAsia"/>
          <w:lang w:val="en-US"/>
        </w:rPr>
        <w:t>or the SMR in the same age interval is given by:</w:t>
      </w:r>
    </w:p>
    <w:p w14:paraId="60B1F081" w14:textId="77777777" w:rsidR="00445C46" w:rsidRPr="00AF33DD" w:rsidRDefault="00445C46" w:rsidP="00445C46">
      <w:pPr>
        <w:pStyle w:val="Sansinterligne"/>
        <w:spacing w:line="360" w:lineRule="auto"/>
        <w:jc w:val="both"/>
        <w:rPr>
          <w:rFonts w:eastAsiaTheme="minorEastAsia"/>
          <w:lang w:val="en-US"/>
        </w:rPr>
      </w:pPr>
    </w:p>
    <w:p w14:paraId="256460F4" w14:textId="77777777" w:rsidR="00445C46" w:rsidRPr="00553222" w:rsidRDefault="00000000" w:rsidP="00445C46">
      <w:pPr>
        <w:pStyle w:val="Sansinterligne"/>
        <w:spacing w:line="360" w:lineRule="auto"/>
        <w:jc w:val="both"/>
        <w:rPr>
          <w:rFonts w:eastAsiaTheme="minorEastAsia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lang w:val="en-US"/>
                </w:rPr>
              </m:ctrlPr>
            </m:eqArrPr>
            <m:e>
              <m:r>
                <w:rPr>
                  <w:rFonts w:ascii="Cambria Math" w:hAnsi="Cambria Math"/>
                  <w:lang w:val="en-US"/>
                </w:rPr>
                <m:t>95%PI=</m:t>
              </m:r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log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λ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I,y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±1.96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radPr>
                        <m:deg/>
                        <m:e>
                          <m:acc>
                            <m:ac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V</m:t>
                              </m:r>
                            </m:e>
                          </m:acc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log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SupPr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λ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I,y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p>
                              </m:sSubSup>
                            </m:e>
                          </m:d>
                        </m:e>
                      </m:rad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>.#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6</m:t>
                  </m: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</m:eqArr>
        </m:oMath>
      </m:oMathPara>
    </w:p>
    <w:sectPr w:rsidR="00445C46" w:rsidRPr="00553222" w:rsidSect="00C136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656E" w14:textId="77777777" w:rsidR="00454F1C" w:rsidRDefault="00454F1C" w:rsidP="0045030A">
      <w:r>
        <w:separator/>
      </w:r>
    </w:p>
  </w:endnote>
  <w:endnote w:type="continuationSeparator" w:id="0">
    <w:p w14:paraId="76218258" w14:textId="77777777" w:rsidR="00454F1C" w:rsidRDefault="00454F1C" w:rsidP="0045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3875" w14:textId="77777777" w:rsidR="0045030A" w:rsidRDefault="004503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EDC5" w14:textId="77777777" w:rsidR="0045030A" w:rsidRDefault="0045030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4D5E" w14:textId="77777777" w:rsidR="0045030A" w:rsidRDefault="004503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67F1" w14:textId="77777777" w:rsidR="00454F1C" w:rsidRDefault="00454F1C" w:rsidP="0045030A">
      <w:r>
        <w:separator/>
      </w:r>
    </w:p>
  </w:footnote>
  <w:footnote w:type="continuationSeparator" w:id="0">
    <w:p w14:paraId="2F553C61" w14:textId="77777777" w:rsidR="00454F1C" w:rsidRDefault="00454F1C" w:rsidP="00450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1157" w14:textId="77777777" w:rsidR="0045030A" w:rsidRDefault="004503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EF41" w14:textId="77777777" w:rsidR="0045030A" w:rsidRDefault="0045030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565C" w14:textId="77777777" w:rsidR="0045030A" w:rsidRDefault="0045030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46"/>
    <w:rsid w:val="00016CA4"/>
    <w:rsid w:val="000F0D32"/>
    <w:rsid w:val="00231195"/>
    <w:rsid w:val="00281E53"/>
    <w:rsid w:val="003C7338"/>
    <w:rsid w:val="00440F9F"/>
    <w:rsid w:val="00445C46"/>
    <w:rsid w:val="0045030A"/>
    <w:rsid w:val="00454F1C"/>
    <w:rsid w:val="00601843"/>
    <w:rsid w:val="0064694C"/>
    <w:rsid w:val="00656170"/>
    <w:rsid w:val="00664266"/>
    <w:rsid w:val="006D2FF3"/>
    <w:rsid w:val="00747486"/>
    <w:rsid w:val="0084535D"/>
    <w:rsid w:val="0089143A"/>
    <w:rsid w:val="008916F2"/>
    <w:rsid w:val="008F2E84"/>
    <w:rsid w:val="00B443F8"/>
    <w:rsid w:val="00C136C1"/>
    <w:rsid w:val="00C13B6F"/>
    <w:rsid w:val="00D60C21"/>
    <w:rsid w:val="00F86033"/>
    <w:rsid w:val="00FA24A3"/>
    <w:rsid w:val="00FE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A7A3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35D"/>
  </w:style>
  <w:style w:type="paragraph" w:styleId="Titre1">
    <w:name w:val="heading 1"/>
    <w:basedOn w:val="Normal"/>
    <w:next w:val="Normal"/>
    <w:link w:val="Titre1Car"/>
    <w:uiPriority w:val="9"/>
    <w:qFormat/>
    <w:rsid w:val="00445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5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5C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9D351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5C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9D351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5C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9D351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5C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5C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5C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5C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4535D"/>
    <w:rPr>
      <w:lang w:val="fr-CH"/>
    </w:rPr>
  </w:style>
  <w:style w:type="paragraph" w:styleId="En-tte">
    <w:name w:val="header"/>
    <w:basedOn w:val="Normal"/>
    <w:link w:val="En-tteCar"/>
    <w:uiPriority w:val="99"/>
    <w:unhideWhenUsed/>
    <w:rsid w:val="004503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030A"/>
  </w:style>
  <w:style w:type="paragraph" w:styleId="Pieddepage">
    <w:name w:val="footer"/>
    <w:basedOn w:val="Normal"/>
    <w:link w:val="PieddepageCar"/>
    <w:uiPriority w:val="99"/>
    <w:unhideWhenUsed/>
    <w:rsid w:val="004503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030A"/>
  </w:style>
  <w:style w:type="character" w:customStyle="1" w:styleId="Titre1Car">
    <w:name w:val="Titre 1 Car"/>
    <w:basedOn w:val="Policepardfaut"/>
    <w:link w:val="Titre1"/>
    <w:uiPriority w:val="9"/>
    <w:rsid w:val="00445C46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5C46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5C46"/>
    <w:rPr>
      <w:rFonts w:asciiTheme="minorHAnsi" w:eastAsiaTheme="majorEastAsia" w:hAnsiTheme="minorHAnsi" w:cstheme="majorBidi"/>
      <w:color w:val="9D351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5C46"/>
    <w:rPr>
      <w:rFonts w:asciiTheme="minorHAnsi" w:eastAsiaTheme="majorEastAsia" w:hAnsiTheme="minorHAnsi" w:cstheme="majorBidi"/>
      <w:i/>
      <w:iCs/>
      <w:color w:val="9D351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5C46"/>
    <w:rPr>
      <w:rFonts w:asciiTheme="minorHAnsi" w:eastAsiaTheme="majorEastAsia" w:hAnsiTheme="minorHAnsi" w:cstheme="majorBidi"/>
      <w:color w:val="9D351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5C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5C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5C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5C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5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5C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5C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5C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5C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5C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5C46"/>
    <w:rPr>
      <w:i/>
      <w:iCs/>
      <w:color w:val="9D351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5C46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5C46"/>
    <w:rPr>
      <w:i/>
      <w:iCs/>
      <w:color w:val="9D351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5C46"/>
    <w:rPr>
      <w:b/>
      <w:bCs/>
      <w:smallCaps/>
      <w:color w:val="9D351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_CFO_Compétences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Bureau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_CFO_Compétences" id="{F261A1D7-D9B9-4A3E-9604-431426B697CF}" vid="{DDFCCE1E-12A7-46DE-8330-DB367F8B372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1802</Characters>
  <Application>Microsoft Office Word</Application>
  <DocSecurity>0</DocSecurity>
  <Lines>15</Lines>
  <Paragraphs>4</Paragraphs>
  <ScaleCrop>false</ScaleCrop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2025-06-25T12:35:00Z</dcterms:created>
  <dcterms:modified xsi:type="dcterms:W3CDTF">2025-08-08T12:25:00Z</dcterms:modified>
</cp:coreProperties>
</file>