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ABCF95">
      <w:pPr>
        <w:widowControl/>
        <w:autoSpaceDE w:val="0"/>
        <w:spacing w:line="300" w:lineRule="auto"/>
        <w:jc w:val="left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</w:pPr>
      <w:r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  <w:t>Tab.1 Block-Mean Visualization</w:t>
      </w:r>
    </w:p>
    <w:tbl>
      <w:tblPr>
        <w:tblStyle w:val="10"/>
        <w:tblW w:w="343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52"/>
        <w:gridCol w:w="2909"/>
      </w:tblGrid>
      <w:tr w14:paraId="17E0F2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5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477E1C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 w:val="24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4"/>
              </w:rPr>
              <w:t>Liang Kai (B1)</w:t>
            </w:r>
          </w:p>
        </w:tc>
        <w:tc>
          <w:tcPr>
            <w:tcW w:w="248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BDCFFE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 w:val="24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4"/>
                <w:lang w:eastAsia="zh-CN"/>
              </w:rPr>
              <w:t>Muqi</w:t>
            </w:r>
            <w:r>
              <w:rPr>
                <w:rFonts w:hint="default" w:ascii="Times New Roman" w:hAnsi="Times New Roman" w:eastAsia="宋体" w:cs="Times New Roman"/>
                <w:color w:val="auto"/>
                <w:sz w:val="24"/>
              </w:rPr>
              <w:t xml:space="preserve"> (C1)</w:t>
            </w:r>
          </w:p>
        </w:tc>
      </w:tr>
      <w:tr w14:paraId="28B541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5" w:hRule="atLeast"/>
        </w:trPr>
        <w:tc>
          <w:tcPr>
            <w:tcW w:w="25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BA7D2F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057275" cy="1628140"/>
                  <wp:effectExtent l="0" t="0" r="9525" b="2540"/>
                  <wp:docPr id="37" name="图片 37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B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613830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118235" cy="1657350"/>
                  <wp:effectExtent l="0" t="0" r="9525" b="3810"/>
                  <wp:docPr id="38" name="图片 38" descr="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23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A89B26">
      <w:pPr>
        <w:spacing w:line="300" w:lineRule="auto"/>
        <w:jc w:val="center"/>
        <w:rPr>
          <w:rStyle w:val="15"/>
          <w:rFonts w:hint="default" w:ascii="Times New Roman" w:hAnsi="Times New Roman" w:eastAsia="宋体" w:cs="Times New Roman"/>
          <w:b/>
          <w:bCs/>
          <w:color w:val="auto"/>
        </w:rPr>
      </w:pPr>
    </w:p>
    <w:p w14:paraId="4417E338">
      <w:pPr>
        <w:spacing w:line="300" w:lineRule="auto"/>
        <w:jc w:val="both"/>
        <w:rPr>
          <w:rStyle w:val="15"/>
          <w:rFonts w:hint="default" w:ascii="Times New Roman" w:hAnsi="Times New Roman" w:eastAsia="宋体" w:cs="Times New Roman"/>
          <w:b/>
          <w:bCs/>
          <w:color w:val="auto"/>
        </w:rPr>
      </w:pPr>
      <w:r>
        <w:rPr>
          <w:rStyle w:val="15"/>
          <w:rFonts w:hint="default" w:ascii="Times New Roman" w:hAnsi="Times New Roman" w:eastAsia="宋体" w:cs="Times New Roman"/>
          <w:b/>
          <w:bCs/>
          <w:color w:val="auto"/>
        </w:rPr>
        <w:t>Tab.2 Research Samples</w:t>
      </w:r>
    </w:p>
    <w:tbl>
      <w:tblPr>
        <w:tblStyle w:val="10"/>
        <w:tblpPr w:leftFromText="180" w:rightFromText="180" w:vertAnchor="text" w:tblpX="1" w:tblpY="1"/>
        <w:tblOverlap w:val="never"/>
        <w:tblW w:w="469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9"/>
        <w:gridCol w:w="2054"/>
        <w:gridCol w:w="1961"/>
        <w:gridCol w:w="3050"/>
      </w:tblGrid>
      <w:tr w14:paraId="7DD30E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5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  <w:tl2br w:val="nil"/>
            </w:tcBorders>
            <w:shd w:val="clear" w:color="auto" w:fill="FFFFFF"/>
            <w:vAlign w:val="center"/>
          </w:tcPr>
          <w:p w14:paraId="6374AE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t>No.</w:t>
            </w:r>
          </w:p>
        </w:tc>
        <w:tc>
          <w:tcPr>
            <w:tcW w:w="12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4969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Artist</w:t>
            </w:r>
          </w:p>
        </w:tc>
        <w:tc>
          <w:tcPr>
            <w:tcW w:w="12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70A0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Primary Pictorial Elements</w:t>
            </w:r>
          </w:p>
        </w:tc>
        <w:tc>
          <w:tcPr>
            <w:tcW w:w="19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B90A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 w:val="0"/>
                <w:color w:val="auto"/>
                <w:szCs w:val="21"/>
                <w:shd w:val="clear" w:color="auto" w:fill="FFFFFF"/>
              </w:rPr>
              <w:t>Representative Exemplars of Hanging Scroll Figure Paintings</w:t>
            </w:r>
          </w:p>
        </w:tc>
      </w:tr>
      <w:tr w14:paraId="023E9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7" w:hRule="atLeast"/>
        </w:trPr>
        <w:tc>
          <w:tcPr>
            <w:tcW w:w="5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DBA450">
            <w:pPr>
              <w:spacing w:line="300" w:lineRule="auto"/>
              <w:jc w:val="center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A1</w:t>
            </w:r>
          </w:p>
        </w:tc>
        <w:tc>
          <w:tcPr>
            <w:tcW w:w="12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3B5B52">
            <w:pPr>
              <w:spacing w:line="300" w:lineRule="auto"/>
              <w:jc w:val="center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Sesshū Tōyō（14）</w:t>
            </w:r>
          </w:p>
        </w:tc>
        <w:tc>
          <w:tcPr>
            <w:tcW w:w="12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2B0C7E">
            <w:pPr>
              <w:spacing w:line="300" w:lineRule="auto"/>
              <w:jc w:val="center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Figure</w:t>
            </w:r>
          </w:p>
        </w:tc>
        <w:tc>
          <w:tcPr>
            <w:tcW w:w="19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8AFDFD">
            <w:pPr>
              <w:spacing w:line="300" w:lineRule="auto"/>
              <w:jc w:val="center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693420" cy="1724660"/>
                  <wp:effectExtent l="0" t="0" r="7620" b="12700"/>
                  <wp:docPr id="10" name="图片 10" descr="出山釈迦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出山釈迦図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172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E12E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12" w:hRule="atLeast"/>
        </w:trPr>
        <w:tc>
          <w:tcPr>
            <w:tcW w:w="5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8A898A">
            <w:pPr>
              <w:spacing w:line="300" w:lineRule="auto"/>
              <w:jc w:val="center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B1</w:t>
            </w:r>
          </w:p>
        </w:tc>
        <w:tc>
          <w:tcPr>
            <w:tcW w:w="12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CB3452">
            <w:pPr>
              <w:spacing w:line="300" w:lineRule="auto"/>
              <w:jc w:val="center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 xml:space="preserve"> Liang Kai（21）</w:t>
            </w:r>
          </w:p>
        </w:tc>
        <w:tc>
          <w:tcPr>
            <w:tcW w:w="12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A31FAF">
            <w:pPr>
              <w:spacing w:line="300" w:lineRule="auto"/>
              <w:jc w:val="center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Figure</w:t>
            </w:r>
          </w:p>
        </w:tc>
        <w:tc>
          <w:tcPr>
            <w:tcW w:w="19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0333A6">
            <w:pPr>
              <w:spacing w:line="300" w:lineRule="auto"/>
              <w:jc w:val="center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619760" cy="1512570"/>
                  <wp:effectExtent l="0" t="0" r="5080" b="11430"/>
                  <wp:docPr id="6" name="图片 6" descr="普化振铃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普化振铃图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760" cy="151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D250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9" w:hRule="atLeast"/>
        </w:trPr>
        <w:tc>
          <w:tcPr>
            <w:tcW w:w="58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B5BAD5">
            <w:pPr>
              <w:spacing w:line="300" w:lineRule="auto"/>
              <w:jc w:val="center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C1</w:t>
            </w:r>
          </w:p>
        </w:tc>
        <w:tc>
          <w:tcPr>
            <w:tcW w:w="12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CD5D96">
            <w:pPr>
              <w:spacing w:line="300" w:lineRule="auto"/>
              <w:jc w:val="center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  <w:shd w:val="clear" w:color="auto" w:fill="FFFFFF"/>
                <w:lang w:eastAsia="zh-CN"/>
              </w:rPr>
              <w:t>Muqi</w:t>
            </w: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（14）</w:t>
            </w:r>
          </w:p>
        </w:tc>
        <w:tc>
          <w:tcPr>
            <w:tcW w:w="12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8C2607">
            <w:pPr>
              <w:spacing w:line="300" w:lineRule="auto"/>
              <w:jc w:val="center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Tree, Figure</w:t>
            </w:r>
          </w:p>
        </w:tc>
        <w:tc>
          <w:tcPr>
            <w:tcW w:w="19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9B888C">
            <w:pPr>
              <w:spacing w:line="300" w:lineRule="auto"/>
              <w:jc w:val="center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639445" cy="1767205"/>
                  <wp:effectExtent l="0" t="0" r="635" b="635"/>
                  <wp:docPr id="12" name="图片 12" descr="47_南宋_牧溪_丰干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47_南宋_牧溪_丰干图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45" cy="176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CC7BFF">
      <w:pPr>
        <w:widowControl/>
        <w:autoSpaceDE w:val="0"/>
        <w:spacing w:line="300" w:lineRule="auto"/>
        <w:ind w:firstLine="422" w:firstLineChars="200"/>
        <w:jc w:val="center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</w:pPr>
    </w:p>
    <w:p w14:paraId="030F818B">
      <w:pPr>
        <w:widowControl/>
        <w:autoSpaceDE w:val="0"/>
        <w:spacing w:line="300" w:lineRule="auto"/>
        <w:jc w:val="both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</w:pPr>
      <w:r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  <w:t xml:space="preserve">Tab.3 </w:t>
      </w:r>
      <w:r>
        <w:rPr>
          <w:rFonts w:hint="default" w:ascii="Times New Roman" w:hAnsi="Times New Roman" w:eastAsia="宋体" w:cs="Times New Roman"/>
          <w:b/>
          <w:bCs/>
          <w:color w:val="auto"/>
          <w:szCs w:val="21"/>
          <w:shd w:val="clear" w:color="auto" w:fill="FFFFFF"/>
        </w:rPr>
        <w:t>Grid Configuration Testing</w:t>
      </w:r>
    </w:p>
    <w:tbl>
      <w:tblPr>
        <w:tblStyle w:val="10"/>
        <w:tblpPr w:leftFromText="180" w:rightFromText="180" w:vertAnchor="text" w:tblpXSpec="center" w:tblpY="1"/>
        <w:tblOverlap w:val="never"/>
        <w:tblW w:w="4434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9"/>
        <w:gridCol w:w="1487"/>
        <w:gridCol w:w="1507"/>
        <w:gridCol w:w="1492"/>
        <w:gridCol w:w="1542"/>
      </w:tblGrid>
      <w:tr w14:paraId="112062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</w:trPr>
        <w:tc>
          <w:tcPr>
            <w:tcW w:w="1011" w:type="pct"/>
            <w:vAlign w:val="center"/>
          </w:tcPr>
          <w:p w14:paraId="04E96593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Sample</w:t>
            </w:r>
          </w:p>
        </w:tc>
        <w:tc>
          <w:tcPr>
            <w:tcW w:w="983" w:type="pct"/>
            <w:vAlign w:val="center"/>
          </w:tcPr>
          <w:p w14:paraId="08EA751A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3*3</w:t>
            </w:r>
          </w:p>
        </w:tc>
        <w:tc>
          <w:tcPr>
            <w:tcW w:w="997" w:type="pct"/>
            <w:vAlign w:val="center"/>
          </w:tcPr>
          <w:p w14:paraId="259B0F80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4*4</w:t>
            </w:r>
          </w:p>
        </w:tc>
        <w:tc>
          <w:tcPr>
            <w:tcW w:w="987" w:type="pct"/>
            <w:vAlign w:val="center"/>
          </w:tcPr>
          <w:p w14:paraId="48AE5A66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5*5</w:t>
            </w:r>
          </w:p>
        </w:tc>
        <w:tc>
          <w:tcPr>
            <w:tcW w:w="1020" w:type="pct"/>
            <w:vAlign w:val="center"/>
          </w:tcPr>
          <w:p w14:paraId="63CED724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6*6</w:t>
            </w:r>
          </w:p>
        </w:tc>
      </w:tr>
      <w:tr w14:paraId="3736FC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9" w:hRule="atLeast"/>
        </w:trPr>
        <w:tc>
          <w:tcPr>
            <w:tcW w:w="1011" w:type="pct"/>
            <w:vMerge w:val="restart"/>
            <w:vAlign w:val="center"/>
          </w:tcPr>
          <w:p w14:paraId="22822E66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711200" cy="1772285"/>
                  <wp:effectExtent l="0" t="0" r="5080" b="10795"/>
                  <wp:docPr id="3" name="图片 3" descr="出山釈迦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出山釈迦図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177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pct"/>
            <w:vAlign w:val="center"/>
          </w:tcPr>
          <w:p w14:paraId="773AB227">
            <w:pPr>
              <w:widowControl/>
              <w:autoSpaceDE w:val="0"/>
              <w:spacing w:line="300" w:lineRule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820420" cy="750570"/>
                  <wp:effectExtent l="0" t="0" r="2540" b="11430"/>
                  <wp:docPr id="22" name="图片 22" descr="renwu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renwu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6921" r="11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20" cy="750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7" w:type="pct"/>
            <w:vAlign w:val="center"/>
          </w:tcPr>
          <w:p w14:paraId="21D17DBA">
            <w:pPr>
              <w:widowControl/>
              <w:autoSpaceDE w:val="0"/>
              <w:spacing w:line="300" w:lineRule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844550" cy="767715"/>
                  <wp:effectExtent l="0" t="0" r="8890" b="9525"/>
                  <wp:docPr id="23" name="图片 23" descr="renwu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renwu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014" r="10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50" cy="76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pct"/>
            <w:vAlign w:val="center"/>
          </w:tcPr>
          <w:p w14:paraId="7CD11046">
            <w:pPr>
              <w:widowControl/>
              <w:autoSpaceDE w:val="0"/>
              <w:spacing w:line="300" w:lineRule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824230" cy="734695"/>
                  <wp:effectExtent l="0" t="0" r="13970" b="12065"/>
                  <wp:docPr id="25" name="图片 25" descr="renwu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renwu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6351" r="9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30" cy="734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pct"/>
            <w:vAlign w:val="center"/>
          </w:tcPr>
          <w:p w14:paraId="7B6A471C">
            <w:pPr>
              <w:widowControl/>
              <w:autoSpaceDE w:val="0"/>
              <w:spacing w:line="300" w:lineRule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835660" cy="769620"/>
                  <wp:effectExtent l="0" t="0" r="2540" b="7620"/>
                  <wp:docPr id="28" name="图片 28" descr="renwu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renwu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174" r="11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69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B008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</w:trPr>
        <w:tc>
          <w:tcPr>
            <w:tcW w:w="1011" w:type="pct"/>
            <w:vMerge w:val="continue"/>
            <w:vAlign w:val="center"/>
          </w:tcPr>
          <w:p w14:paraId="538C1EA8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</w:p>
        </w:tc>
        <w:tc>
          <w:tcPr>
            <w:tcW w:w="983" w:type="pct"/>
            <w:vAlign w:val="center"/>
          </w:tcPr>
          <w:p w14:paraId="4180EDFF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7*7</w:t>
            </w:r>
          </w:p>
        </w:tc>
        <w:tc>
          <w:tcPr>
            <w:tcW w:w="997" w:type="pct"/>
            <w:vAlign w:val="center"/>
          </w:tcPr>
          <w:p w14:paraId="0A3716BF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8*8</w:t>
            </w:r>
          </w:p>
        </w:tc>
        <w:tc>
          <w:tcPr>
            <w:tcW w:w="987" w:type="pct"/>
            <w:vAlign w:val="center"/>
          </w:tcPr>
          <w:p w14:paraId="7E705F52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9*9</w:t>
            </w:r>
          </w:p>
        </w:tc>
        <w:tc>
          <w:tcPr>
            <w:tcW w:w="1020" w:type="pct"/>
            <w:vAlign w:val="center"/>
          </w:tcPr>
          <w:p w14:paraId="3805C6FF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10*10</w:t>
            </w:r>
          </w:p>
        </w:tc>
      </w:tr>
      <w:tr w14:paraId="6FDB16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21" w:hRule="atLeast"/>
        </w:trPr>
        <w:tc>
          <w:tcPr>
            <w:tcW w:w="1011" w:type="pct"/>
            <w:vMerge w:val="continue"/>
            <w:vAlign w:val="center"/>
          </w:tcPr>
          <w:p w14:paraId="0C3DCEED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</w:p>
        </w:tc>
        <w:tc>
          <w:tcPr>
            <w:tcW w:w="983" w:type="pct"/>
            <w:vAlign w:val="center"/>
          </w:tcPr>
          <w:p w14:paraId="3A38063B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842010" cy="765810"/>
                  <wp:effectExtent l="0" t="0" r="11430" b="11430"/>
                  <wp:docPr id="29" name="图片 29" descr="renwu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renwu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5721" r="11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010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7" w:type="pct"/>
            <w:vAlign w:val="center"/>
          </w:tcPr>
          <w:p w14:paraId="1253DEC0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851535" cy="768350"/>
                  <wp:effectExtent l="0" t="0" r="1905" b="8890"/>
                  <wp:docPr id="30" name="图片 30" descr="renwu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renwu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5952" r="109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535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7" w:type="pct"/>
            <w:vAlign w:val="center"/>
          </w:tcPr>
          <w:p w14:paraId="36953302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867410" cy="786765"/>
                  <wp:effectExtent l="0" t="0" r="1270" b="5715"/>
                  <wp:docPr id="33" name="图片 33" descr="renwu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renwu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6961" r="10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410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pct"/>
            <w:vAlign w:val="center"/>
          </w:tcPr>
          <w:p w14:paraId="14D2A39A">
            <w:pPr>
              <w:widowControl/>
              <w:autoSpaceDE w:val="0"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868045" cy="778510"/>
                  <wp:effectExtent l="0" t="0" r="635" b="13970"/>
                  <wp:docPr id="34" name="图片 34" descr="renwu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renwu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055" r="10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77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3B8F20">
      <w:pPr>
        <w:widowControl/>
        <w:autoSpaceDE w:val="0"/>
        <w:spacing w:line="300" w:lineRule="auto"/>
        <w:ind w:firstLine="422" w:firstLineChars="200"/>
        <w:jc w:val="center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</w:pPr>
    </w:p>
    <w:p w14:paraId="084A5DD7">
      <w:pPr>
        <w:widowControl/>
        <w:autoSpaceDE w:val="0"/>
        <w:spacing w:line="300" w:lineRule="auto"/>
        <w:jc w:val="both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</w:pPr>
      <w:r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  <w:t xml:space="preserve">Tab.4 </w:t>
      </w:r>
      <w:r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  <w:t>Block-Entropy Heatmap</w:t>
      </w:r>
    </w:p>
    <w:tbl>
      <w:tblPr>
        <w:tblStyle w:val="10"/>
        <w:tblW w:w="4986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7"/>
        <w:gridCol w:w="1708"/>
        <w:gridCol w:w="1038"/>
        <w:gridCol w:w="1761"/>
        <w:gridCol w:w="1038"/>
        <w:gridCol w:w="1836"/>
      </w:tblGrid>
      <w:tr w14:paraId="0F04FE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7" w:hRule="atLeast"/>
          <w:jc w:val="center"/>
        </w:trPr>
        <w:tc>
          <w:tcPr>
            <w:tcW w:w="657" w:type="pct"/>
            <w:vAlign w:val="center"/>
          </w:tcPr>
          <w:p w14:paraId="27FEB6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t>Sesshū Tōyō's Hanging Scroll Exemplar</w:t>
            </w:r>
          </w:p>
        </w:tc>
        <w:tc>
          <w:tcPr>
            <w:tcW w:w="1004" w:type="pct"/>
            <w:vAlign w:val="center"/>
          </w:tcPr>
          <w:p w14:paraId="71B026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 w:val="0"/>
                <w:color w:val="auto"/>
                <w:szCs w:val="21"/>
                <w:shd w:val="clear" w:color="auto" w:fill="FFFFFF"/>
              </w:rPr>
              <w:t>Heatmap</w:t>
            </w:r>
          </w:p>
        </w:tc>
        <w:tc>
          <w:tcPr>
            <w:tcW w:w="611" w:type="pct"/>
            <w:shd w:val="clear" w:color="auto" w:fill="auto"/>
            <w:vAlign w:val="center"/>
          </w:tcPr>
          <w:p w14:paraId="0DBA81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 w:val="0"/>
                <w:color w:val="auto"/>
                <w:szCs w:val="21"/>
                <w:shd w:val="clear" w:color="auto" w:fill="FFFFFF"/>
              </w:rPr>
              <w:t>Liang Kai's Hanging Scroll Exemplar</w:t>
            </w:r>
          </w:p>
        </w:tc>
        <w:tc>
          <w:tcPr>
            <w:tcW w:w="1035" w:type="pct"/>
            <w:shd w:val="clear" w:color="auto" w:fill="auto"/>
            <w:vAlign w:val="center"/>
          </w:tcPr>
          <w:p w14:paraId="47169F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 w:val="0"/>
                <w:color w:val="auto"/>
                <w:szCs w:val="21"/>
                <w:shd w:val="clear" w:color="auto" w:fill="FFFFFF"/>
              </w:rPr>
              <w:t>Heatmap</w:t>
            </w:r>
          </w:p>
        </w:tc>
        <w:tc>
          <w:tcPr>
            <w:tcW w:w="611" w:type="pct"/>
            <w:shd w:val="clear" w:color="auto" w:fill="auto"/>
            <w:vAlign w:val="center"/>
          </w:tcPr>
          <w:p w14:paraId="4A0466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 w:val="0"/>
                <w:color w:val="auto"/>
                <w:szCs w:val="21"/>
                <w:shd w:val="clear" w:color="auto" w:fill="FFFFFF"/>
                <w:lang w:eastAsia="zh-CN"/>
              </w:rPr>
              <w:t>Muqi</w:t>
            </w:r>
            <w:r>
              <w:rPr>
                <w:rStyle w:val="12"/>
                <w:rFonts w:hint="default" w:ascii="Times New Roman" w:hAnsi="Times New Roman" w:eastAsia="Segoe UI" w:cs="Times New Roman"/>
                <w:b w:val="0"/>
                <w:color w:val="auto"/>
                <w:szCs w:val="21"/>
                <w:shd w:val="clear" w:color="auto" w:fill="FFFFFF"/>
              </w:rPr>
              <w:t>'s Hanging Scroll Exemplar</w:t>
            </w:r>
          </w:p>
        </w:tc>
        <w:tc>
          <w:tcPr>
            <w:tcW w:w="1079" w:type="pct"/>
            <w:shd w:val="clear" w:color="auto" w:fill="auto"/>
            <w:vAlign w:val="center"/>
          </w:tcPr>
          <w:p w14:paraId="25D59D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 w:val="0"/>
                <w:color w:val="auto"/>
                <w:szCs w:val="21"/>
                <w:shd w:val="clear" w:color="auto" w:fill="FFFFFF"/>
              </w:rPr>
              <w:t>Heatmap</w:t>
            </w:r>
          </w:p>
        </w:tc>
      </w:tr>
      <w:tr w14:paraId="75D146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1" w:hRule="atLeast"/>
          <w:jc w:val="center"/>
        </w:trPr>
        <w:tc>
          <w:tcPr>
            <w:tcW w:w="657" w:type="pct"/>
            <w:vAlign w:val="center"/>
          </w:tcPr>
          <w:p w14:paraId="4DB6358D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490855" cy="1221740"/>
                  <wp:effectExtent l="0" t="0" r="12065" b="12700"/>
                  <wp:docPr id="27" name="图片 27" descr="出山釈迦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出山釈迦図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855" cy="122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4" w:type="pct"/>
            <w:vAlign w:val="center"/>
          </w:tcPr>
          <w:p w14:paraId="62314AAC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057910" cy="854710"/>
                  <wp:effectExtent l="0" t="0" r="8890" b="13970"/>
                  <wp:docPr id="49" name="图片 49" descr="出山釈迦図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出山釈迦図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10" cy="85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" w:type="pct"/>
            <w:shd w:val="clear" w:color="auto" w:fill="auto"/>
            <w:vAlign w:val="center"/>
          </w:tcPr>
          <w:p w14:paraId="180A8A45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521335" cy="1273175"/>
                  <wp:effectExtent l="0" t="0" r="12065" b="6985"/>
                  <wp:docPr id="77" name="图片 77" descr="普化振铃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普化振铃图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335" cy="127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5" w:type="pct"/>
            <w:shd w:val="clear" w:color="auto" w:fill="auto"/>
            <w:vAlign w:val="center"/>
          </w:tcPr>
          <w:p w14:paraId="67672E1D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112520" cy="895985"/>
                  <wp:effectExtent l="0" t="0" r="0" b="3175"/>
                  <wp:docPr id="78" name="图片 78" descr="普化振铃图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普化振铃图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67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20" cy="89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" w:type="pct"/>
            <w:shd w:val="clear" w:color="auto" w:fill="auto"/>
            <w:vAlign w:val="center"/>
          </w:tcPr>
          <w:p w14:paraId="7C60FF73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457835" cy="1266825"/>
                  <wp:effectExtent l="0" t="0" r="14605" b="13335"/>
                  <wp:docPr id="85" name="图片 85" descr="47_南宋_牧溪_丰干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47_南宋_牧溪_丰干图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83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pct"/>
            <w:shd w:val="clear" w:color="auto" w:fill="auto"/>
            <w:vAlign w:val="center"/>
          </w:tcPr>
          <w:p w14:paraId="3034D4B7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133475" cy="883285"/>
                  <wp:effectExtent l="0" t="0" r="9525" b="635"/>
                  <wp:docPr id="86" name="图片 86" descr="47_南宋_牧溪_丰干图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47_南宋_牧溪_丰干图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531" t="39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23AC7">
      <w:pPr>
        <w:widowControl/>
        <w:spacing w:line="300" w:lineRule="auto"/>
        <w:jc w:val="center"/>
        <w:rPr>
          <w:rFonts w:hint="default" w:ascii="Times New Roman" w:hAnsi="Times New Roman" w:eastAsia="Segoe UI" w:cs="Times New Roman"/>
          <w:color w:val="auto"/>
          <w:szCs w:val="21"/>
          <w:shd w:val="clear" w:color="auto" w:fill="FFFFFF"/>
        </w:rPr>
      </w:pPr>
    </w:p>
    <w:p w14:paraId="19E6416A">
      <w:pPr>
        <w:widowControl/>
        <w:spacing w:line="300" w:lineRule="auto"/>
        <w:jc w:val="both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</w:pPr>
      <w:r>
        <w:rPr>
          <w:rFonts w:hint="default" w:ascii="Times New Roman" w:hAnsi="Times New Roman" w:eastAsia="Segoe UI" w:cs="Times New Roman"/>
          <w:color w:val="auto"/>
          <w:szCs w:val="21"/>
          <w:shd w:val="clear" w:color="auto" w:fill="FFFFFF"/>
        </w:rPr>
        <w:t> </w:t>
      </w:r>
      <w:r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  <w:t>Tab</w:t>
      </w:r>
      <w:r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  <w:t>.</w:t>
      </w:r>
      <w:r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  <w:t>5 Block-Mean Values by Sample</w:t>
      </w:r>
      <w:r>
        <w:rPr>
          <w:rFonts w:hint="default" w:ascii="Times New Roman" w:hAnsi="Times New Roman" w:eastAsia="Segoe UI" w:cs="Times New Roman"/>
          <w:color w:val="auto"/>
          <w:szCs w:val="21"/>
          <w:shd w:val="clear" w:color="auto" w:fill="FFFFFF"/>
        </w:rPr>
        <w:br w:type="textWrapping"/>
      </w:r>
      <w:r>
        <w:rPr>
          <w:rStyle w:val="14"/>
          <w:rFonts w:hint="default" w:ascii="Times New Roman" w:hAnsi="Times New Roman" w:eastAsia="Segoe UI" w:cs="Times New Roman"/>
          <w:color w:val="auto"/>
          <w:sz w:val="19"/>
          <w:szCs w:val="19"/>
          <w:shd w:val="clear" w:color="auto" w:fill="FFFFFF"/>
        </w:rPr>
        <w:t>(Subtitle: Yellow = high-entropy regions; Orange= peak entropy)</w:t>
      </w:r>
    </w:p>
    <w:tbl>
      <w:tblPr>
        <w:tblStyle w:val="9"/>
        <w:tblW w:w="5109" w:type="pct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1"/>
        <w:gridCol w:w="1425"/>
        <w:gridCol w:w="1405"/>
        <w:gridCol w:w="1405"/>
        <w:gridCol w:w="1378"/>
        <w:gridCol w:w="1432"/>
        <w:gridCol w:w="1392"/>
      </w:tblGrid>
      <w:tr w14:paraId="07C604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atLeast"/>
          <w:jc w:val="center"/>
        </w:trPr>
        <w:tc>
          <w:tcPr>
            <w:tcW w:w="5000" w:type="pct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16842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 Sesshū Tōyō: Hanging Scroll Figure Painting (Cohort A1)</w:t>
            </w:r>
          </w:p>
        </w:tc>
      </w:tr>
      <w:tr w14:paraId="6D1B97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2AF6C5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V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EDB54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F35C9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D6FCC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04F6A2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04C599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B9779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</w:tr>
      <w:tr w14:paraId="206FF8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683AE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4C883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5.330965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B7B5C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5.491103571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6A49F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5.319365429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48FBE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5.288063214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98222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5.243429286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063D1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5.491784786</w:t>
            </w:r>
          </w:p>
        </w:tc>
      </w:tr>
      <w:tr w14:paraId="44DF99F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02AD4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4BA7C5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5.415453929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E3EB9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5.522857429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475B41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5.587036214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2E68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5.787634429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086DF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5.523223429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413261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5.761788786</w:t>
            </w:r>
          </w:p>
        </w:tc>
      </w:tr>
      <w:tr w14:paraId="6D8488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12383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A8844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5.634409857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8C93C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5.785595857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1B286C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6.265779143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8C997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6.184218357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8D8A8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5.815292929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AD30C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5.692836643</w:t>
            </w:r>
          </w:p>
        </w:tc>
      </w:tr>
      <w:tr w14:paraId="6D0FD0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07974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E775C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5.458724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42DC3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6.056173429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4ABACD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6.289660857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B6C74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6.134526786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0AB5FB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6.300679857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026EBB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5.845165786</w:t>
            </w:r>
          </w:p>
        </w:tc>
      </w:tr>
      <w:tr w14:paraId="5F878D4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2BA6F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55E57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6.0041205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5F58ED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6.303179857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E822F" w:themeFill="accent2"/>
            <w:noWrap/>
            <w:vAlign w:val="center"/>
          </w:tcPr>
          <w:p w14:paraId="71ACE8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6.5816925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116CE2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6.232976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1931D9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6.437443571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286902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6.364609429</w:t>
            </w:r>
          </w:p>
        </w:tc>
      </w:tr>
      <w:tr w14:paraId="757A807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E4433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49743F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5.7755145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0BA940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6.073829571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770CDE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6.238960786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43B6BE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6.436237429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4AC7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6.202503571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796F6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6.067524143</w:t>
            </w:r>
          </w:p>
        </w:tc>
      </w:tr>
      <w:tr w14:paraId="2854F9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5000" w:type="pct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79EF6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Liang Kai: Hanging Scroll Figure Painting (Cohort B1)</w:t>
            </w:r>
          </w:p>
        </w:tc>
      </w:tr>
      <w:tr w14:paraId="5EF689D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EF74F0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V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A066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48D54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CDE47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663E5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1773D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67AC5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</w:tr>
      <w:tr w14:paraId="0CF0D88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31424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6D593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5.538029952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A8123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5.519564524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74285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5.563975381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15EC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5.55342619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A1F42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5.449923143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C3C36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5.45827419</w:t>
            </w:r>
          </w:p>
        </w:tc>
      </w:tr>
      <w:tr w14:paraId="708CD2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EAE5D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256F6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5.413822905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D40B0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5.522493286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5BAE8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5.505671905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6BF0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5.565569667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DF393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5.477313524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46923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5.38050181</w:t>
            </w:r>
          </w:p>
        </w:tc>
      </w:tr>
      <w:tr w14:paraId="7CA171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562B5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6D24B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5.586605571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B78D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5.704703762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8C4EF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5.88931619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615FD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5.679494762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4AB33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5.538036429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6D536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5.353863476</w:t>
            </w:r>
          </w:p>
        </w:tc>
      </w:tr>
      <w:tr w14:paraId="3EC2A05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87FFC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0FFFD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5.858576619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37BA7E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6.139633048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088625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6.056291095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1D4B8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6.159709667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754AC5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5.967844667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82A3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5.493812048</w:t>
            </w:r>
          </w:p>
        </w:tc>
      </w:tr>
      <w:tr w14:paraId="17506A5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B8F38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6709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5.756172905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1BE02F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6.058608333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E822F" w:themeFill="accent2"/>
            <w:vAlign w:val="center"/>
          </w:tcPr>
          <w:p w14:paraId="0278D0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6.315659238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6FD13D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6.284803238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493761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6.062931571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C97D1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5.661157905</w:t>
            </w:r>
          </w:p>
        </w:tc>
      </w:tr>
      <w:tr w14:paraId="443E0A3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30B84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BF89B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5.795939714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B741C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5.899465095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7087BE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6.00866719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229DF9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5.919443143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17B90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5.791311857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60AF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5.743912</w:t>
            </w:r>
          </w:p>
        </w:tc>
      </w:tr>
      <w:tr w14:paraId="599CAB2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5000" w:type="pct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B1A43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color w:val="auto"/>
                <w:szCs w:val="21"/>
                <w:shd w:val="clear" w:color="auto" w:fill="FFFFFF"/>
                <w:lang w:eastAsia="zh-CN"/>
              </w:rPr>
              <w:t>Muqi</w:t>
            </w: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: Hanging Scroll Figure Painting (Cohort C1)</w:t>
            </w:r>
          </w:p>
        </w:tc>
      </w:tr>
      <w:tr w14:paraId="3A9BDDB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A5F5B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V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7423C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3191D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58D87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18699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3CC83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7EDD8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</w:tr>
      <w:tr w14:paraId="7E8182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896B2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85017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5.807024429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3A7D5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5.921940786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8A92C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6.082036071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D1F39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6.071436786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1E600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5.882149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FA0FF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5.9294845</w:t>
            </w:r>
          </w:p>
        </w:tc>
      </w:tr>
      <w:tr w14:paraId="23BCBB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96E04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BBE2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5.897281643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EDA01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6.087619143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C7A59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6.108795357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3CB96D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6.133173071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0B42B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5.743580429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B0040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5.726617286</w:t>
            </w:r>
          </w:p>
        </w:tc>
      </w:tr>
      <w:tr w14:paraId="4A42391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A63BB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2B66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5.9166605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168B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6.005331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EFDE4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5.9539795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D39C8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5.833915643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CD9AD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5.838683143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5EF59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5.805301929</w:t>
            </w:r>
          </w:p>
        </w:tc>
      </w:tr>
      <w:tr w14:paraId="72E324F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994F7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12F45D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6.140942857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3A0B2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6.086466643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06F828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6.274420429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792C3D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6.219081929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3C1C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6.120742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A30F2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5.883303429</w:t>
            </w:r>
          </w:p>
        </w:tc>
      </w:tr>
      <w:tr w14:paraId="540E01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F0EEA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4A3512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6.131446786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71247F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6.291227429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E822F" w:themeFill="accent2"/>
            <w:vAlign w:val="center"/>
          </w:tcPr>
          <w:p w14:paraId="20484D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6.556164214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10DA48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6.378352929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21262E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6.234733643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C5EC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6.004654429</w:t>
            </w:r>
          </w:p>
        </w:tc>
      </w:tr>
      <w:tr w14:paraId="6C6E16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865FF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BF9BA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6.111548071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6666A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5.999055071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218C9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6.1227145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1BF4E1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6.236287786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8253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5.9027315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C4BC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5.839388214</w:t>
            </w:r>
          </w:p>
        </w:tc>
      </w:tr>
    </w:tbl>
    <w:p w14:paraId="3FBE851F">
      <w:pPr>
        <w:widowControl/>
        <w:spacing w:line="300" w:lineRule="auto"/>
        <w:jc w:val="center"/>
        <w:rPr>
          <w:rFonts w:hint="default" w:ascii="Times New Roman" w:hAnsi="Times New Roman" w:eastAsia="Segoe UI" w:cs="Times New Roman"/>
          <w:b/>
          <w:bCs/>
          <w:color w:val="auto"/>
          <w:szCs w:val="21"/>
          <w:shd w:val="clear" w:color="auto" w:fill="FFFFFF"/>
        </w:rPr>
      </w:pPr>
    </w:p>
    <w:p w14:paraId="049F0076">
      <w:pPr>
        <w:widowControl/>
        <w:spacing w:line="300" w:lineRule="auto"/>
        <w:jc w:val="both"/>
        <w:rPr>
          <w:rFonts w:hint="default" w:ascii="Times New Roman" w:hAnsi="Times New Roman" w:eastAsia="Segoe UI" w:cs="Times New Roman"/>
          <w:b/>
          <w:bCs/>
          <w:color w:val="auto"/>
          <w:szCs w:val="21"/>
          <w:shd w:val="clear" w:color="auto" w:fill="FFFFFF"/>
        </w:rPr>
      </w:pPr>
      <w:r>
        <w:rPr>
          <w:rFonts w:hint="default" w:ascii="Times New Roman" w:hAnsi="Times New Roman" w:eastAsia="Segoe UI" w:cs="Times New Roman"/>
          <w:b/>
          <w:bCs/>
          <w:color w:val="auto"/>
          <w:szCs w:val="21"/>
          <w:shd w:val="clear" w:color="auto" w:fill="FFFFFF"/>
        </w:rPr>
        <w:t>Tab.6 Quartile Distribution of Block Means</w:t>
      </w:r>
    </w:p>
    <w:tbl>
      <w:tblPr>
        <w:tblStyle w:val="10"/>
        <w:tblW w:w="4997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2"/>
        <w:gridCol w:w="1507"/>
        <w:gridCol w:w="1507"/>
        <w:gridCol w:w="1507"/>
        <w:gridCol w:w="1507"/>
        <w:gridCol w:w="1507"/>
      </w:tblGrid>
      <w:tr w14:paraId="271377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6" w:type="pct"/>
            <w:vAlign w:val="center"/>
          </w:tcPr>
          <w:p w14:paraId="62E16C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Cohort</w:t>
            </w:r>
          </w:p>
        </w:tc>
        <w:tc>
          <w:tcPr>
            <w:tcW w:w="884" w:type="pct"/>
            <w:vAlign w:val="center"/>
          </w:tcPr>
          <w:p w14:paraId="7CFF2A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Min</w:t>
            </w:r>
          </w:p>
        </w:tc>
        <w:tc>
          <w:tcPr>
            <w:tcW w:w="884" w:type="pct"/>
            <w:vAlign w:val="center"/>
          </w:tcPr>
          <w:p w14:paraId="6415EB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Q1 (25th Percentile)</w:t>
            </w:r>
          </w:p>
        </w:tc>
        <w:tc>
          <w:tcPr>
            <w:tcW w:w="884" w:type="pct"/>
            <w:vAlign w:val="center"/>
          </w:tcPr>
          <w:p w14:paraId="37FDF1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Median (Q2)</w:t>
            </w:r>
          </w:p>
        </w:tc>
        <w:tc>
          <w:tcPr>
            <w:tcW w:w="884" w:type="pct"/>
            <w:vAlign w:val="center"/>
          </w:tcPr>
          <w:p w14:paraId="24353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Q3 (75th Percentile)</w:t>
            </w:r>
          </w:p>
        </w:tc>
        <w:tc>
          <w:tcPr>
            <w:tcW w:w="884" w:type="pct"/>
            <w:vAlign w:val="center"/>
          </w:tcPr>
          <w:p w14:paraId="2860DD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Max</w:t>
            </w:r>
          </w:p>
        </w:tc>
      </w:tr>
      <w:tr w14:paraId="29978A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6" w:type="pct"/>
          </w:tcPr>
          <w:p w14:paraId="30CBE3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A1</w:t>
            </w:r>
          </w:p>
        </w:tc>
        <w:tc>
          <w:tcPr>
            <w:tcW w:w="884" w:type="pct"/>
            <w:shd w:val="clear" w:color="auto" w:fill="FFFFFF"/>
            <w:vAlign w:val="center"/>
          </w:tcPr>
          <w:p w14:paraId="18E575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5.243429286</w:t>
            </w:r>
          </w:p>
        </w:tc>
        <w:tc>
          <w:tcPr>
            <w:tcW w:w="884" w:type="pct"/>
          </w:tcPr>
          <w:p w14:paraId="35D13B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5.522857429</w:t>
            </w:r>
          </w:p>
        </w:tc>
        <w:tc>
          <w:tcPr>
            <w:tcW w:w="884" w:type="pct"/>
          </w:tcPr>
          <w:p w14:paraId="36F4B4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5.815292929</w:t>
            </w:r>
          </w:p>
        </w:tc>
        <w:tc>
          <w:tcPr>
            <w:tcW w:w="884" w:type="pct"/>
          </w:tcPr>
          <w:p w14:paraId="64C66E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6.232976</w:t>
            </w:r>
          </w:p>
        </w:tc>
        <w:tc>
          <w:tcPr>
            <w:tcW w:w="884" w:type="pct"/>
          </w:tcPr>
          <w:p w14:paraId="2B8F0A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6.5816925</w:t>
            </w:r>
          </w:p>
        </w:tc>
      </w:tr>
      <w:tr w14:paraId="0E49DC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6" w:type="pct"/>
          </w:tcPr>
          <w:p w14:paraId="35B472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B1</w:t>
            </w:r>
          </w:p>
        </w:tc>
        <w:tc>
          <w:tcPr>
            <w:tcW w:w="884" w:type="pct"/>
          </w:tcPr>
          <w:p w14:paraId="669784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5.353863476</w:t>
            </w:r>
          </w:p>
        </w:tc>
        <w:tc>
          <w:tcPr>
            <w:tcW w:w="884" w:type="pct"/>
          </w:tcPr>
          <w:p w14:paraId="5DBF99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5.519564524</w:t>
            </w:r>
          </w:p>
        </w:tc>
        <w:tc>
          <w:tcPr>
            <w:tcW w:w="884" w:type="pct"/>
          </w:tcPr>
          <w:p w14:paraId="1A7BDE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5.679494762</w:t>
            </w:r>
          </w:p>
        </w:tc>
        <w:tc>
          <w:tcPr>
            <w:tcW w:w="884" w:type="pct"/>
          </w:tcPr>
          <w:p w14:paraId="1D2436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5.919443143</w:t>
            </w:r>
          </w:p>
        </w:tc>
        <w:tc>
          <w:tcPr>
            <w:tcW w:w="884" w:type="pct"/>
          </w:tcPr>
          <w:p w14:paraId="1151E8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6.315659238</w:t>
            </w:r>
          </w:p>
        </w:tc>
      </w:tr>
      <w:tr w14:paraId="2E9E7E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6" w:type="pct"/>
          </w:tcPr>
          <w:p w14:paraId="4294E8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C1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65AAA2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5.726617286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5E26C9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5.883303429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111A93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6.005331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438FDD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6.131446786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011F73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6.556164214</w:t>
            </w:r>
          </w:p>
        </w:tc>
      </w:tr>
    </w:tbl>
    <w:p w14:paraId="52DB95EA">
      <w:pPr>
        <w:widowControl/>
        <w:spacing w:line="300" w:lineRule="auto"/>
        <w:jc w:val="center"/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</w:pPr>
    </w:p>
    <w:p w14:paraId="148C8C55">
      <w:pPr>
        <w:widowControl/>
        <w:spacing w:line="300" w:lineRule="auto"/>
        <w:jc w:val="both"/>
        <w:rPr>
          <w:rFonts w:hint="default" w:ascii="Times New Roman" w:hAnsi="Times New Roman" w:eastAsia="Segoe UI" w:cs="Times New Roman"/>
          <w:b/>
          <w:bCs/>
          <w:color w:val="auto"/>
          <w:szCs w:val="21"/>
          <w:shd w:val="clear" w:color="auto" w:fill="FFFFFF"/>
        </w:rPr>
      </w:pPr>
      <w:r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  <w:t>Tab</w:t>
      </w:r>
      <w:r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  <w:t>.</w:t>
      </w:r>
      <w:r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  <w:t>7 Block-Mean Visualizations</w:t>
      </w:r>
    </w:p>
    <w:tbl>
      <w:tblPr>
        <w:tblStyle w:val="10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96"/>
        <w:gridCol w:w="2907"/>
        <w:gridCol w:w="2819"/>
      </w:tblGrid>
      <w:tr w14:paraId="743CC4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6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F062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Sesshū Tōyō</w:t>
            </w:r>
            <w:r>
              <w:rPr>
                <w:rFonts w:hint="eastAsia" w:ascii="Times New Roman" w:hAnsi="Times New Roman" w:eastAsia="宋体" w:cs="Times New Roman"/>
                <w:b/>
                <w:bCs/>
                <w:color w:val="auto"/>
                <w:szCs w:val="21"/>
                <w:shd w:val="clear" w:color="auto" w:fill="FFFFFF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(A1)</w:t>
            </w:r>
          </w:p>
        </w:tc>
        <w:tc>
          <w:tcPr>
            <w:tcW w:w="170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F6D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Liang Kai</w:t>
            </w:r>
            <w:r>
              <w:rPr>
                <w:rFonts w:hint="eastAsia" w:ascii="Times New Roman" w:hAnsi="Times New Roman" w:eastAsia="宋体" w:cs="Times New Roman"/>
                <w:b/>
                <w:bCs/>
                <w:color w:val="auto"/>
                <w:szCs w:val="21"/>
                <w:shd w:val="clear" w:color="auto" w:fill="FFFFFF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(B1)</w:t>
            </w:r>
          </w:p>
        </w:tc>
        <w:tc>
          <w:tcPr>
            <w:tcW w:w="165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38AC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color w:val="auto"/>
                <w:szCs w:val="21"/>
                <w:shd w:val="clear" w:color="auto" w:fill="FFFFFF"/>
                <w:lang w:eastAsia="zh-CN"/>
              </w:rPr>
              <w:t>Muqi</w:t>
            </w:r>
            <w:r>
              <w:rPr>
                <w:rFonts w:hint="eastAsia" w:ascii="Times New Roman" w:hAnsi="Times New Roman" w:eastAsia="宋体" w:cs="Times New Roman"/>
                <w:b/>
                <w:bCs/>
                <w:color w:val="auto"/>
                <w:szCs w:val="21"/>
                <w:shd w:val="clear" w:color="auto" w:fill="FFFFFF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eastAsia="Segoe UI" w:cs="Times New Roman"/>
                <w:b/>
                <w:bCs/>
                <w:color w:val="auto"/>
                <w:szCs w:val="21"/>
                <w:shd w:val="clear" w:color="auto" w:fill="FFFFFF"/>
              </w:rPr>
              <w:t>(C1)</w:t>
            </w:r>
          </w:p>
        </w:tc>
      </w:tr>
      <w:tr w14:paraId="39FF68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5" w:hRule="atLeast"/>
        </w:trPr>
        <w:tc>
          <w:tcPr>
            <w:tcW w:w="164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4AF4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963295" cy="1493520"/>
                  <wp:effectExtent l="0" t="0" r="12065" b="0"/>
                  <wp:docPr id="11" name="图片 11" descr="7b0a202020202266696c746572223a202230220a7d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7b0a202020202266696c746572223a202230220a7d0a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9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8963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981075" cy="1510665"/>
                  <wp:effectExtent l="0" t="0" r="9525" b="13335"/>
                  <wp:docPr id="14" name="图片 14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B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C51D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027430" cy="1522730"/>
                  <wp:effectExtent l="0" t="0" r="8890" b="1270"/>
                  <wp:docPr id="15" name="图片 15" descr="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3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974030">
      <w:pPr>
        <w:widowControl/>
        <w:wordWrap w:val="0"/>
        <w:autoSpaceDE w:val="0"/>
        <w:spacing w:line="300" w:lineRule="auto"/>
        <w:ind w:firstLine="420" w:firstLineChars="200"/>
        <w:jc w:val="left"/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</w:pPr>
    </w:p>
    <w:p w14:paraId="164A91F5">
      <w:pPr>
        <w:widowControl/>
        <w:wordWrap w:val="0"/>
        <w:autoSpaceDE w:val="0"/>
        <w:spacing w:line="300" w:lineRule="auto"/>
        <w:jc w:val="left"/>
        <w:rPr>
          <w:rFonts w:hint="default" w:ascii="Times New Roman" w:hAnsi="Times New Roman" w:eastAsia="宋体" w:cs="Times New Roman"/>
          <w:color w:val="auto"/>
          <w:szCs w:val="21"/>
          <w:lang w:eastAsia="zh-CN"/>
        </w:rPr>
      </w:pPr>
      <w:r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  <w:t xml:space="preserve">Table 8. Comparative Entropy Analysis: Sesshū Tōyō, Liang Kai, and </w:t>
      </w:r>
      <w:r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  <w:lang w:eastAsia="zh-CN"/>
        </w:rPr>
        <w:t>Muqi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"/>
        <w:gridCol w:w="2690"/>
        <w:gridCol w:w="2493"/>
        <w:gridCol w:w="2388"/>
      </w:tblGrid>
      <w:tr w14:paraId="295AB3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</w:trPr>
        <w:tc>
          <w:tcPr>
            <w:tcW w:w="951" w:type="dxa"/>
          </w:tcPr>
          <w:p w14:paraId="45CE20EC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</w:p>
        </w:tc>
        <w:tc>
          <w:tcPr>
            <w:tcW w:w="2690" w:type="dxa"/>
          </w:tcPr>
          <w:p w14:paraId="0FD1CB10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Sesshū Tōyō (A1) Analysis</w:t>
            </w:r>
          </w:p>
        </w:tc>
        <w:tc>
          <w:tcPr>
            <w:tcW w:w="2493" w:type="dxa"/>
          </w:tcPr>
          <w:p w14:paraId="737C428C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Liang Kai (B1) Analysis</w:t>
            </w:r>
          </w:p>
        </w:tc>
        <w:tc>
          <w:tcPr>
            <w:tcW w:w="2388" w:type="dxa"/>
          </w:tcPr>
          <w:p w14:paraId="0111F7C3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  <w:lang w:eastAsia="zh-CN"/>
              </w:rPr>
              <w:t>Muqi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 xml:space="preserve"> (C1) Analysis</w:t>
            </w:r>
          </w:p>
        </w:tc>
      </w:tr>
      <w:tr w14:paraId="15C4DC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1" w:type="dxa"/>
          </w:tcPr>
          <w:p w14:paraId="17B48A60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Max block mean</w:t>
            </w:r>
          </w:p>
        </w:tc>
        <w:tc>
          <w:tcPr>
            <w:tcW w:w="2690" w:type="dxa"/>
          </w:tcPr>
          <w:p w14:paraId="042D419C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6.5816925 at V(3,5)</w:t>
            </w:r>
          </w:p>
        </w:tc>
        <w:tc>
          <w:tcPr>
            <w:tcW w:w="2493" w:type="dxa"/>
          </w:tcPr>
          <w:p w14:paraId="000E530A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6.315659238 at V(3,5)</w:t>
            </w:r>
          </w:p>
        </w:tc>
        <w:tc>
          <w:tcPr>
            <w:tcW w:w="2388" w:type="dxa"/>
          </w:tcPr>
          <w:p w14:paraId="40945670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6.556164214 at V(3,5)</w:t>
            </w:r>
          </w:p>
        </w:tc>
      </w:tr>
      <w:tr w14:paraId="129DAD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1" w:type="dxa"/>
          </w:tcPr>
          <w:p w14:paraId="3C3FC1DA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75th percentile</w:t>
            </w:r>
          </w:p>
        </w:tc>
        <w:tc>
          <w:tcPr>
            <w:tcW w:w="2690" w:type="dxa"/>
          </w:tcPr>
          <w:p w14:paraId="74FCACAC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6.232976</w:t>
            </w:r>
          </w:p>
        </w:tc>
        <w:tc>
          <w:tcPr>
            <w:tcW w:w="2493" w:type="dxa"/>
          </w:tcPr>
          <w:p w14:paraId="1C793294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5.919443143</w:t>
            </w:r>
          </w:p>
        </w:tc>
        <w:tc>
          <w:tcPr>
            <w:tcW w:w="2388" w:type="dxa"/>
          </w:tcPr>
          <w:p w14:paraId="70962769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6.131446786</w:t>
            </w:r>
          </w:p>
          <w:p w14:paraId="4B72EA92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</w:p>
        </w:tc>
      </w:tr>
      <w:tr w14:paraId="7F0D2A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1" w:type="dxa"/>
          </w:tcPr>
          <w:p w14:paraId="46196FCB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High-entropy range</w:t>
            </w:r>
          </w:p>
        </w:tc>
        <w:tc>
          <w:tcPr>
            <w:tcW w:w="2690" w:type="dxa"/>
          </w:tcPr>
          <w:p w14:paraId="58E294D6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6.5816925–6.232976</w:t>
            </w:r>
          </w:p>
        </w:tc>
        <w:tc>
          <w:tcPr>
            <w:tcW w:w="2493" w:type="dxa"/>
          </w:tcPr>
          <w:p w14:paraId="0774CAA2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6.315659238–5.919443143</w:t>
            </w:r>
          </w:p>
        </w:tc>
        <w:tc>
          <w:tcPr>
            <w:tcW w:w="2388" w:type="dxa"/>
          </w:tcPr>
          <w:p w14:paraId="268E6A1E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6.556164214–6.131446786</w:t>
            </w:r>
          </w:p>
          <w:p w14:paraId="4089BC64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</w:p>
        </w:tc>
      </w:tr>
      <w:tr w14:paraId="1372E0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1" w:type="dxa"/>
          </w:tcPr>
          <w:p w14:paraId="372C4E8D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High-entropy blocks</w:t>
            </w:r>
          </w:p>
        </w:tc>
        <w:tc>
          <w:tcPr>
            <w:tcW w:w="2690" w:type="dxa"/>
          </w:tcPr>
          <w:p w14:paraId="39CE472C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V(2,5), V(3,3)–V(3,6), V(4,5)–V(4,6), V(5,4)–V(5,5), V(6,5)</w:t>
            </w:r>
          </w:p>
        </w:tc>
        <w:tc>
          <w:tcPr>
            <w:tcW w:w="2493" w:type="dxa"/>
          </w:tcPr>
          <w:p w14:paraId="398D358E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V(2,4)–V(2,5), V(3,4)–V(3,6), V(4,4)–V(4,6), V(5,4)–V(5,5)</w:t>
            </w:r>
          </w:p>
        </w:tc>
        <w:tc>
          <w:tcPr>
            <w:tcW w:w="2388" w:type="dxa"/>
          </w:tcPr>
          <w:p w14:paraId="794C68DE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V(1,4)–V(1,5), V(2,5), V(3,4)–V(3,5), V(4,2), V(4,4)–V(4,6), V(5,5)</w:t>
            </w:r>
          </w:p>
          <w:p w14:paraId="035FF627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</w:p>
        </w:tc>
      </w:tr>
      <w:tr w14:paraId="7C917B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1" w:type="dxa"/>
          </w:tcPr>
          <w:p w14:paraId="390A412B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Distribution pattern</w:t>
            </w:r>
          </w:p>
        </w:tc>
        <w:tc>
          <w:tcPr>
            <w:tcW w:w="2690" w:type="dxa"/>
          </w:tcPr>
          <w:p w14:paraId="5972DE6B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eastAsia" w:ascii="Times New Roman" w:hAnsi="Times New Roman" w:cs="Times New Roman"/>
                <w:color w:val="auto"/>
                <w:szCs w:val="21"/>
              </w:rPr>
              <w:t>★</w:t>
            </w:r>
            <w:r>
              <w:rPr>
                <w:rFonts w:hint="eastAsia" w:ascii="Times New Roman" w:hAnsi="Times New Roman" w:cs="Times New Roman"/>
                <w:color w:val="auto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79% high-entropy blocks in Row 5</w:t>
            </w:r>
          </w:p>
          <w:p w14:paraId="26CB99DF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eastAsia" w:ascii="Times New Roman" w:hAnsi="Times New Roman" w:cs="Times New Roman"/>
                <w:color w:val="auto"/>
                <w:szCs w:val="21"/>
              </w:rPr>
              <w:t>★</w:t>
            </w:r>
            <w:r>
              <w:rPr>
                <w:rFonts w:hint="eastAsia" w:ascii="Times New Roman" w:hAnsi="Times New Roman" w:cs="Times New Roman"/>
                <w:color w:val="auto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Central concentration &gt; lateral zones</w:t>
            </w:r>
          </w:p>
          <w:p w14:paraId="6BDAC22C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eastAsia" w:ascii="Times New Roman" w:hAnsi="Times New Roman" w:cs="Times New Roman"/>
                <w:color w:val="auto"/>
                <w:szCs w:val="21"/>
              </w:rPr>
              <w:t>★</w:t>
            </w:r>
            <w:r>
              <w:rPr>
                <w:rFonts w:hint="eastAsia" w:ascii="Times New Roman" w:hAnsi="Times New Roman" w:cs="Times New Roman"/>
                <w:color w:val="auto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Primary subjects cluster near bottom 1/3 region with central emphasis</w:t>
            </w:r>
          </w:p>
        </w:tc>
        <w:tc>
          <w:tcPr>
            <w:tcW w:w="2493" w:type="dxa"/>
          </w:tcPr>
          <w:p w14:paraId="4257FABC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eastAsia" w:ascii="Times New Roman" w:hAnsi="Times New Roman" w:cs="Times New Roman"/>
                <w:color w:val="auto"/>
                <w:szCs w:val="21"/>
              </w:rPr>
              <w:t>★</w:t>
            </w:r>
            <w:r>
              <w:rPr>
                <w:rFonts w:hint="eastAsia" w:ascii="Times New Roman" w:hAnsi="Times New Roman" w:cs="Times New Roman"/>
                <w:color w:val="auto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62% high-entropy blocks in Rows 4–5</w:t>
            </w:r>
          </w:p>
          <w:p w14:paraId="443AD5BD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eastAsia" w:ascii="Times New Roman" w:hAnsi="Times New Roman" w:cs="Times New Roman"/>
                <w:color w:val="auto"/>
                <w:szCs w:val="21"/>
              </w:rPr>
              <w:t>★</w:t>
            </w:r>
            <w:r>
              <w:rPr>
                <w:rFonts w:hint="eastAsia" w:ascii="Times New Roman" w:hAnsi="Times New Roman" w:cs="Times New Roman"/>
                <w:color w:val="auto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Central dominance &gt; lateral areas</w:t>
            </w:r>
          </w:p>
          <w:p w14:paraId="20268C87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eastAsia" w:ascii="Times New Roman" w:hAnsi="Times New Roman" w:cs="Times New Roman"/>
                <w:color w:val="auto"/>
                <w:szCs w:val="21"/>
              </w:rPr>
              <w:t>★</w:t>
            </w:r>
            <w:r>
              <w:rPr>
                <w:rFonts w:hint="eastAsia" w:ascii="Times New Roman" w:hAnsi="Times New Roman" w:cs="Times New Roman"/>
                <w:color w:val="auto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Subject concentration in bottom 1/2 region with central alignment</w:t>
            </w:r>
          </w:p>
        </w:tc>
        <w:tc>
          <w:tcPr>
            <w:tcW w:w="2388" w:type="dxa"/>
          </w:tcPr>
          <w:p w14:paraId="01E9DADB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eastAsia" w:ascii="Times New Roman" w:hAnsi="Times New Roman" w:cs="Times New Roman"/>
                <w:color w:val="auto"/>
                <w:szCs w:val="21"/>
              </w:rPr>
              <w:t>★</w:t>
            </w:r>
            <w:r>
              <w:rPr>
                <w:rFonts w:hint="eastAsia" w:ascii="Times New Roman" w:hAnsi="Times New Roman" w:cs="Times New Roman"/>
                <w:color w:val="auto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71% high-entropy blocks in Row 5</w:t>
            </w:r>
          </w:p>
          <w:p w14:paraId="037DC5CD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eastAsia" w:ascii="Times New Roman" w:hAnsi="Times New Roman" w:cs="Times New Roman"/>
                <w:color w:val="auto"/>
                <w:szCs w:val="21"/>
              </w:rPr>
              <w:t>★</w:t>
            </w:r>
            <w:r>
              <w:rPr>
                <w:rFonts w:hint="eastAsia" w:ascii="Times New Roman" w:hAnsi="Times New Roman" w:cs="Times New Roman"/>
                <w:color w:val="auto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Left-central prevalence &gt; right zones</w:t>
            </w:r>
          </w:p>
          <w:p w14:paraId="0B19EC78">
            <w:pPr>
              <w:keepNext w:val="0"/>
              <w:keepLines w:val="0"/>
              <w:pageBreakBefore w:val="0"/>
              <w:widowControl/>
              <w:kinsoku/>
              <w:wordWrap w:val="0"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eastAsia" w:ascii="Times New Roman" w:hAnsi="Times New Roman" w:cs="Times New Roman"/>
                <w:color w:val="auto"/>
                <w:szCs w:val="21"/>
              </w:rPr>
              <w:t>★</w:t>
            </w:r>
            <w:r>
              <w:rPr>
                <w:rFonts w:hint="eastAsia" w:ascii="Times New Roman" w:hAnsi="Times New Roman" w:cs="Times New Roman"/>
                <w:color w:val="auto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Subject focus in bottom 1/2 region with left-central bias</w:t>
            </w:r>
          </w:p>
        </w:tc>
      </w:tr>
    </w:tbl>
    <w:p w14:paraId="4F3CE638">
      <w:pPr>
        <w:widowControl/>
        <w:autoSpaceDE w:val="0"/>
        <w:spacing w:line="300" w:lineRule="auto"/>
        <w:jc w:val="center"/>
        <w:rPr>
          <w:rStyle w:val="12"/>
          <w:rFonts w:hint="default" w:ascii="Times New Roman" w:hAnsi="Times New Roman" w:eastAsia="Segoe UI" w:cs="Times New Roman"/>
          <w:bCs/>
          <w:color w:val="auto"/>
          <w:sz w:val="19"/>
          <w:szCs w:val="19"/>
          <w:shd w:val="clear" w:color="auto" w:fill="FFFFFF"/>
        </w:rPr>
      </w:pPr>
    </w:p>
    <w:p w14:paraId="309658E9">
      <w:pPr>
        <w:widowControl/>
        <w:autoSpaceDE w:val="0"/>
        <w:spacing w:line="300" w:lineRule="auto"/>
        <w:jc w:val="both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eastAsia="zh-CN" w:bidi="ar"/>
        </w:rPr>
      </w:pPr>
      <w:r>
        <w:rPr>
          <w:rStyle w:val="12"/>
          <w:rFonts w:hint="default" w:ascii="Times New Roman" w:hAnsi="Times New Roman" w:eastAsia="Segoe UI" w:cs="Times New Roman"/>
          <w:bCs/>
          <w:color w:val="auto"/>
          <w:sz w:val="19"/>
          <w:szCs w:val="19"/>
          <w:shd w:val="clear" w:color="auto" w:fill="FFFFFF"/>
        </w:rPr>
        <w:t>Tab</w:t>
      </w:r>
      <w:r>
        <w:rPr>
          <w:rStyle w:val="12"/>
          <w:rFonts w:hint="default" w:ascii="Times New Roman" w:hAnsi="Times New Roman" w:eastAsia="宋体" w:cs="Times New Roman"/>
          <w:bCs/>
          <w:color w:val="auto"/>
          <w:sz w:val="19"/>
          <w:szCs w:val="19"/>
          <w:shd w:val="clear" w:color="auto" w:fill="FFFFFF"/>
        </w:rPr>
        <w:t>.</w:t>
      </w:r>
      <w:r>
        <w:rPr>
          <w:rStyle w:val="12"/>
          <w:rFonts w:hint="default" w:ascii="Times New Roman" w:hAnsi="Times New Roman" w:eastAsia="Segoe UI" w:cs="Times New Roman"/>
          <w:bCs/>
          <w:color w:val="auto"/>
          <w:sz w:val="19"/>
          <w:szCs w:val="19"/>
          <w:shd w:val="clear" w:color="auto" w:fill="FFFFFF"/>
        </w:rPr>
        <w:t xml:space="preserve">9 Representative Artworks: Sesshū Tōyō, Liang Kai, and </w:t>
      </w:r>
      <w:r>
        <w:rPr>
          <w:rStyle w:val="12"/>
          <w:rFonts w:hint="default" w:ascii="Times New Roman" w:hAnsi="Times New Roman" w:eastAsia="宋体" w:cs="Times New Roman"/>
          <w:bCs/>
          <w:color w:val="auto"/>
          <w:sz w:val="19"/>
          <w:szCs w:val="19"/>
          <w:shd w:val="clear" w:color="auto" w:fill="FFFFFF"/>
          <w:lang w:eastAsia="zh-CN"/>
        </w:rPr>
        <w:t>Muqi</w:t>
      </w:r>
    </w:p>
    <w:tbl>
      <w:tblPr>
        <w:tblStyle w:val="10"/>
        <w:tblW w:w="4486" w:type="pct"/>
        <w:tblInd w:w="40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8"/>
        <w:gridCol w:w="2183"/>
        <w:gridCol w:w="2177"/>
        <w:gridCol w:w="2178"/>
      </w:tblGrid>
      <w:tr w14:paraId="293727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87" w:hRule="atLeast"/>
        </w:trPr>
        <w:tc>
          <w:tcPr>
            <w:tcW w:w="725" w:type="pct"/>
            <w:vAlign w:val="center"/>
          </w:tcPr>
          <w:p w14:paraId="12DDC2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A1</w:t>
            </w:r>
          </w:p>
          <w:p w14:paraId="606F28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Sesshū Tōyō Exemplars</w:t>
            </w:r>
          </w:p>
        </w:tc>
        <w:tc>
          <w:tcPr>
            <w:tcW w:w="1427" w:type="pct"/>
            <w:shd w:val="clear" w:color="auto" w:fill="FFFFFF"/>
          </w:tcPr>
          <w:p w14:paraId="238085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</w:rPr>
              <w:drawing>
                <wp:inline distT="0" distB="0" distL="114300" distR="114300">
                  <wp:extent cx="1181735" cy="2287905"/>
                  <wp:effectExtent l="0" t="0" r="6985" b="13335"/>
                  <wp:docPr id="8" name="图片 8" descr="神農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神農図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735" cy="228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《神农图》</w:t>
            </w:r>
          </w:p>
          <w:p w14:paraId="149E99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Divine Farmer (Shennong)</w:t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br w:type="textWrapping"/>
            </w:r>
            <w:r>
              <w:rPr>
                <w:rStyle w:val="14"/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t>(Cultural Note: Shennong, mythical inventor of agriculture)</w:t>
            </w:r>
          </w:p>
        </w:tc>
        <w:tc>
          <w:tcPr>
            <w:tcW w:w="1423" w:type="pct"/>
          </w:tcPr>
          <w:p w14:paraId="237103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</w:rPr>
              <w:drawing>
                <wp:inline distT="0" distB="0" distL="114300" distR="114300">
                  <wp:extent cx="1051560" cy="2281555"/>
                  <wp:effectExtent l="0" t="0" r="0" b="4445"/>
                  <wp:docPr id="16" name="图片 16" descr="杜子美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杜子美图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228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《杜子美图》</w:t>
            </w:r>
          </w:p>
          <w:p w14:paraId="41B260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Poet Du Fu</w:t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br w:type="textWrapping"/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t>(Historical Context: Du Fu (712-770), Tang dynasty poet)</w:t>
            </w:r>
          </w:p>
        </w:tc>
        <w:tc>
          <w:tcPr>
            <w:tcW w:w="1423" w:type="pct"/>
          </w:tcPr>
          <w:p w14:paraId="73343C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</w:rPr>
              <w:drawing>
                <wp:inline distT="0" distB="0" distL="114300" distR="114300">
                  <wp:extent cx="1217295" cy="2287270"/>
                  <wp:effectExtent l="0" t="0" r="1905" b="13970"/>
                  <wp:docPr id="24" name="图片 24" descr="寿星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寿星图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295" cy="2287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《寿星图》</w:t>
            </w:r>
          </w:p>
          <w:p w14:paraId="35F23D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Longevity Deity (Shouxing)</w:t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br w:type="textWrapping"/>
            </w:r>
            <w:r>
              <w:rPr>
                <w:rStyle w:val="14"/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t>(Iconography: Star God of Southern Polar Constellation)</w:t>
            </w:r>
          </w:p>
        </w:tc>
      </w:tr>
      <w:tr w14:paraId="556203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5" w:hRule="atLeast"/>
        </w:trPr>
        <w:tc>
          <w:tcPr>
            <w:tcW w:w="725" w:type="pct"/>
            <w:vAlign w:val="center"/>
          </w:tcPr>
          <w:p w14:paraId="43E1B1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B1</w:t>
            </w:r>
          </w:p>
          <w:p w14:paraId="445DBA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Liang Kai Exemplars</w:t>
            </w:r>
          </w:p>
        </w:tc>
        <w:tc>
          <w:tcPr>
            <w:tcW w:w="1427" w:type="pct"/>
          </w:tcPr>
          <w:p w14:paraId="5ABBA9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</w:rPr>
              <w:drawing>
                <wp:inline distT="0" distB="0" distL="114300" distR="114300">
                  <wp:extent cx="992505" cy="2454910"/>
                  <wp:effectExtent l="0" t="0" r="13335" b="13970"/>
                  <wp:docPr id="5" name="图片 5" descr="布袋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布袋图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505" cy="245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5E03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《布袋图》</w:t>
            </w:r>
          </w:p>
          <w:p w14:paraId="6DB612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Budai Monk</w:t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br w:type="textWrapping"/>
            </w:r>
            <w:r>
              <w:rPr>
                <w:rStyle w:val="14"/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t>(Zen Significance: Laughing Buddha prototype)</w:t>
            </w:r>
          </w:p>
        </w:tc>
        <w:tc>
          <w:tcPr>
            <w:tcW w:w="1423" w:type="pct"/>
          </w:tcPr>
          <w:p w14:paraId="7CF102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</w:rPr>
              <w:drawing>
                <wp:inline distT="0" distB="0" distL="114300" distR="114300">
                  <wp:extent cx="1032510" cy="2378710"/>
                  <wp:effectExtent l="0" t="0" r="3810" b="13970"/>
                  <wp:docPr id="21" name="图片 21" descr="六祖截竹图 东京国立博物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六祖截竹图 东京国立博物馆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237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EBA4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《六祖斫竹图》</w:t>
            </w:r>
          </w:p>
          <w:p w14:paraId="1F0EB3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Sixth Patriarch Cutting Bamboo</w:t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br w:type="textWrapping"/>
            </w:r>
            <w:r>
              <w:rPr>
                <w:rStyle w:val="14"/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t>(Key Scene: Huineng demonstrating sudden enlightenment)</w:t>
            </w:r>
          </w:p>
        </w:tc>
        <w:tc>
          <w:tcPr>
            <w:tcW w:w="1423" w:type="pct"/>
          </w:tcPr>
          <w:p w14:paraId="11F5C7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</w:rPr>
              <w:drawing>
                <wp:inline distT="0" distB="0" distL="114300" distR="114300">
                  <wp:extent cx="970915" cy="2385695"/>
                  <wp:effectExtent l="0" t="0" r="4445" b="6985"/>
                  <wp:docPr id="26" name="图片 26" descr="刘海仙人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刘海仙人图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915" cy="238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F6B5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《刘海仙人图》</w:t>
            </w:r>
          </w:p>
          <w:p w14:paraId="3F986B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Immortal Liu Hai</w:t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br w:type="textWrapping"/>
            </w:r>
            <w:r>
              <w:rPr>
                <w:rStyle w:val="14"/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t>(Daoist Tradition: Coin-dancing toad tamer)</w:t>
            </w:r>
          </w:p>
        </w:tc>
      </w:tr>
      <w:tr w14:paraId="5980D9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5" w:hRule="atLeast"/>
        </w:trPr>
        <w:tc>
          <w:tcPr>
            <w:tcW w:w="725" w:type="pct"/>
            <w:vAlign w:val="center"/>
          </w:tcPr>
          <w:p w14:paraId="2C2BDB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C1</w:t>
            </w:r>
          </w:p>
          <w:p w14:paraId="299EEC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 w:val="19"/>
                <w:szCs w:val="19"/>
                <w:shd w:val="clear" w:color="auto" w:fill="FFFFFF"/>
                <w:lang w:eastAsia="zh-CN"/>
              </w:rPr>
              <w:t>Muqi</w:t>
            </w: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 xml:space="preserve"> Exemplars</w:t>
            </w:r>
          </w:p>
        </w:tc>
        <w:tc>
          <w:tcPr>
            <w:tcW w:w="1427" w:type="pct"/>
            <w:shd w:val="clear" w:color="auto" w:fill="auto"/>
          </w:tcPr>
          <w:p w14:paraId="50E6B9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</w:rPr>
              <w:drawing>
                <wp:inline distT="0" distB="0" distL="114300" distR="114300">
                  <wp:extent cx="981075" cy="2676525"/>
                  <wp:effectExtent l="0" t="0" r="9525" b="5715"/>
                  <wp:docPr id="13" name="图片 13" descr="65_南宋_牧溪_蚬子和尚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65_南宋_牧溪_蚬子和尚图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5B54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《蚬子和尚图》</w:t>
            </w:r>
          </w:p>
          <w:p w14:paraId="50D711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Monk Xianzi (Clam Gatherer)</w:t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br w:type="textWrapping"/>
            </w:r>
            <w:r>
              <w:rPr>
                <w:rStyle w:val="14"/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t>(Zen Folklore: Tang dynasty eccentric monk)</w:t>
            </w:r>
          </w:p>
        </w:tc>
        <w:tc>
          <w:tcPr>
            <w:tcW w:w="1423" w:type="pct"/>
            <w:shd w:val="clear" w:color="auto" w:fill="auto"/>
          </w:tcPr>
          <w:p w14:paraId="65D199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</w:rPr>
              <w:drawing>
                <wp:inline distT="0" distB="0" distL="114300" distR="114300">
                  <wp:extent cx="989965" cy="2656840"/>
                  <wp:effectExtent l="0" t="0" r="635" b="10160"/>
                  <wp:docPr id="31" name="图片 31" descr="45_南宋_牧溪_老子图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45_南宋_牧溪_老子图 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965" cy="265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F86C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《老子图》</w:t>
            </w:r>
          </w:p>
          <w:p w14:paraId="39788B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Laozi</w:t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br w:type="textWrapping"/>
            </w:r>
            <w:r>
              <w:rPr>
                <w:rStyle w:val="14"/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t>(Philosophical Icon: Founder of Daoism)</w:t>
            </w:r>
          </w:p>
        </w:tc>
        <w:tc>
          <w:tcPr>
            <w:tcW w:w="1423" w:type="pct"/>
            <w:shd w:val="clear" w:color="auto" w:fill="auto"/>
          </w:tcPr>
          <w:p w14:paraId="608CBC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</w:rPr>
              <w:drawing>
                <wp:inline distT="0" distB="0" distL="114300" distR="114300">
                  <wp:extent cx="960755" cy="2655570"/>
                  <wp:effectExtent l="0" t="0" r="14605" b="11430"/>
                  <wp:docPr id="32" name="图片 32" descr="47_南宋_牧溪_丰干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47_南宋_牧溪_丰干图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755" cy="265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3829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cs="Times New Roman"/>
                <w:color w:val="auto"/>
                <w:szCs w:val="21"/>
              </w:rPr>
              <w:t>《丰干图》</w:t>
            </w:r>
          </w:p>
          <w:p w14:paraId="0FA8CB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Cs/>
                <w:color w:val="auto"/>
                <w:sz w:val="19"/>
                <w:szCs w:val="19"/>
                <w:shd w:val="clear" w:color="auto" w:fill="FFFFFF"/>
              </w:rPr>
              <w:t>Fenggan</w:t>
            </w:r>
            <w:r>
              <w:rPr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br w:type="textWrapping"/>
            </w:r>
            <w:r>
              <w:rPr>
                <w:rStyle w:val="14"/>
                <w:rFonts w:hint="default" w:ascii="Times New Roman" w:hAnsi="Times New Roman" w:eastAsia="Segoe UI" w:cs="Times New Roman"/>
                <w:color w:val="auto"/>
                <w:sz w:val="19"/>
                <w:szCs w:val="19"/>
                <w:shd w:val="clear" w:color="auto" w:fill="FFFFFF"/>
              </w:rPr>
              <w:t>(Zen Triad: Companion to Hanshan and Shide)</w:t>
            </w:r>
          </w:p>
        </w:tc>
      </w:tr>
    </w:tbl>
    <w:p w14:paraId="54BBF969">
      <w:pPr>
        <w:spacing w:line="300" w:lineRule="auto"/>
        <w:jc w:val="center"/>
        <w:rPr>
          <w:rStyle w:val="15"/>
          <w:rFonts w:hint="default" w:ascii="Times New Roman" w:hAnsi="Times New Roman" w:eastAsia="宋体" w:cs="Times New Roman"/>
          <w:b/>
          <w:bCs/>
          <w:color w:val="auto"/>
        </w:rPr>
      </w:pPr>
    </w:p>
    <w:p w14:paraId="3A2D36F5">
      <w:pPr>
        <w:spacing w:line="300" w:lineRule="auto"/>
        <w:jc w:val="both"/>
        <w:rPr>
          <w:rStyle w:val="15"/>
          <w:rFonts w:hint="default" w:ascii="Times New Roman" w:hAnsi="Times New Roman" w:eastAsia="宋体" w:cs="Times New Roman"/>
          <w:b/>
          <w:bCs/>
          <w:color w:val="auto"/>
        </w:rPr>
      </w:pPr>
      <w:r>
        <w:rPr>
          <w:rStyle w:val="15"/>
          <w:rFonts w:hint="default" w:ascii="Times New Roman" w:hAnsi="Times New Roman" w:eastAsia="宋体" w:cs="Times New Roman"/>
          <w:b/>
          <w:bCs/>
          <w:color w:val="auto"/>
        </w:rPr>
        <w:t>Tab.10  Comparative Cohort Sample</w:t>
      </w:r>
    </w:p>
    <w:tbl>
      <w:tblPr>
        <w:tblStyle w:val="10"/>
        <w:tblpPr w:leftFromText="180" w:rightFromText="180" w:vertAnchor="text" w:tblpX="1" w:tblpY="1"/>
        <w:tblOverlap w:val="never"/>
        <w:tblW w:w="490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4"/>
        <w:gridCol w:w="2007"/>
        <w:gridCol w:w="2400"/>
        <w:gridCol w:w="3016"/>
      </w:tblGrid>
      <w:tr w14:paraId="6A4AAA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9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  <w:tl2br w:val="nil"/>
            </w:tcBorders>
            <w:shd w:val="clear" w:color="auto" w:fill="FFFFFF"/>
            <w:vAlign w:val="center"/>
          </w:tcPr>
          <w:p w14:paraId="73A232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t>No.</w:t>
            </w:r>
          </w:p>
        </w:tc>
        <w:tc>
          <w:tcPr>
            <w:tcW w:w="20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75DFE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Artist</w:t>
            </w:r>
          </w:p>
        </w:tc>
        <w:tc>
          <w:tcPr>
            <w:tcW w:w="24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1CA7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Primary Pictorial Elements</w:t>
            </w:r>
          </w:p>
        </w:tc>
        <w:tc>
          <w:tcPr>
            <w:tcW w:w="3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4DAF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 w:val="0"/>
                <w:color w:val="auto"/>
                <w:szCs w:val="21"/>
                <w:shd w:val="clear" w:color="auto" w:fill="FFFFFF"/>
              </w:rPr>
              <w:t>Representative Exemplars of Hanging Scroll Figure Paintings</w:t>
            </w:r>
          </w:p>
        </w:tc>
      </w:tr>
      <w:tr w14:paraId="7CBD24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7" w:hRule="atLeast"/>
        </w:trPr>
        <w:tc>
          <w:tcPr>
            <w:tcW w:w="5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7D1E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A1</w:t>
            </w:r>
          </w:p>
        </w:tc>
        <w:tc>
          <w:tcPr>
            <w:tcW w:w="11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16D1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Sesshū Tōyō（14）</w:t>
            </w:r>
          </w:p>
        </w:tc>
        <w:tc>
          <w:tcPr>
            <w:tcW w:w="14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6F9F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Figure</w:t>
            </w:r>
          </w:p>
        </w:tc>
        <w:tc>
          <w:tcPr>
            <w:tcW w:w="18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3D10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810260" cy="2014855"/>
                  <wp:effectExtent l="0" t="0" r="12700" b="12065"/>
                  <wp:docPr id="1" name="图片 1" descr="出山釈迦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出山釈迦図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201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8F9F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12" w:hRule="atLeast"/>
        </w:trPr>
        <w:tc>
          <w:tcPr>
            <w:tcW w:w="5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3A05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D1</w:t>
            </w:r>
          </w:p>
        </w:tc>
        <w:tc>
          <w:tcPr>
            <w:tcW w:w="119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EAF8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Liu Songnian（9）</w:t>
            </w:r>
          </w:p>
        </w:tc>
        <w:tc>
          <w:tcPr>
            <w:tcW w:w="14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588E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</w:pPr>
            <w:r>
              <w:rPr>
                <w:rFonts w:hint="default" w:ascii="Times New Roman" w:hAnsi="Times New Roman" w:eastAsia="Segoe UI" w:cs="Times New Roman"/>
                <w:color w:val="auto"/>
                <w:szCs w:val="21"/>
                <w:shd w:val="clear" w:color="auto" w:fill="FFFFFF"/>
              </w:rPr>
              <w:t>Trees, Tables and chairs, Believers, Railings</w:t>
            </w:r>
          </w:p>
        </w:tc>
        <w:tc>
          <w:tcPr>
            <w:tcW w:w="180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7286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5"/>
                <w:rFonts w:hint="default" w:ascii="Times New Roman" w:hAnsi="Times New Roman" w:eastAsia="宋体" w:cs="Times New Roman"/>
                <w:color w:val="auto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0" cy="0"/>
                  <wp:effectExtent l="0" t="0" r="0" b="0"/>
                  <wp:docPr id="87" name="图片 87" descr="罗汉图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罗汉图0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791845" cy="1510665"/>
                  <wp:effectExtent l="0" t="0" r="635" b="13335"/>
                  <wp:docPr id="88" name="图片 88" descr="罗汉图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罗汉图0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C920AD">
      <w:pPr>
        <w:widowControl/>
        <w:autoSpaceDE w:val="0"/>
        <w:spacing w:line="300" w:lineRule="auto"/>
        <w:ind w:firstLine="422" w:firstLineChars="200"/>
        <w:jc w:val="center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</w:pPr>
    </w:p>
    <w:p w14:paraId="76103271">
      <w:pPr>
        <w:widowControl/>
        <w:autoSpaceDE w:val="0"/>
        <w:spacing w:line="300" w:lineRule="auto"/>
        <w:jc w:val="both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</w:pPr>
      <w:r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  <w:t xml:space="preserve">Tab.11 </w:t>
      </w:r>
      <w:r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  <w:t>Block-Entropy Heatmap</w:t>
      </w:r>
    </w:p>
    <w:tbl>
      <w:tblPr>
        <w:tblStyle w:val="10"/>
        <w:tblW w:w="4847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37"/>
        <w:gridCol w:w="2108"/>
        <w:gridCol w:w="2108"/>
        <w:gridCol w:w="2108"/>
      </w:tblGrid>
      <w:tr w14:paraId="0B28A5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37" w:type="dxa"/>
            <w:vAlign w:val="center"/>
          </w:tcPr>
          <w:p w14:paraId="666C1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t>Sesshū Tōyō's Hanging Scroll Exemplar</w:t>
            </w:r>
          </w:p>
        </w:tc>
        <w:tc>
          <w:tcPr>
            <w:tcW w:w="2108" w:type="dxa"/>
            <w:vAlign w:val="center"/>
          </w:tcPr>
          <w:p w14:paraId="5CE65A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 w:val="0"/>
                <w:color w:val="auto"/>
                <w:szCs w:val="21"/>
                <w:shd w:val="clear" w:color="auto" w:fill="FFFFFF"/>
              </w:rPr>
              <w:t>Heatmap</w:t>
            </w:r>
          </w:p>
        </w:tc>
        <w:tc>
          <w:tcPr>
            <w:tcW w:w="2108" w:type="dxa"/>
            <w:vAlign w:val="center"/>
          </w:tcPr>
          <w:p w14:paraId="0C35D9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24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t>Liu Songnian's Hanging Scroll Exemplar</w:t>
            </w:r>
          </w:p>
        </w:tc>
        <w:tc>
          <w:tcPr>
            <w:tcW w:w="2108" w:type="dxa"/>
            <w:vAlign w:val="center"/>
          </w:tcPr>
          <w:p w14:paraId="08ED1A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 w:val="24"/>
              </w:rPr>
            </w:pPr>
            <w:r>
              <w:rPr>
                <w:rStyle w:val="12"/>
                <w:rFonts w:hint="default" w:ascii="Times New Roman" w:hAnsi="Times New Roman" w:eastAsia="Segoe UI" w:cs="Times New Roman"/>
                <w:b w:val="0"/>
                <w:color w:val="auto"/>
                <w:szCs w:val="21"/>
                <w:shd w:val="clear" w:color="auto" w:fill="FFFFFF"/>
              </w:rPr>
              <w:t>Heatmap</w:t>
            </w:r>
          </w:p>
        </w:tc>
      </w:tr>
      <w:tr w14:paraId="555642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1" w:hRule="atLeast"/>
          <w:jc w:val="center"/>
        </w:trPr>
        <w:tc>
          <w:tcPr>
            <w:tcW w:w="1172" w:type="pct"/>
            <w:vAlign w:val="center"/>
          </w:tcPr>
          <w:p w14:paraId="315940A1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718820" cy="1788795"/>
                  <wp:effectExtent l="0" t="0" r="12700" b="9525"/>
                  <wp:docPr id="17" name="图片 17" descr="出山釈迦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出山釈迦図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820" cy="178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pct"/>
            <w:vAlign w:val="center"/>
          </w:tcPr>
          <w:p w14:paraId="48111DEE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287145" cy="1024255"/>
                  <wp:effectExtent l="0" t="0" r="8255" b="12065"/>
                  <wp:docPr id="18" name="图片 18" descr="出山釈迦図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出山釈迦図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57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45" cy="102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pct"/>
            <w:vAlign w:val="center"/>
          </w:tcPr>
          <w:p w14:paraId="53B60B33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Style w:val="15"/>
                <w:rFonts w:hint="default" w:ascii="Times New Roman" w:hAnsi="Times New Roman" w:eastAsia="宋体" w:cs="Times New Roman"/>
                <w:color w:val="auto"/>
              </w:rPr>
              <w:drawing>
                <wp:inline distT="0" distB="0" distL="114300" distR="114300">
                  <wp:extent cx="966470" cy="1844040"/>
                  <wp:effectExtent l="0" t="0" r="8890" b="0"/>
                  <wp:docPr id="91" name="图片 91" descr="罗汉图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罗汉图0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70" cy="184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pct"/>
            <w:vAlign w:val="center"/>
          </w:tcPr>
          <w:p w14:paraId="09D89845">
            <w:pPr>
              <w:widowControl/>
              <w:spacing w:line="30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252855" cy="1007745"/>
                  <wp:effectExtent l="0" t="0" r="12065" b="13335"/>
                  <wp:docPr id="92" name="图片 92" descr="罗汉图05_heat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罗汉图05_heatmap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6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855" cy="100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32E088">
      <w:pPr>
        <w:widowControl/>
        <w:spacing w:line="300" w:lineRule="auto"/>
        <w:jc w:val="center"/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</w:pPr>
    </w:p>
    <w:p w14:paraId="2BC31DE0">
      <w:pPr>
        <w:widowControl/>
        <w:spacing w:line="300" w:lineRule="auto"/>
        <w:jc w:val="both"/>
        <w:rPr>
          <w:rFonts w:hint="default" w:ascii="Times New Roman" w:hAnsi="Times New Roman" w:eastAsia="宋体" w:cs="Times New Roman"/>
          <w:b/>
          <w:bCs/>
          <w:color w:val="auto"/>
          <w:kern w:val="0"/>
          <w:szCs w:val="21"/>
          <w:lang w:bidi="ar"/>
        </w:rPr>
      </w:pPr>
      <w:r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  <w:t xml:space="preserve">Tab.12 </w:t>
      </w:r>
      <w:r>
        <w:rPr>
          <w:rStyle w:val="12"/>
          <w:rFonts w:hint="default" w:ascii="Times New Roman" w:hAnsi="Times New Roman" w:eastAsia="Segoe UI" w:cs="Times New Roman"/>
          <w:bCs/>
          <w:color w:val="auto"/>
          <w:szCs w:val="21"/>
          <w:shd w:val="clear" w:color="auto" w:fill="FFFFFF"/>
        </w:rPr>
        <w:t>Block-Mean Values by Sample</w:t>
      </w:r>
      <w:r>
        <w:rPr>
          <w:rFonts w:hint="default" w:ascii="Times New Roman" w:hAnsi="Times New Roman" w:eastAsia="Segoe UI" w:cs="Times New Roman"/>
          <w:b/>
          <w:bCs/>
          <w:color w:val="auto"/>
          <w:szCs w:val="21"/>
          <w:shd w:val="clear" w:color="auto" w:fill="FFFFFF"/>
        </w:rPr>
        <w:br w:type="textWrapping"/>
      </w:r>
      <w:r>
        <w:rPr>
          <w:rStyle w:val="14"/>
          <w:rFonts w:hint="default" w:ascii="Times New Roman" w:hAnsi="Times New Roman" w:eastAsia="Segoe UI" w:cs="Times New Roman"/>
          <w:color w:val="auto"/>
          <w:sz w:val="19"/>
          <w:szCs w:val="19"/>
          <w:shd w:val="clear" w:color="auto" w:fill="FFFFFF"/>
        </w:rPr>
        <w:t>(Subtitle: Yellow = high-entropy regions; Orange-red = peak entropy)</w:t>
      </w:r>
    </w:p>
    <w:tbl>
      <w:tblPr>
        <w:tblStyle w:val="9"/>
        <w:tblW w:w="5109" w:type="pct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1"/>
        <w:gridCol w:w="1425"/>
        <w:gridCol w:w="1405"/>
        <w:gridCol w:w="1405"/>
        <w:gridCol w:w="1378"/>
        <w:gridCol w:w="1432"/>
        <w:gridCol w:w="1392"/>
      </w:tblGrid>
      <w:tr w14:paraId="6AED2DF6">
        <w:trPr>
          <w:trHeight w:val="414" w:hRule="atLeast"/>
          <w:jc w:val="center"/>
        </w:trPr>
        <w:tc>
          <w:tcPr>
            <w:tcW w:w="5000" w:type="pct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75DF7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Sesshū Tōyō: Hanging Scroll Figure Painting (Cohort A1)</w:t>
            </w:r>
          </w:p>
        </w:tc>
      </w:tr>
      <w:tr w14:paraId="5AD3A16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8091A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V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004681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BDF88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983FA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71EA5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0DC92B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9A570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</w:tr>
      <w:tr w14:paraId="20B3527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03E2F6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5084A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5.330965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A2EDC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5.491103571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2CB57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5.319365429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DECA1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5.288063214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9FCEE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5.243429286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743D7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5.491784786</w:t>
            </w:r>
          </w:p>
        </w:tc>
      </w:tr>
      <w:tr w14:paraId="7FA4461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A6E79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B3A72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5.415453929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C3C66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5.522857429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44255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5.587036214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FD79C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5.787634429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D8D0B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5.523223429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706EC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5.761788786</w:t>
            </w:r>
          </w:p>
        </w:tc>
      </w:tr>
      <w:tr w14:paraId="0AEDB91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C221E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3EB75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5.634409857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B0352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5.785595857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697346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6.265779143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067605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6.184218357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8CF89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5.815292929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4CE868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5.692836643</w:t>
            </w:r>
          </w:p>
        </w:tc>
      </w:tr>
      <w:tr w14:paraId="08EE1DB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CE231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C8257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5.458724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F53BA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6.056173429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2A13E8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6.289660857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8D791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6.134526786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60E4E5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6.300679857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483DE1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5.845165786</w:t>
            </w:r>
          </w:p>
        </w:tc>
      </w:tr>
      <w:tr w14:paraId="49AACDB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1F69E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D3E41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6.0041205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387212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6.303179857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E822F" w:themeFill="accent2"/>
            <w:noWrap/>
            <w:vAlign w:val="center"/>
          </w:tcPr>
          <w:p w14:paraId="0B4745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6.5816925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483EED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6.232976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312F89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6.437443571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07B1C3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6.364609429</w:t>
            </w:r>
          </w:p>
        </w:tc>
      </w:tr>
      <w:tr w14:paraId="206D07B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1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8A35B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  <w:tc>
          <w:tcPr>
            <w:tcW w:w="8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DF611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5.7755145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3F9E8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6.073829571</w:t>
            </w:r>
          </w:p>
        </w:tc>
        <w:tc>
          <w:tcPr>
            <w:tcW w:w="8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75599E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6.238960786</w:t>
            </w:r>
          </w:p>
        </w:tc>
        <w:tc>
          <w:tcPr>
            <w:tcW w:w="79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noWrap/>
            <w:vAlign w:val="center"/>
          </w:tcPr>
          <w:p w14:paraId="0A24E4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6.436237429</w:t>
            </w:r>
          </w:p>
        </w:tc>
        <w:tc>
          <w:tcPr>
            <w:tcW w:w="82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4455B2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6.202503571</w:t>
            </w:r>
          </w:p>
        </w:tc>
        <w:tc>
          <w:tcPr>
            <w:tcW w:w="79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6A198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6.067524143</w:t>
            </w:r>
          </w:p>
        </w:tc>
      </w:tr>
      <w:tr w14:paraId="41E6E0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5000" w:type="pct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1CEB4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Liu Songnian: Hanging Scroll Figure Painting (Cohort D1)</w:t>
            </w:r>
          </w:p>
        </w:tc>
      </w:tr>
      <w:tr w14:paraId="199695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14857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V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F4158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8E871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85099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71EAD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EE3AF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C592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</w:tr>
      <w:tr w14:paraId="27426FA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0FB1B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1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C4A70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6.038226625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BF85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6.167855125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482E6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6.2625675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CD6E4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6.1602465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B16D0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6.004294625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54871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5.963239375</w:t>
            </w:r>
          </w:p>
        </w:tc>
      </w:tr>
      <w:tr w14:paraId="61618E5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AC263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2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82A0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6.223475125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44997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6.508425375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63A80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6.637757875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D59F9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6.5992535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FC834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6.09680975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E9F53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5.95185</w:t>
            </w:r>
          </w:p>
        </w:tc>
      </w:tr>
      <w:tr w14:paraId="536CB66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69DA0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3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81E72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6.734366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6324C4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6.776007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87EF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6.729408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DF388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6.457457875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CF47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6.42862325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501DC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6.264632875</w:t>
            </w:r>
          </w:p>
        </w:tc>
      </w:tr>
      <w:tr w14:paraId="419FFA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C9F98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4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61BC10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6.78943125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06E4FB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6.893999625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19950B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6.809143625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05DA9B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6.870757125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7C57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6.7688375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33133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6.419301875</w:t>
            </w:r>
          </w:p>
        </w:tc>
      </w:tr>
      <w:tr w14:paraId="0ADA992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49CC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7726C3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6.93195875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EE822F" w:themeFill="accent2"/>
            <w:vAlign w:val="center"/>
          </w:tcPr>
          <w:p w14:paraId="2529D3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7.107636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50B584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6.93108225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5EA5E6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6.927252625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1D9A99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7.021503375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F0842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6.52857175</w:t>
            </w:r>
          </w:p>
        </w:tc>
      </w:tr>
      <w:tr w14:paraId="5BFFD8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  <w:jc w:val="center"/>
        </w:trPr>
        <w:tc>
          <w:tcPr>
            <w:tcW w:w="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3262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</w:t>
            </w:r>
          </w:p>
        </w:tc>
        <w:tc>
          <w:tcPr>
            <w:tcW w:w="14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AF41A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6.419648125</w:t>
            </w:r>
          </w:p>
        </w:tc>
        <w:tc>
          <w:tcPr>
            <w:tcW w:w="14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9DC1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6.728910625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1968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6.657282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CB90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6.47498175</w:t>
            </w:r>
          </w:p>
        </w:tc>
        <w:tc>
          <w:tcPr>
            <w:tcW w:w="14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82DE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6.19893</w:t>
            </w:r>
          </w:p>
        </w:tc>
        <w:tc>
          <w:tcPr>
            <w:tcW w:w="13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0B147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6.040149875</w:t>
            </w:r>
          </w:p>
        </w:tc>
      </w:tr>
    </w:tbl>
    <w:p w14:paraId="4EC63699">
      <w:pPr>
        <w:widowControl/>
        <w:spacing w:line="300" w:lineRule="auto"/>
        <w:jc w:val="both"/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</w:pPr>
    </w:p>
    <w:p w14:paraId="56801E57">
      <w:pPr>
        <w:widowControl/>
        <w:spacing w:line="300" w:lineRule="auto"/>
        <w:jc w:val="both"/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</w:pPr>
      <w:r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  <w:t>Tab.13 Quartile Distribution of Block Means</w:t>
      </w:r>
    </w:p>
    <w:tbl>
      <w:tblPr>
        <w:tblStyle w:val="10"/>
        <w:tblW w:w="4997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2"/>
        <w:gridCol w:w="1507"/>
        <w:gridCol w:w="1507"/>
        <w:gridCol w:w="1507"/>
        <w:gridCol w:w="1507"/>
        <w:gridCol w:w="1507"/>
      </w:tblGrid>
      <w:tr w14:paraId="7E65D3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6" w:type="pct"/>
            <w:vAlign w:val="center"/>
          </w:tcPr>
          <w:p w14:paraId="0C18CA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Cohort</w:t>
            </w:r>
          </w:p>
        </w:tc>
        <w:tc>
          <w:tcPr>
            <w:tcW w:w="884" w:type="pct"/>
            <w:vAlign w:val="center"/>
          </w:tcPr>
          <w:p w14:paraId="2E1D35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Min</w:t>
            </w:r>
          </w:p>
        </w:tc>
        <w:tc>
          <w:tcPr>
            <w:tcW w:w="884" w:type="pct"/>
            <w:vAlign w:val="center"/>
          </w:tcPr>
          <w:p w14:paraId="31A378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Q1 (25th Percentile)</w:t>
            </w:r>
          </w:p>
        </w:tc>
        <w:tc>
          <w:tcPr>
            <w:tcW w:w="884" w:type="pct"/>
            <w:vAlign w:val="center"/>
          </w:tcPr>
          <w:p w14:paraId="6741E6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Median (Q2)</w:t>
            </w:r>
          </w:p>
        </w:tc>
        <w:tc>
          <w:tcPr>
            <w:tcW w:w="884" w:type="pct"/>
            <w:vAlign w:val="center"/>
          </w:tcPr>
          <w:p w14:paraId="664558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Q3 (75th Percentile)</w:t>
            </w:r>
          </w:p>
        </w:tc>
        <w:tc>
          <w:tcPr>
            <w:tcW w:w="884" w:type="pct"/>
            <w:vAlign w:val="center"/>
          </w:tcPr>
          <w:p w14:paraId="0D728B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Max</w:t>
            </w:r>
          </w:p>
        </w:tc>
      </w:tr>
      <w:tr w14:paraId="1CB35D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6" w:type="pct"/>
          </w:tcPr>
          <w:p w14:paraId="23652E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A1</w:t>
            </w:r>
          </w:p>
        </w:tc>
        <w:tc>
          <w:tcPr>
            <w:tcW w:w="884" w:type="pct"/>
            <w:vAlign w:val="center"/>
          </w:tcPr>
          <w:p w14:paraId="7BAE8F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5.243429286</w:t>
            </w:r>
          </w:p>
        </w:tc>
        <w:tc>
          <w:tcPr>
            <w:tcW w:w="884" w:type="pct"/>
          </w:tcPr>
          <w:p w14:paraId="72C7C6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5.522857429</w:t>
            </w:r>
          </w:p>
        </w:tc>
        <w:tc>
          <w:tcPr>
            <w:tcW w:w="884" w:type="pct"/>
          </w:tcPr>
          <w:p w14:paraId="75279D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5.815292929</w:t>
            </w:r>
          </w:p>
        </w:tc>
        <w:tc>
          <w:tcPr>
            <w:tcW w:w="884" w:type="pct"/>
          </w:tcPr>
          <w:p w14:paraId="0BD07B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6.232976</w:t>
            </w:r>
          </w:p>
        </w:tc>
        <w:tc>
          <w:tcPr>
            <w:tcW w:w="884" w:type="pct"/>
          </w:tcPr>
          <w:p w14:paraId="581445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6.5816925</w:t>
            </w:r>
          </w:p>
        </w:tc>
      </w:tr>
      <w:tr w14:paraId="371589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6" w:type="pct"/>
          </w:tcPr>
          <w:p w14:paraId="281CE9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D1</w:t>
            </w:r>
          </w:p>
        </w:tc>
        <w:tc>
          <w:tcPr>
            <w:tcW w:w="884" w:type="pct"/>
            <w:shd w:val="clear" w:color="auto" w:fill="FFFFFF"/>
            <w:vAlign w:val="center"/>
          </w:tcPr>
          <w:p w14:paraId="782B03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5.95185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254435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6.19893</w:t>
            </w:r>
          </w:p>
        </w:tc>
        <w:tc>
          <w:tcPr>
            <w:tcW w:w="884" w:type="pct"/>
          </w:tcPr>
          <w:p w14:paraId="44B267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6.508425375</w:t>
            </w:r>
          </w:p>
        </w:tc>
        <w:tc>
          <w:tcPr>
            <w:tcW w:w="884" w:type="pct"/>
            <w:shd w:val="clear" w:color="auto" w:fill="FFFFFF"/>
            <w:vAlign w:val="center"/>
          </w:tcPr>
          <w:p w14:paraId="0B3BF7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kern w:val="0"/>
                <w:szCs w:val="21"/>
                <w:lang w:bidi="ar"/>
              </w:rPr>
              <w:t>6.776007</w:t>
            </w:r>
          </w:p>
        </w:tc>
        <w:tc>
          <w:tcPr>
            <w:tcW w:w="884" w:type="pct"/>
          </w:tcPr>
          <w:p w14:paraId="168CEA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t>7.107636</w:t>
            </w:r>
          </w:p>
        </w:tc>
      </w:tr>
    </w:tbl>
    <w:p w14:paraId="1A82E674">
      <w:pPr>
        <w:widowControl/>
        <w:spacing w:line="300" w:lineRule="auto"/>
        <w:jc w:val="center"/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</w:pPr>
    </w:p>
    <w:p w14:paraId="3022523F">
      <w:pPr>
        <w:widowControl/>
        <w:spacing w:line="300" w:lineRule="auto"/>
        <w:jc w:val="both"/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</w:pPr>
      <w:bookmarkStart w:id="0" w:name="_GoBack"/>
      <w:bookmarkEnd w:id="0"/>
      <w:r>
        <w:rPr>
          <w:rStyle w:val="12"/>
          <w:rFonts w:hint="default" w:ascii="Times New Roman" w:hAnsi="Times New Roman" w:eastAsia="宋体" w:cs="Times New Roman"/>
          <w:bCs/>
          <w:color w:val="auto"/>
          <w:szCs w:val="21"/>
          <w:shd w:val="clear" w:color="auto" w:fill="FFFFFF"/>
        </w:rPr>
        <w:t>Tab.14 Block-Mean Visualizations</w:t>
      </w:r>
    </w:p>
    <w:tbl>
      <w:tblPr>
        <w:tblStyle w:val="10"/>
        <w:tblW w:w="5005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98"/>
        <w:gridCol w:w="4233"/>
      </w:tblGrid>
      <w:tr w14:paraId="3A093E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5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B9F5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Sesshū Tōyō</w:t>
            </w:r>
            <w:r>
              <w:rPr>
                <w:rStyle w:val="12"/>
                <w:rFonts w:hint="eastAsia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  <w:lang w:val="en-US" w:eastAsia="zh-CN"/>
              </w:rPr>
              <w:t xml:space="preserve"> </w:t>
            </w: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(A1)</w:t>
            </w:r>
          </w:p>
        </w:tc>
        <w:tc>
          <w:tcPr>
            <w:tcW w:w="248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086B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</w:pP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Liu Songnian</w:t>
            </w:r>
            <w:r>
              <w:rPr>
                <w:rStyle w:val="12"/>
                <w:rFonts w:hint="eastAsia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  <w:lang w:val="en-US" w:eastAsia="zh-CN"/>
              </w:rPr>
              <w:t xml:space="preserve"> </w:t>
            </w:r>
            <w:r>
              <w:rPr>
                <w:rStyle w:val="12"/>
                <w:rFonts w:hint="default" w:ascii="Times New Roman" w:hAnsi="Times New Roman" w:eastAsia="宋体" w:cs="Times New Roman"/>
                <w:bCs/>
                <w:color w:val="auto"/>
                <w:szCs w:val="21"/>
                <w:shd w:val="clear" w:color="auto" w:fill="FFFFFF"/>
              </w:rPr>
              <w:t>(D1)</w:t>
            </w:r>
          </w:p>
        </w:tc>
      </w:tr>
      <w:tr w14:paraId="4D4C7E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5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B3FE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179830" cy="1720215"/>
                  <wp:effectExtent l="0" t="0" r="8890" b="1905"/>
                  <wp:docPr id="19" name="图片 19" descr="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A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830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3668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Times New Roman" w:hAnsi="Times New Roman" w:eastAsia="宋体" w:cs="Times New Roman"/>
                <w:color w:val="auto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Cs w:val="21"/>
              </w:rPr>
              <w:drawing>
                <wp:inline distT="0" distB="0" distL="114300" distR="114300">
                  <wp:extent cx="1183005" cy="1713865"/>
                  <wp:effectExtent l="0" t="0" r="5715" b="8255"/>
                  <wp:docPr id="20" name="图片 20" descr="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005" cy="171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AE1212">
      <w:pPr>
        <w:rPr>
          <w:rFonts w:hint="default" w:ascii="Times New Roman" w:hAnsi="Times New Roman" w:cs="Times New Roman"/>
          <w:color w:val="auto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Cambria Math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B3D"/>
    <w:rsid w:val="002E139F"/>
    <w:rsid w:val="003B060D"/>
    <w:rsid w:val="003D47A1"/>
    <w:rsid w:val="00454199"/>
    <w:rsid w:val="00576D23"/>
    <w:rsid w:val="0058555D"/>
    <w:rsid w:val="005D3B3D"/>
    <w:rsid w:val="006C64C7"/>
    <w:rsid w:val="00785A46"/>
    <w:rsid w:val="007D6870"/>
    <w:rsid w:val="00811325"/>
    <w:rsid w:val="008B07A5"/>
    <w:rsid w:val="008B2D03"/>
    <w:rsid w:val="00A21242"/>
    <w:rsid w:val="00BF7025"/>
    <w:rsid w:val="00CE7123"/>
    <w:rsid w:val="00E07AFE"/>
    <w:rsid w:val="00FA7A8B"/>
    <w:rsid w:val="0B3A5C6C"/>
    <w:rsid w:val="0F0E5742"/>
    <w:rsid w:val="118C4ED2"/>
    <w:rsid w:val="211C2FA6"/>
    <w:rsid w:val="22FF7160"/>
    <w:rsid w:val="34E6104A"/>
    <w:rsid w:val="3D5E7FBB"/>
    <w:rsid w:val="425E515D"/>
    <w:rsid w:val="47904979"/>
    <w:rsid w:val="4A503956"/>
    <w:rsid w:val="509C48FE"/>
    <w:rsid w:val="5B9F1AA8"/>
    <w:rsid w:val="67135E97"/>
    <w:rsid w:val="6D5B1D8A"/>
    <w:rsid w:val="6D912AC8"/>
    <w:rsid w:val="6FFF6BD5"/>
    <w:rsid w:val="76176680"/>
    <w:rsid w:val="777D6FE8"/>
    <w:rsid w:val="78F92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nhideWhenUsed="0" w:uiPriority="0" w:semiHidden="0" w:name="footnote reference"/>
    <w:lsdException w:qFormat="1" w:uiPriority="99" w:name="annotation reference"/>
    <w:lsdException w:unhideWhenUsed="0" w:uiPriority="0" w:semiHidden="0" w:name="line number"/>
    <w:lsdException w:unhideWhenUsed="0" w:uiPriority="0" w:semiHidden="0" w:name="page number"/>
    <w:lsdException w:qFormat="1" w:uiPriority="99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Autospacing="1" w:afterAutospacing="1"/>
      <w:jc w:val="left"/>
      <w:outlineLvl w:val="2"/>
    </w:pPr>
    <w:rPr>
      <w:rFonts w:hint="eastAsia" w:ascii="宋体" w:hAnsi="宋体" w:eastAsia="宋体" w:cs="Times New Roman"/>
      <w:b/>
      <w:bCs/>
      <w:kern w:val="0"/>
      <w:sz w:val="27"/>
      <w:szCs w:val="27"/>
    </w:rPr>
  </w:style>
  <w:style w:type="paragraph" w:styleId="3">
    <w:name w:val="heading 4"/>
    <w:basedOn w:val="1"/>
    <w:next w:val="1"/>
    <w:semiHidden/>
    <w:unhideWhenUsed/>
    <w:qFormat/>
    <w:uiPriority w:val="0"/>
    <w:pPr>
      <w:spacing w:beforeAutospacing="1" w:afterAutospacing="1"/>
      <w:jc w:val="left"/>
      <w:outlineLvl w:val="3"/>
    </w:pPr>
    <w:rPr>
      <w:rFonts w:hint="eastAsia" w:ascii="宋体" w:hAnsi="宋体" w:eastAsia="宋体" w:cs="Times New Roman"/>
      <w:b/>
      <w:bCs/>
      <w:kern w:val="0"/>
      <w:sz w:val="24"/>
    </w:rPr>
  </w:style>
  <w:style w:type="character" w:default="1" w:styleId="11">
    <w:name w:val="Default Paragraph Font"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link w:val="17"/>
    <w:qFormat/>
    <w:uiPriority w:val="0"/>
    <w:pPr>
      <w:jc w:val="left"/>
    </w:pPr>
  </w:style>
  <w:style w:type="paragraph" w:styleId="5">
    <w:name w:val="Balloon Text"/>
    <w:basedOn w:val="1"/>
    <w:link w:val="19"/>
    <w:qFormat/>
    <w:uiPriority w:val="0"/>
    <w:rPr>
      <w:sz w:val="18"/>
      <w:szCs w:val="18"/>
    </w:rPr>
  </w:style>
  <w:style w:type="paragraph" w:styleId="6">
    <w:name w:val="footnote text"/>
    <w:basedOn w:val="1"/>
    <w:qFormat/>
    <w:uiPriority w:val="0"/>
    <w:pPr>
      <w:snapToGrid w:val="0"/>
      <w:jc w:val="left"/>
    </w:pPr>
    <w:rPr>
      <w:sz w:val="18"/>
      <w:szCs w:val="18"/>
    </w:rPr>
  </w:style>
  <w:style w:type="paragraph" w:styleId="7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annotation subject"/>
    <w:basedOn w:val="4"/>
    <w:next w:val="4"/>
    <w:link w:val="18"/>
    <w:qFormat/>
    <w:uiPriority w:val="0"/>
    <w:rPr>
      <w:b/>
      <w:bCs/>
    </w:rPr>
  </w:style>
  <w:style w:type="table" w:styleId="10">
    <w:name w:val="Table Grid"/>
    <w:basedOn w:val="9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0"/>
    <w:rPr>
      <w:b/>
    </w:rPr>
  </w:style>
  <w:style w:type="character" w:styleId="13">
    <w:name w:val="endnote reference"/>
    <w:basedOn w:val="11"/>
    <w:semiHidden/>
    <w:unhideWhenUsed/>
    <w:qFormat/>
    <w:uiPriority w:val="99"/>
    <w:rPr>
      <w:vertAlign w:val="superscript"/>
    </w:rPr>
  </w:style>
  <w:style w:type="character" w:styleId="14">
    <w:name w:val="Emphasis"/>
    <w:basedOn w:val="11"/>
    <w:qFormat/>
    <w:uiPriority w:val="0"/>
    <w:rPr>
      <w:i/>
    </w:rPr>
  </w:style>
  <w:style w:type="character" w:styleId="15">
    <w:name w:val="annotation reference"/>
    <w:basedOn w:val="11"/>
    <w:semiHidden/>
    <w:unhideWhenUsed/>
    <w:qFormat/>
    <w:uiPriority w:val="99"/>
    <w:rPr>
      <w:sz w:val="21"/>
      <w:szCs w:val="21"/>
    </w:rPr>
  </w:style>
  <w:style w:type="character" w:styleId="16">
    <w:name w:val="footnote reference"/>
    <w:basedOn w:val="11"/>
    <w:qFormat/>
    <w:uiPriority w:val="0"/>
    <w:rPr>
      <w:vertAlign w:val="superscript"/>
    </w:rPr>
  </w:style>
  <w:style w:type="character" w:customStyle="1" w:styleId="17">
    <w:name w:val="批注文字 字符"/>
    <w:basedOn w:val="11"/>
    <w:link w:val="4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18">
    <w:name w:val="批注主题 字符"/>
    <w:basedOn w:val="17"/>
    <w:link w:val="8"/>
    <w:qFormat/>
    <w:uiPriority w:val="0"/>
    <w:rPr>
      <w:rFonts w:asciiTheme="minorHAnsi" w:hAnsiTheme="minorHAnsi" w:eastAsiaTheme="minorEastAsia" w:cstheme="minorBidi"/>
      <w:b/>
      <w:bCs/>
      <w:kern w:val="2"/>
      <w:sz w:val="21"/>
      <w:szCs w:val="24"/>
    </w:rPr>
  </w:style>
  <w:style w:type="character" w:customStyle="1" w:styleId="19">
    <w:name w:val="批注框文本 字符"/>
    <w:basedOn w:val="11"/>
    <w:link w:val="5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P R C</Company>
  <Pages>7</Pages>
  <Words>3655</Words>
  <Characters>23698</Characters>
  <Lines>625</Lines>
  <Paragraphs>176</Paragraphs>
  <TotalTime>5</TotalTime>
  <ScaleCrop>false</ScaleCrop>
  <LinksUpToDate>false</LinksUpToDate>
  <CharactersWithSpaces>27199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2025-07-29T07:33:00Z</dcterms:created>
  <dc:creator>李俊宣</dc:creator>
  <cp:lastModifiedBy>白洛</cp:lastModifiedBy>
  <dcterms:modified xsi:type="dcterms:W3CDTF">2025-08-07T02:52:51Z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eyJoZGlkIjoiMTdiMDRjNDNhN2FiMDdiZGZmNmQxMGJlMjBhN2ZjNjUiLCJ1c2VySWQiOiIzMTMzNTI2NDQifQ==</vt:lpwstr>
  </property>
  <property fmtid="{D5CDD505-2E9C-101B-9397-08002B2CF9AE}" pid="4" name="ICV">
    <vt:lpwstr>1B43022D78154DF291282F01AF637EDA_13</vt:lpwstr>
  </property>
</Properties>
</file>