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57BA4" w14:textId="77777777" w:rsidR="008B192F" w:rsidRPr="006454DA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7159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Table 1: Demographic, clinical, and laboratory characteristics of </w:t>
      </w:r>
      <w:proofErr w:type="gramStart"/>
      <w:r w:rsidRPr="00471597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 patients</w:t>
      </w:r>
      <w:proofErr w:type="gramEnd"/>
    </w:p>
    <w:p w14:paraId="7F9528A0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            Older patients (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71597">
        <w:rPr>
          <w:rFonts w:ascii="Times New Roman" w:hAnsi="Times New Roman" w:cs="Times New Roman"/>
          <w:sz w:val="24"/>
          <w:szCs w:val="24"/>
        </w:rPr>
        <w:t>=21)                             Adult patients (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71597">
        <w:rPr>
          <w:rFonts w:ascii="Times New Roman" w:hAnsi="Times New Roman" w:cs="Times New Roman"/>
          <w:sz w:val="24"/>
          <w:szCs w:val="24"/>
        </w:rPr>
        <w:t xml:space="preserve">=65)                    </w:t>
      </w:r>
      <w:r w:rsidRPr="00A01A45">
        <w:rPr>
          <w:rFonts w:ascii="Times New Roman" w:hAnsi="Times New Roman" w:cs="Times New Roman"/>
          <w:i/>
          <w:iCs/>
          <w:sz w:val="24"/>
          <w:szCs w:val="24"/>
        </w:rPr>
        <w:t>p</w:t>
      </w:r>
    </w:p>
    <w:p w14:paraId="18449177" w14:textId="77777777" w:rsidR="008B192F" w:rsidRPr="00471597" w:rsidRDefault="008B192F" w:rsidP="008B192F">
      <w:pPr>
        <w:pBdr>
          <w:top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8D4824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>Age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66.7±6.1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43.7±8.1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   &lt;.001                     </w:t>
      </w:r>
    </w:p>
    <w:p w14:paraId="5C15529C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Sex (FM/M)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19/2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49/16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>0.14</w:t>
      </w:r>
    </w:p>
    <w:p w14:paraId="390F1A17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aCCI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&lt;.001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</w:p>
    <w:p w14:paraId="1368C205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0 score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3 (14.2%)                                          43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>(66.1%)</w:t>
      </w:r>
    </w:p>
    <w:p w14:paraId="34E7EF3E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1 score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11 (52.3%)                                          21 (32.3%)</w:t>
      </w:r>
    </w:p>
    <w:p w14:paraId="40D1E48E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2 score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71597">
        <w:rPr>
          <w:rFonts w:ascii="Times New Roman" w:hAnsi="Times New Roman" w:cs="Times New Roman"/>
          <w:sz w:val="24"/>
          <w:szCs w:val="24"/>
        </w:rPr>
        <w:t>1 (4.7%)                                           1(1.5%)</w:t>
      </w:r>
    </w:p>
    <w:p w14:paraId="4F39FCEB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3 score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71597">
        <w:rPr>
          <w:rFonts w:ascii="Times New Roman" w:hAnsi="Times New Roman" w:cs="Times New Roman"/>
          <w:sz w:val="24"/>
          <w:szCs w:val="24"/>
        </w:rPr>
        <w:t>1 (4.7%)                                           0</w:t>
      </w:r>
    </w:p>
    <w:p w14:paraId="7EA89B55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4 score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71597">
        <w:rPr>
          <w:rFonts w:ascii="Times New Roman" w:hAnsi="Times New Roman" w:cs="Times New Roman"/>
          <w:sz w:val="24"/>
          <w:szCs w:val="24"/>
        </w:rPr>
        <w:t>2 (9.5%)                                           0</w:t>
      </w:r>
    </w:p>
    <w:p w14:paraId="255C1586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5 score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>3 (14.2%)                                          0</w:t>
      </w:r>
    </w:p>
    <w:p w14:paraId="58B28314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5B8875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>TSH, M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71597">
        <w:rPr>
          <w:rFonts w:ascii="Times New Roman" w:hAnsi="Times New Roman" w:cs="Times New Roman"/>
          <w:sz w:val="24"/>
          <w:szCs w:val="24"/>
        </w:rPr>
        <w:t xml:space="preserve"> (IQR)            0.9[0.2-1.4]                                        1[0.6-1.5]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 0.15                                  </w:t>
      </w:r>
    </w:p>
    <w:p w14:paraId="798EC372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>fT3, M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71597">
        <w:rPr>
          <w:rFonts w:ascii="Times New Roman" w:hAnsi="Times New Roman" w:cs="Times New Roman"/>
          <w:sz w:val="24"/>
          <w:szCs w:val="24"/>
        </w:rPr>
        <w:t xml:space="preserve"> (IQR)               3.9[3.1-4.5]                                           3.4[ 2.7 -3.7]                                         0.07</w:t>
      </w:r>
    </w:p>
    <w:p w14:paraId="74ECEF89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>fT4, M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71597">
        <w:rPr>
          <w:rFonts w:ascii="Times New Roman" w:hAnsi="Times New Roman" w:cs="Times New Roman"/>
          <w:sz w:val="24"/>
          <w:szCs w:val="24"/>
        </w:rPr>
        <w:t xml:space="preserve"> (IQR)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1.2[1.1-1.4]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1.2[1.1-1.3]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0.4</w:t>
      </w:r>
    </w:p>
    <w:p w14:paraId="40AE562D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2CDC7A" w14:textId="77777777" w:rsidR="008B192F" w:rsidRDefault="008B192F" w:rsidP="008B19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Note. </w:t>
      </w:r>
      <w:r w:rsidRPr="00471597">
        <w:rPr>
          <w:rFonts w:ascii="Times New Roman" w:hAnsi="Times New Roman" w:cs="Times New Roman"/>
          <w:sz w:val="24"/>
          <w:szCs w:val="24"/>
        </w:rPr>
        <w:t>*Mean (SD); aCCI, age-adjusted Charlson Comorbidity Index; FM, female; fT3, free triiodothyronine; fT4, free thyroxine; IQR, Interquartile Range; M, male; Md, Median;</w:t>
      </w:r>
      <w:r>
        <w:rPr>
          <w:rFonts w:ascii="Times New Roman" w:hAnsi="Times New Roman" w:cs="Times New Roman"/>
          <w:sz w:val="24"/>
          <w:szCs w:val="24"/>
        </w:rPr>
        <w:t xml:space="preserve"> SD, </w:t>
      </w:r>
      <w:r w:rsidRPr="000451C1">
        <w:rPr>
          <w:rFonts w:ascii="Times New Roman" w:hAnsi="Times New Roman" w:cs="Times New Roman"/>
          <w:sz w:val="24"/>
          <w:szCs w:val="24"/>
        </w:rPr>
        <w:t>standard deviation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71597">
        <w:rPr>
          <w:rFonts w:ascii="Times New Roman" w:hAnsi="Times New Roman" w:cs="Times New Roman"/>
          <w:sz w:val="24"/>
          <w:szCs w:val="24"/>
        </w:rPr>
        <w:t>TSH, thyroid stimulating hormone</w:t>
      </w:r>
    </w:p>
    <w:p w14:paraId="03133640" w14:textId="77777777" w:rsidR="008B192F" w:rsidRPr="00471597" w:rsidRDefault="008B192F" w:rsidP="008B192F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86791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a</w:t>
      </w:r>
      <w:r w:rsidRPr="0047159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The fT3, 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fT</w:t>
      </w:r>
      <w:r w:rsidRPr="00471597">
        <w:rPr>
          <w:rFonts w:ascii="Times New Roman" w:eastAsia="Times New Roman" w:hAnsi="Times New Roman" w:cs="Times New Roman"/>
          <w:sz w:val="24"/>
          <w:szCs w:val="24"/>
          <w:lang w:eastAsia="tr-TR"/>
        </w:rPr>
        <w:t>4 and TSH data of the patients are from the time before the MWA procedure.</w:t>
      </w:r>
    </w:p>
    <w:p w14:paraId="1314E788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5AD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D5AD6">
        <w:rPr>
          <w:rFonts w:ascii="Times New Roman" w:hAnsi="Times New Roman" w:cs="Times New Roman"/>
          <w:sz w:val="24"/>
          <w:szCs w:val="24"/>
        </w:rPr>
        <w:t> &lt;.05</w:t>
      </w:r>
    </w:p>
    <w:p w14:paraId="2402FB51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17011AB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3628C49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6ACAB14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92C00F2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82D2638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720182C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54C240F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50FFF49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1C150F5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04BC51C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5D591A0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D40616B" w14:textId="77777777" w:rsidR="008B192F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9E62BD9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E2D05D7" w14:textId="77777777" w:rsidR="008B192F" w:rsidRPr="00471597" w:rsidRDefault="008B192F" w:rsidP="008B192F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bookmarkStart w:id="0" w:name="_Hlk202945843"/>
      <w:r w:rsidRPr="00471597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Table 2: Structural features of thyroid nodules</w:t>
      </w:r>
    </w:p>
    <w:bookmarkEnd w:id="0"/>
    <w:p w14:paraId="6045D30F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1BECB00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                    Older patients (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71597">
        <w:rPr>
          <w:rFonts w:ascii="Times New Roman" w:hAnsi="Times New Roman" w:cs="Times New Roman"/>
          <w:sz w:val="24"/>
          <w:szCs w:val="24"/>
        </w:rPr>
        <w:t>=21)                         Adult patients (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71597">
        <w:rPr>
          <w:rFonts w:ascii="Times New Roman" w:hAnsi="Times New Roman" w:cs="Times New Roman"/>
          <w:sz w:val="24"/>
          <w:szCs w:val="24"/>
        </w:rPr>
        <w:t xml:space="preserve">=65)                                  </w:t>
      </w:r>
      <w:r w:rsidRPr="008750F5">
        <w:rPr>
          <w:rFonts w:ascii="Times New Roman" w:hAnsi="Times New Roman" w:cs="Times New Roman"/>
          <w:i/>
          <w:iCs/>
          <w:sz w:val="24"/>
          <w:szCs w:val="24"/>
        </w:rPr>
        <w:t>p</w:t>
      </w:r>
    </w:p>
    <w:p w14:paraId="3F7EB610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1B4F69" w14:textId="77777777" w:rsidR="008B192F" w:rsidRPr="00471597" w:rsidRDefault="008B192F" w:rsidP="008B192F">
      <w:pPr>
        <w:pBdr>
          <w:top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C279E9" w14:textId="77777777" w:rsidR="008B192F" w:rsidRPr="00471597" w:rsidRDefault="008B192F" w:rsidP="008B192F">
      <w:pPr>
        <w:pBdr>
          <w:top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>Nodule volume, mL (SD)         11.8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>[5.7-28.3]                      11.2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>[6.1-21.2]                                0.7</w:t>
      </w:r>
    </w:p>
    <w:p w14:paraId="7CCBC8C4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E20156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Nodule structure,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71597">
        <w:rPr>
          <w:rFonts w:ascii="Times New Roman" w:hAnsi="Times New Roman" w:cs="Times New Roman"/>
          <w:sz w:val="24"/>
          <w:szCs w:val="24"/>
        </w:rPr>
        <w:t xml:space="preserve"> (%)                                                                                                                                                       0.6</w:t>
      </w:r>
    </w:p>
    <w:p w14:paraId="695A1D13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 Solid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471597">
        <w:rPr>
          <w:rFonts w:ascii="Times New Roman" w:hAnsi="Times New Roman" w:cs="Times New Roman"/>
          <w:sz w:val="24"/>
          <w:szCs w:val="24"/>
        </w:rPr>
        <w:t>9 (42.9%)                            33 (50.8%)</w:t>
      </w:r>
    </w:p>
    <w:p w14:paraId="411A6421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 Cystic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4 (19%)                                 8 (12.3%)</w:t>
      </w:r>
    </w:p>
    <w:p w14:paraId="2C8013FD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 Mixed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8 (38.1%)                             24 (36.9%)</w:t>
      </w:r>
    </w:p>
    <w:p w14:paraId="488BAE1F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A3B39A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Nodule echogenicity,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71597">
        <w:rPr>
          <w:rFonts w:ascii="Times New Roman" w:hAnsi="Times New Roman" w:cs="Times New Roman"/>
          <w:sz w:val="24"/>
          <w:szCs w:val="24"/>
        </w:rPr>
        <w:t xml:space="preserve"> (%)                                                                                                                                               0.2</w:t>
      </w:r>
    </w:p>
    <w:p w14:paraId="702DFAB3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Hypoechoic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11 (52.3%)                              23 (35.3%)</w:t>
      </w:r>
    </w:p>
    <w:p w14:paraId="2EF7AA7A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Isoechoic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6 (28.5%)                              28 (43.2%)</w:t>
      </w:r>
    </w:p>
    <w:p w14:paraId="6E53D120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Hyperechoic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4 (19.2%)                              14 (21.5%)</w:t>
      </w:r>
    </w:p>
    <w:p w14:paraId="208AAB6B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Nodule vascularity,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71597">
        <w:rPr>
          <w:rFonts w:ascii="Times New Roman" w:hAnsi="Times New Roman" w:cs="Times New Roman"/>
          <w:sz w:val="24"/>
          <w:szCs w:val="24"/>
        </w:rPr>
        <w:t xml:space="preserve"> (%)                                                                                                                                                  0.5</w:t>
      </w:r>
    </w:p>
    <w:p w14:paraId="02DEE5D7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 Yes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21(100%)                                64 (98.4%)</w:t>
      </w:r>
    </w:p>
    <w:p w14:paraId="3C2424E6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No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0                                               1 (1.6%)</w:t>
      </w:r>
    </w:p>
    <w:p w14:paraId="51A86372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Thyroid gland functionality, 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 w:rsidRPr="00471597">
        <w:rPr>
          <w:rFonts w:ascii="Times New Roman" w:hAnsi="Times New Roman" w:cs="Times New Roman"/>
          <w:sz w:val="24"/>
          <w:szCs w:val="24"/>
        </w:rPr>
        <w:t xml:space="preserve">(%)                                                                                                                                0.2                                                                                                                       </w:t>
      </w:r>
    </w:p>
    <w:p w14:paraId="43FBFFBB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Hypothyroidism       1 (4.7%)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  4 (6.2%)</w:t>
      </w:r>
    </w:p>
    <w:p w14:paraId="358E7151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Euthyroidism           15 (71.5%)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71597">
        <w:rPr>
          <w:rFonts w:ascii="Times New Roman" w:hAnsi="Times New Roman" w:cs="Times New Roman"/>
          <w:sz w:val="24"/>
          <w:szCs w:val="24"/>
        </w:rPr>
        <w:t xml:space="preserve"> 54 (83%)</w:t>
      </w:r>
    </w:p>
    <w:p w14:paraId="349DF5BC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Hyperthyroidism      5 (23.8%)                                   7 (10.8%)</w:t>
      </w:r>
    </w:p>
    <w:p w14:paraId="2AE907D0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DD7A39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Note. </w:t>
      </w:r>
      <w:r w:rsidRPr="00471597">
        <w:rPr>
          <w:rFonts w:ascii="Times New Roman" w:hAnsi="Times New Roman" w:cs="Times New Roman"/>
          <w:sz w:val="24"/>
          <w:szCs w:val="24"/>
        </w:rPr>
        <w:t>Mean (SD); mL, milliliter</w:t>
      </w:r>
      <w:r>
        <w:rPr>
          <w:rFonts w:ascii="Times New Roman" w:hAnsi="Times New Roman" w:cs="Times New Roman"/>
          <w:sz w:val="24"/>
          <w:szCs w:val="24"/>
        </w:rPr>
        <w:t xml:space="preserve">; SD, </w:t>
      </w:r>
      <w:r w:rsidRPr="008B2BB4">
        <w:rPr>
          <w:rFonts w:ascii="Times New Roman" w:hAnsi="Times New Roman" w:cs="Times New Roman"/>
          <w:sz w:val="24"/>
          <w:szCs w:val="24"/>
        </w:rPr>
        <w:t>standard deviation</w:t>
      </w:r>
    </w:p>
    <w:p w14:paraId="73A6B75E" w14:textId="77777777" w:rsidR="008B192F" w:rsidRPr="00471597" w:rsidRDefault="008B192F" w:rsidP="008B19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5AD6">
        <w:rPr>
          <w:rFonts w:ascii="Times New Roman" w:hAnsi="Times New Roman" w:cs="Times New Roman"/>
          <w:sz w:val="24"/>
          <w:szCs w:val="24"/>
        </w:rPr>
        <w:t>* </w:t>
      </w:r>
      <w:r w:rsidRPr="008D5AD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D5AD6">
        <w:rPr>
          <w:rFonts w:ascii="Times New Roman" w:hAnsi="Times New Roman" w:cs="Times New Roman"/>
          <w:sz w:val="24"/>
          <w:szCs w:val="24"/>
        </w:rPr>
        <w:t> &lt;.05</w:t>
      </w:r>
    </w:p>
    <w:p w14:paraId="5DD5891B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F9C9AB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BA7E71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9155F3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9AF4CB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ADC07D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BE4819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E0D09E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B0246D" w14:textId="77777777" w:rsidR="008B192F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723A12" w14:textId="77777777" w:rsidR="008B192F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02AA187" w14:textId="77777777" w:rsidR="008B192F" w:rsidRPr="00471597" w:rsidRDefault="008B192F" w:rsidP="008B192F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71597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Table 3: Nodule volumes after MWA</w:t>
      </w:r>
    </w:p>
    <w:p w14:paraId="4E837B7A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Basal volume                 3rd month control volume             6th month control volume       </w:t>
      </w:r>
      <w:r w:rsidRPr="008750F5">
        <w:rPr>
          <w:rFonts w:ascii="Times New Roman" w:hAnsi="Times New Roman" w:cs="Times New Roman"/>
          <w:i/>
          <w:iCs/>
          <w:sz w:val="24"/>
          <w:szCs w:val="24"/>
        </w:rPr>
        <w:t>p</w:t>
      </w:r>
    </w:p>
    <w:p w14:paraId="2524E372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 xml:space="preserve">                 (mL)                                       (mL)                                                (mL)</w:t>
      </w:r>
    </w:p>
    <w:p w14:paraId="13364404" w14:textId="77777777" w:rsidR="008B192F" w:rsidRPr="00471597" w:rsidRDefault="008B192F" w:rsidP="008B192F">
      <w:pPr>
        <w:pBdr>
          <w:top w:val="single" w:sz="4" w:space="1" w:color="auto"/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DBF864" w14:textId="77777777" w:rsidR="008B192F" w:rsidRPr="00471597" w:rsidRDefault="008B192F" w:rsidP="008B192F">
      <w:pPr>
        <w:pBdr>
          <w:top w:val="single" w:sz="4" w:space="1" w:color="auto"/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1597">
        <w:rPr>
          <w:rFonts w:ascii="Times New Roman" w:hAnsi="Times New Roman" w:cs="Times New Roman"/>
          <w:sz w:val="24"/>
          <w:szCs w:val="24"/>
        </w:rPr>
        <w:t>Older patients (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71597">
        <w:rPr>
          <w:rFonts w:ascii="Times New Roman" w:hAnsi="Times New Roman" w:cs="Times New Roman"/>
          <w:sz w:val="24"/>
          <w:szCs w:val="24"/>
        </w:rPr>
        <w:t>=21)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71597">
        <w:rPr>
          <w:rFonts w:ascii="Times New Roman" w:hAnsi="Times New Roman" w:cs="Times New Roman"/>
          <w:sz w:val="24"/>
          <w:szCs w:val="24"/>
        </w:rPr>
        <w:t xml:space="preserve">       11.8[5.7-28.3]               6.2[2.5-16.2]            4.3[1.3-11.4]                    &lt;.001</w:t>
      </w:r>
    </w:p>
    <w:p w14:paraId="48D4CAE0" w14:textId="77777777" w:rsidR="008B192F" w:rsidRPr="00471597" w:rsidRDefault="008B192F" w:rsidP="008B192F">
      <w:pPr>
        <w:pBdr>
          <w:top w:val="single" w:sz="4" w:space="1" w:color="auto"/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77D635" w14:textId="77777777" w:rsidR="008B192F" w:rsidRPr="006454DA" w:rsidRDefault="008B192F" w:rsidP="008B192F">
      <w:pPr>
        <w:pBdr>
          <w:top w:val="single" w:sz="4" w:space="1" w:color="auto"/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6454DA">
        <w:rPr>
          <w:rFonts w:ascii="Times New Roman" w:hAnsi="Times New Roman" w:cs="Times New Roman"/>
          <w:sz w:val="24"/>
          <w:szCs w:val="24"/>
          <w:lang w:val="fr-FR"/>
        </w:rPr>
        <w:t>Adult patients (N=</w:t>
      </w:r>
      <w:proofErr w:type="gramStart"/>
      <w:r w:rsidRPr="006454DA">
        <w:rPr>
          <w:rFonts w:ascii="Times New Roman" w:hAnsi="Times New Roman" w:cs="Times New Roman"/>
          <w:sz w:val="24"/>
          <w:szCs w:val="24"/>
          <w:lang w:val="fr-FR"/>
        </w:rPr>
        <w:t>65)</w:t>
      </w:r>
      <w:r w:rsidRPr="006454DA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b</w:t>
      </w:r>
      <w:proofErr w:type="gramEnd"/>
      <w:r w:rsidRPr="006454DA">
        <w:rPr>
          <w:rFonts w:ascii="Times New Roman" w:hAnsi="Times New Roman" w:cs="Times New Roman"/>
          <w:sz w:val="24"/>
          <w:szCs w:val="24"/>
          <w:lang w:val="fr-FR"/>
        </w:rPr>
        <w:t xml:space="preserve">       11.2[6.1-21.2]             5.4[3-9.5]                 3.4[1.6-6.1]                    &lt;.001</w:t>
      </w:r>
    </w:p>
    <w:p w14:paraId="5E617922" w14:textId="77777777" w:rsidR="008B192F" w:rsidRPr="006454DA" w:rsidRDefault="008B192F" w:rsidP="008B192F">
      <w:pPr>
        <w:pBdr>
          <w:top w:val="single" w:sz="4" w:space="1" w:color="auto"/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5C70EAF0" w14:textId="77777777" w:rsidR="008B192F" w:rsidRPr="006454DA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6454DA">
        <w:rPr>
          <w:rFonts w:ascii="Times New Roman" w:hAnsi="Times New Roman" w:cs="Times New Roman"/>
          <w:sz w:val="24"/>
          <w:szCs w:val="24"/>
          <w:lang w:val="fr-FR"/>
        </w:rPr>
        <w:t xml:space="preserve">Note. </w:t>
      </w:r>
      <w:proofErr w:type="gramStart"/>
      <w:r w:rsidRPr="006454DA">
        <w:rPr>
          <w:rFonts w:ascii="Times New Roman" w:hAnsi="Times New Roman" w:cs="Times New Roman"/>
          <w:sz w:val="24"/>
          <w:szCs w:val="24"/>
          <w:lang w:val="fr-FR"/>
        </w:rPr>
        <w:t>mL</w:t>
      </w:r>
      <w:proofErr w:type="gramEnd"/>
      <w:r w:rsidRPr="006454DA">
        <w:rPr>
          <w:rFonts w:ascii="Times New Roman" w:hAnsi="Times New Roman" w:cs="Times New Roman"/>
          <w:sz w:val="24"/>
          <w:szCs w:val="24"/>
          <w:lang w:val="fr-FR"/>
        </w:rPr>
        <w:t>, mililiter</w:t>
      </w:r>
    </w:p>
    <w:p w14:paraId="72F1CE01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71597">
        <w:rPr>
          <w:rFonts w:ascii="Times New Roman" w:hAnsi="Times New Roman" w:cs="Times New Roman"/>
          <w:sz w:val="24"/>
          <w:szCs w:val="24"/>
        </w:rPr>
        <w:t xml:space="preserve"> Comparison of basal volume and 3rd month control volume (</w:t>
      </w:r>
      <w:r w:rsidRPr="0070426F">
        <w:rPr>
          <w:rFonts w:ascii="Times New Roman" w:hAnsi="Times New Roman" w:cs="Times New Roman"/>
          <w:i/>
          <w:iCs/>
          <w:sz w:val="24"/>
          <w:szCs w:val="24"/>
        </w:rPr>
        <w:t>p&lt;.001</w:t>
      </w:r>
      <w:r w:rsidRPr="00471597">
        <w:rPr>
          <w:rFonts w:ascii="Times New Roman" w:hAnsi="Times New Roman" w:cs="Times New Roman"/>
          <w:sz w:val="24"/>
          <w:szCs w:val="24"/>
        </w:rPr>
        <w:t>)</w:t>
      </w:r>
    </w:p>
    <w:p w14:paraId="4178EDE1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71597">
        <w:rPr>
          <w:rFonts w:ascii="Times New Roman" w:hAnsi="Times New Roman" w:cs="Times New Roman"/>
          <w:sz w:val="24"/>
          <w:szCs w:val="24"/>
        </w:rPr>
        <w:t xml:space="preserve"> Comparison of 3</w:t>
      </w:r>
      <w:r w:rsidRPr="00471597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471597">
        <w:rPr>
          <w:rFonts w:ascii="Times New Roman" w:hAnsi="Times New Roman" w:cs="Times New Roman"/>
          <w:sz w:val="24"/>
          <w:szCs w:val="24"/>
        </w:rPr>
        <w:t xml:space="preserve"> month and 6</w:t>
      </w:r>
      <w:r w:rsidRPr="0047159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71597">
        <w:rPr>
          <w:rFonts w:ascii="Times New Roman" w:hAnsi="Times New Roman" w:cs="Times New Roman"/>
          <w:sz w:val="24"/>
          <w:szCs w:val="24"/>
        </w:rPr>
        <w:t xml:space="preserve"> month control volumes (</w:t>
      </w:r>
      <w:r w:rsidRPr="0070426F">
        <w:rPr>
          <w:rFonts w:ascii="Times New Roman" w:hAnsi="Times New Roman" w:cs="Times New Roman"/>
          <w:i/>
          <w:iCs/>
          <w:sz w:val="24"/>
          <w:szCs w:val="24"/>
        </w:rPr>
        <w:t>p&lt;.001</w:t>
      </w:r>
      <w:r w:rsidRPr="00471597">
        <w:rPr>
          <w:rFonts w:ascii="Times New Roman" w:hAnsi="Times New Roman" w:cs="Times New Roman"/>
          <w:sz w:val="24"/>
          <w:szCs w:val="24"/>
        </w:rPr>
        <w:t>)</w:t>
      </w:r>
    </w:p>
    <w:p w14:paraId="574AB1C5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471597">
        <w:rPr>
          <w:rFonts w:ascii="Times New Roman" w:hAnsi="Times New Roman" w:cs="Times New Roman"/>
          <w:sz w:val="24"/>
          <w:szCs w:val="24"/>
        </w:rPr>
        <w:t>Comparison of basal volume and 6</w:t>
      </w:r>
      <w:r w:rsidRPr="0047159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71597">
        <w:rPr>
          <w:rFonts w:ascii="Times New Roman" w:hAnsi="Times New Roman" w:cs="Times New Roman"/>
          <w:sz w:val="24"/>
          <w:szCs w:val="24"/>
        </w:rPr>
        <w:t xml:space="preserve"> month control volume (</w:t>
      </w:r>
      <w:r w:rsidRPr="0070426F">
        <w:rPr>
          <w:rFonts w:ascii="Times New Roman" w:hAnsi="Times New Roman" w:cs="Times New Roman"/>
          <w:i/>
          <w:iCs/>
          <w:sz w:val="24"/>
          <w:szCs w:val="24"/>
        </w:rPr>
        <w:t>p&lt;.001</w:t>
      </w:r>
      <w:r w:rsidRPr="00471597">
        <w:rPr>
          <w:rFonts w:ascii="Times New Roman" w:hAnsi="Times New Roman" w:cs="Times New Roman"/>
          <w:sz w:val="24"/>
          <w:szCs w:val="24"/>
        </w:rPr>
        <w:t>)</w:t>
      </w:r>
    </w:p>
    <w:p w14:paraId="6792B505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471597">
        <w:rPr>
          <w:rFonts w:ascii="Times New Roman" w:hAnsi="Times New Roman" w:cs="Times New Roman"/>
          <w:sz w:val="24"/>
          <w:szCs w:val="24"/>
        </w:rPr>
        <w:t xml:space="preserve"> Comparison of basal volume and 3rd month control volume (</w:t>
      </w:r>
      <w:r w:rsidRPr="0070426F">
        <w:rPr>
          <w:rFonts w:ascii="Times New Roman" w:hAnsi="Times New Roman" w:cs="Times New Roman"/>
          <w:i/>
          <w:iCs/>
          <w:sz w:val="24"/>
          <w:szCs w:val="24"/>
        </w:rPr>
        <w:t>p&lt;.001</w:t>
      </w:r>
      <w:r w:rsidRPr="00471597">
        <w:rPr>
          <w:rFonts w:ascii="Times New Roman" w:hAnsi="Times New Roman" w:cs="Times New Roman"/>
          <w:sz w:val="24"/>
          <w:szCs w:val="24"/>
        </w:rPr>
        <w:t>)</w:t>
      </w:r>
    </w:p>
    <w:p w14:paraId="02377496" w14:textId="77777777" w:rsidR="008B192F" w:rsidRPr="00471597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47159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71597">
        <w:rPr>
          <w:rFonts w:ascii="Times New Roman" w:hAnsi="Times New Roman" w:cs="Times New Roman"/>
          <w:sz w:val="24"/>
          <w:szCs w:val="24"/>
        </w:rPr>
        <w:t>Comparison of 3</w:t>
      </w:r>
      <w:r w:rsidRPr="00471597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471597">
        <w:rPr>
          <w:rFonts w:ascii="Times New Roman" w:hAnsi="Times New Roman" w:cs="Times New Roman"/>
          <w:sz w:val="24"/>
          <w:szCs w:val="24"/>
        </w:rPr>
        <w:t xml:space="preserve"> month and 6</w:t>
      </w:r>
      <w:r w:rsidRPr="0047159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71597">
        <w:rPr>
          <w:rFonts w:ascii="Times New Roman" w:hAnsi="Times New Roman" w:cs="Times New Roman"/>
          <w:sz w:val="24"/>
          <w:szCs w:val="24"/>
        </w:rPr>
        <w:t xml:space="preserve"> month control volumes (</w:t>
      </w:r>
      <w:r w:rsidRPr="0070426F">
        <w:rPr>
          <w:rFonts w:ascii="Times New Roman" w:hAnsi="Times New Roman" w:cs="Times New Roman"/>
          <w:i/>
          <w:iCs/>
          <w:sz w:val="24"/>
          <w:szCs w:val="24"/>
        </w:rPr>
        <w:t>p&lt;.001</w:t>
      </w:r>
      <w:r w:rsidRPr="00471597">
        <w:rPr>
          <w:rFonts w:ascii="Times New Roman" w:hAnsi="Times New Roman" w:cs="Times New Roman"/>
          <w:sz w:val="24"/>
          <w:szCs w:val="24"/>
        </w:rPr>
        <w:t>)</w:t>
      </w:r>
    </w:p>
    <w:p w14:paraId="248043F5" w14:textId="77777777" w:rsidR="008B192F" w:rsidRDefault="008B192F" w:rsidP="008B192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471597">
        <w:rPr>
          <w:rFonts w:ascii="Times New Roman" w:hAnsi="Times New Roman" w:cs="Times New Roman"/>
          <w:sz w:val="24"/>
          <w:szCs w:val="24"/>
        </w:rPr>
        <w:t xml:space="preserve"> Comparison of basal volume and 6</w:t>
      </w:r>
      <w:r w:rsidRPr="0047159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71597">
        <w:rPr>
          <w:rFonts w:ascii="Times New Roman" w:hAnsi="Times New Roman" w:cs="Times New Roman"/>
          <w:sz w:val="24"/>
          <w:szCs w:val="24"/>
        </w:rPr>
        <w:t xml:space="preserve"> month control volume (</w:t>
      </w:r>
      <w:r w:rsidRPr="0070426F">
        <w:rPr>
          <w:rFonts w:ascii="Times New Roman" w:hAnsi="Times New Roman" w:cs="Times New Roman"/>
          <w:i/>
          <w:iCs/>
          <w:sz w:val="24"/>
          <w:szCs w:val="24"/>
        </w:rPr>
        <w:t>p&lt;.001</w:t>
      </w:r>
      <w:r w:rsidRPr="00471597">
        <w:rPr>
          <w:rFonts w:ascii="Times New Roman" w:hAnsi="Times New Roman" w:cs="Times New Roman"/>
          <w:sz w:val="24"/>
          <w:szCs w:val="24"/>
        </w:rPr>
        <w:t>)</w:t>
      </w:r>
    </w:p>
    <w:p w14:paraId="43BA315C" w14:textId="23A4074F" w:rsidR="009542D6" w:rsidRPr="008B192F" w:rsidRDefault="008B192F" w:rsidP="008B19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5AD6">
        <w:rPr>
          <w:rFonts w:ascii="Times New Roman" w:hAnsi="Times New Roman" w:cs="Times New Roman"/>
          <w:sz w:val="24"/>
          <w:szCs w:val="24"/>
        </w:rPr>
        <w:t>* </w:t>
      </w:r>
      <w:r w:rsidRPr="008D5AD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D5AD6">
        <w:rPr>
          <w:rFonts w:ascii="Times New Roman" w:hAnsi="Times New Roman" w:cs="Times New Roman"/>
          <w:sz w:val="24"/>
          <w:szCs w:val="24"/>
        </w:rPr>
        <w:t> &lt;.05</w:t>
      </w:r>
    </w:p>
    <w:sectPr w:rsidR="009542D6" w:rsidRPr="008B192F" w:rsidSect="008B192F">
      <w:footerReference w:type="default" r:id="rId4"/>
      <w:pgSz w:w="12240" w:h="15840"/>
      <w:pgMar w:top="1417" w:right="1417" w:bottom="1417" w:left="1417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49410993"/>
      <w:docPartObj>
        <w:docPartGallery w:val="Page Numbers (Bottom of Page)"/>
        <w:docPartUnique/>
      </w:docPartObj>
    </w:sdtPr>
    <w:sdtContent>
      <w:p w14:paraId="7005AC98" w14:textId="77777777" w:rsidR="008B192F" w:rsidRDefault="008B192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r-TR"/>
          </w:rPr>
          <w:t>2</w:t>
        </w:r>
        <w:r>
          <w:fldChar w:fldCharType="end"/>
        </w:r>
      </w:p>
    </w:sdtContent>
  </w:sdt>
  <w:p w14:paraId="24BB4658" w14:textId="77777777" w:rsidR="008B192F" w:rsidRDefault="008B192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92F"/>
    <w:rsid w:val="00264C10"/>
    <w:rsid w:val="00470242"/>
    <w:rsid w:val="00726E03"/>
    <w:rsid w:val="008B192F"/>
    <w:rsid w:val="009542D6"/>
    <w:rsid w:val="009F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7323D"/>
  <w15:chartTrackingRefBased/>
  <w15:docId w15:val="{AAE9F736-305C-42E4-98B8-674F76D91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92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19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9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92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92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92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92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92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92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92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9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9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9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9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9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9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9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9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9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9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19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92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19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92F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19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92F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19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9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9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92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B19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92F"/>
    <w:rPr>
      <w:rFonts w:eastAsiaTheme="minorHAnsi"/>
      <w:kern w:val="0"/>
      <w:sz w:val="22"/>
      <w:szCs w:val="22"/>
      <w:lang w:eastAsia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B1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802</Words>
  <Characters>4573</Characters>
  <Application>Microsoft Office Word</Application>
  <DocSecurity>0</DocSecurity>
  <Lines>38</Lines>
  <Paragraphs>10</Paragraphs>
  <ScaleCrop>false</ScaleCrop>
  <Company/>
  <LinksUpToDate>false</LinksUpToDate>
  <CharactersWithSpaces>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2025-09-30T10:43:00Z</dcterms:created>
  <dcterms:modified xsi:type="dcterms:W3CDTF">2025-09-30T10:44:00Z</dcterms:modified>
</cp:coreProperties>
</file>