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1B1BE7" w14:textId="77777777" w:rsidR="007D7E73" w:rsidRPr="00B26210" w:rsidRDefault="007D7E73" w:rsidP="007D7E73">
      <w:pPr>
        <w:spacing w:line="360" w:lineRule="auto"/>
        <w:jc w:val="both"/>
        <w:rPr>
          <w:rFonts w:ascii="Times New Roman" w:hAnsi="Times New Roman" w:cs="Times New Roman"/>
          <w:sz w:val="24"/>
          <w:szCs w:val="24"/>
          <w:lang w:val="en-US"/>
        </w:rPr>
      </w:pPr>
      <w:r w:rsidRPr="00D3551A">
        <w:rPr>
          <w:rFonts w:ascii="Times New Roman" w:hAnsi="Times New Roman" w:cs="Times New Roman"/>
          <w:b/>
          <w:bCs/>
          <w:sz w:val="24"/>
          <w:szCs w:val="24"/>
          <w:lang w:val="en-US"/>
        </w:rPr>
        <w:t xml:space="preserve">Supplementary </w:t>
      </w:r>
      <w:r w:rsidRPr="00B26210">
        <w:rPr>
          <w:rFonts w:ascii="Times New Roman" w:hAnsi="Times New Roman" w:cs="Times New Roman"/>
          <w:b/>
          <w:bCs/>
          <w:sz w:val="24"/>
          <w:szCs w:val="24"/>
          <w:lang w:val="en-US"/>
        </w:rPr>
        <w:t xml:space="preserve">Figure 1 – </w:t>
      </w:r>
      <w:r w:rsidRPr="00F81BA2">
        <w:rPr>
          <w:rFonts w:ascii="Times New Roman" w:hAnsi="Times New Roman" w:cs="Times New Roman"/>
          <w:b/>
          <w:bCs/>
          <w:sz w:val="24"/>
          <w:szCs w:val="24"/>
          <w:lang w:val="en-US"/>
        </w:rPr>
        <w:t>Spearman correlation matrix between all available heart rate variability features (plus Total UMSARS 1 + 2).</w:t>
      </w:r>
      <w:r w:rsidRPr="00B26210">
        <w:rPr>
          <w:rFonts w:ascii="Times New Roman" w:hAnsi="Times New Roman" w:cs="Times New Roman"/>
          <w:sz w:val="24"/>
          <w:szCs w:val="24"/>
          <w:lang w:val="en-US"/>
        </w:rPr>
        <w:t xml:space="preserve"> Redder cells indicate stronger positive </w:t>
      </w:r>
      <w:proofErr w:type="gramStart"/>
      <w:r w:rsidRPr="00B26210">
        <w:rPr>
          <w:rFonts w:ascii="Times New Roman" w:hAnsi="Times New Roman" w:cs="Times New Roman"/>
          <w:sz w:val="24"/>
          <w:szCs w:val="24"/>
          <w:lang w:val="en-US"/>
        </w:rPr>
        <w:t>correlations,</w:t>
      </w:r>
      <w:proofErr w:type="gramEnd"/>
      <w:r w:rsidRPr="00B26210">
        <w:rPr>
          <w:rFonts w:ascii="Times New Roman" w:hAnsi="Times New Roman" w:cs="Times New Roman"/>
          <w:sz w:val="24"/>
          <w:szCs w:val="24"/>
          <w:lang w:val="en-US"/>
        </w:rPr>
        <w:t xml:space="preserve"> bluer cells indicate stronger negative correlations. As evidenced, extreme multicollinearity is widespread. In turn, correlations with the UMSARS scale are extremely weak.</w:t>
      </w:r>
    </w:p>
    <w:p w14:paraId="250A43E9" w14:textId="77777777" w:rsidR="007D7E73" w:rsidRPr="00B26210" w:rsidRDefault="007D7E73" w:rsidP="007D7E73">
      <w:pPr>
        <w:spacing w:line="360" w:lineRule="auto"/>
        <w:jc w:val="both"/>
        <w:rPr>
          <w:rFonts w:ascii="Times New Roman" w:hAnsi="Times New Roman" w:cs="Times New Roman"/>
          <w:b/>
          <w:bCs/>
          <w:sz w:val="24"/>
          <w:szCs w:val="24"/>
          <w:lang w:val="en-US"/>
        </w:rPr>
      </w:pPr>
    </w:p>
    <w:p w14:paraId="15DC1711" w14:textId="77777777" w:rsidR="007D7E73" w:rsidRPr="00B26210" w:rsidRDefault="007D7E73" w:rsidP="007D7E73">
      <w:pPr>
        <w:spacing w:line="360" w:lineRule="auto"/>
        <w:jc w:val="both"/>
        <w:rPr>
          <w:rFonts w:ascii="Times New Roman" w:hAnsi="Times New Roman" w:cs="Times New Roman"/>
          <w:sz w:val="24"/>
          <w:szCs w:val="24"/>
          <w:lang w:val="en-US"/>
        </w:rPr>
      </w:pPr>
      <w:r w:rsidRPr="00D3551A">
        <w:rPr>
          <w:rFonts w:ascii="Times New Roman" w:hAnsi="Times New Roman" w:cs="Times New Roman"/>
          <w:b/>
          <w:bCs/>
          <w:sz w:val="24"/>
          <w:szCs w:val="24"/>
          <w:lang w:val="en-US"/>
        </w:rPr>
        <w:t xml:space="preserve">Supplementary </w:t>
      </w:r>
      <w:r w:rsidRPr="00B26210">
        <w:rPr>
          <w:rFonts w:ascii="Times New Roman" w:hAnsi="Times New Roman" w:cs="Times New Roman"/>
          <w:b/>
          <w:bCs/>
          <w:sz w:val="24"/>
          <w:szCs w:val="24"/>
          <w:lang w:val="en-US"/>
        </w:rPr>
        <w:t xml:space="preserve">Figure 2 – Spearman correlation coefficients between each heart rate variability (HRV) feature and clinical measures. </w:t>
      </w:r>
      <w:r w:rsidRPr="00B26210">
        <w:rPr>
          <w:rFonts w:ascii="Times New Roman" w:hAnsi="Times New Roman" w:cs="Times New Roman"/>
          <w:sz w:val="24"/>
          <w:szCs w:val="24"/>
          <w:lang w:val="en-US"/>
        </w:rPr>
        <w:t>HRV features (+ UMSARS) were correlated separately with each disease progression measure using the Spearman rank correlation test, and the results are presented as two series for comparison. The bars represent the strength and direction of the correlations, with positive values indicating direct relationships and negative values indicating inverse relationships.</w:t>
      </w:r>
    </w:p>
    <w:p w14:paraId="376D9D5A" w14:textId="77777777" w:rsidR="007D7E73" w:rsidRPr="00B26210" w:rsidRDefault="007D7E73" w:rsidP="007D7E73">
      <w:pPr>
        <w:spacing w:line="360" w:lineRule="auto"/>
        <w:jc w:val="both"/>
        <w:rPr>
          <w:rFonts w:ascii="Times New Roman" w:hAnsi="Times New Roman" w:cs="Times New Roman"/>
          <w:b/>
          <w:bCs/>
          <w:sz w:val="24"/>
          <w:szCs w:val="24"/>
          <w:lang w:val="en-US"/>
        </w:rPr>
      </w:pPr>
    </w:p>
    <w:p w14:paraId="033A45B0" w14:textId="77777777" w:rsidR="007D7E73" w:rsidRPr="00B26210" w:rsidRDefault="007D7E73" w:rsidP="007D7E73">
      <w:pPr>
        <w:spacing w:line="360" w:lineRule="auto"/>
        <w:jc w:val="both"/>
        <w:rPr>
          <w:rFonts w:ascii="Times New Roman" w:hAnsi="Times New Roman" w:cs="Times New Roman"/>
          <w:sz w:val="24"/>
          <w:szCs w:val="24"/>
          <w:lang w:val="en-US"/>
        </w:rPr>
      </w:pPr>
      <w:r w:rsidRPr="00D3551A">
        <w:rPr>
          <w:rFonts w:ascii="Times New Roman" w:hAnsi="Times New Roman" w:cs="Times New Roman"/>
          <w:b/>
          <w:bCs/>
          <w:sz w:val="24"/>
          <w:szCs w:val="24"/>
          <w:lang w:val="en-US"/>
        </w:rPr>
        <w:t xml:space="preserve">Supplementary </w:t>
      </w:r>
      <w:r w:rsidRPr="00B26210">
        <w:rPr>
          <w:rFonts w:ascii="Times New Roman" w:hAnsi="Times New Roman" w:cs="Times New Roman"/>
          <w:b/>
          <w:bCs/>
          <w:sz w:val="24"/>
          <w:szCs w:val="24"/>
          <w:lang w:val="en-US"/>
        </w:rPr>
        <w:t xml:space="preserve">Figure 3 – </w:t>
      </w:r>
      <w:r w:rsidRPr="00CC5239">
        <w:rPr>
          <w:rFonts w:ascii="Times New Roman" w:hAnsi="Times New Roman" w:cs="Times New Roman"/>
          <w:b/>
          <w:bCs/>
          <w:sz w:val="24"/>
          <w:szCs w:val="24"/>
          <w:lang w:val="en-US"/>
        </w:rPr>
        <w:t>Locally weight regression fit of the Total UMSARS (1+2) as a function of each of the 50 different heart rate variability features.</w:t>
      </w:r>
    </w:p>
    <w:p w14:paraId="6D90290E" w14:textId="77777777" w:rsidR="007D7E73" w:rsidRDefault="007D7E73" w:rsidP="007D7E73">
      <w:pPr>
        <w:spacing w:line="360" w:lineRule="auto"/>
        <w:jc w:val="both"/>
        <w:rPr>
          <w:rFonts w:ascii="Times New Roman" w:hAnsi="Times New Roman" w:cs="Times New Roman"/>
          <w:b/>
          <w:bCs/>
          <w:sz w:val="24"/>
          <w:szCs w:val="24"/>
          <w:lang w:val="en-US"/>
        </w:rPr>
      </w:pPr>
    </w:p>
    <w:p w14:paraId="4E84002A" w14:textId="77777777" w:rsidR="007D7E73" w:rsidRDefault="007D7E73" w:rsidP="007D7E73">
      <w:pPr>
        <w:spacing w:line="360" w:lineRule="auto"/>
        <w:jc w:val="both"/>
        <w:rPr>
          <w:rFonts w:ascii="Times New Roman" w:hAnsi="Times New Roman" w:cs="Times New Roman"/>
          <w:b/>
          <w:bCs/>
          <w:sz w:val="24"/>
          <w:szCs w:val="24"/>
          <w:lang w:val="en-US"/>
        </w:rPr>
      </w:pPr>
      <w:r w:rsidRPr="00F81BA2">
        <w:rPr>
          <w:rFonts w:ascii="Times New Roman" w:hAnsi="Times New Roman" w:cs="Times New Roman"/>
          <w:b/>
          <w:bCs/>
          <w:sz w:val="24"/>
          <w:szCs w:val="24"/>
          <w:lang w:val="en-US"/>
        </w:rPr>
        <w:t>Supplementary Figure 4 – Feature selection results for HRV features + Age + Gender in predicting UMSARS.</w:t>
      </w:r>
      <w:r>
        <w:rPr>
          <w:rFonts w:ascii="Times New Roman" w:hAnsi="Times New Roman" w:cs="Times New Roman"/>
          <w:b/>
          <w:bCs/>
          <w:sz w:val="24"/>
          <w:szCs w:val="24"/>
          <w:lang w:val="en-US"/>
        </w:rPr>
        <w:t xml:space="preserve"> </w:t>
      </w:r>
      <w:r w:rsidRPr="00F81BA2">
        <w:rPr>
          <w:rFonts w:ascii="Times New Roman" w:hAnsi="Times New Roman" w:cs="Times New Roman"/>
          <w:sz w:val="24"/>
          <w:szCs w:val="24"/>
          <w:lang w:val="en-US"/>
        </w:rPr>
        <w:t xml:space="preserve">To identify which HRV features best predict the gold-standard UMSARS (parts 1 + 2), while accounting for age, gender, and extreme multicollinearity, both Ridge (L2) and LASSO (L1) regularized regressions were applied. These models penalize large coefficients to reduce overfitting and enhance interpretability. LASSO (a) performs variable selection by shrinking some coefficients to zero, highlighting the most informative predictors. Ridge (b), in contrast, shrinks all coefficients but retains all variables, distributing influence more broadly. Both models were tuned via 10-fold cross-validation, selecting the optimal penalty parameter (lambda) by minimizing mean cross-validated error (MSE). All predictors were standardized before training, a critical step since regularization penalties depend on coefficient magnitudes. Positive coefficients indicate variables associated with higher UMSARS scores, while negative coefficients indicate an association with lower scores. The coefficient magnitude reflects the strength of association in the context of standardized variables. LASSO plots highlight the selected features; Ridge coefficients, though less sparse, remain informative in terms of relative importance. These models assume a linear relationship </w:t>
      </w:r>
      <w:r w:rsidRPr="00F81BA2">
        <w:rPr>
          <w:rFonts w:ascii="Times New Roman" w:hAnsi="Times New Roman" w:cs="Times New Roman"/>
          <w:sz w:val="24"/>
          <w:szCs w:val="24"/>
          <w:lang w:val="en-US"/>
        </w:rPr>
        <w:lastRenderedPageBreak/>
        <w:t xml:space="preserve">between predictors and the UMSARS score, holding other factors constant. (c) Best subset regression diagnostics evaluate model performance across varying numbers of variables. Adjusted R² reflects variance explained while penalizing </w:t>
      </w:r>
      <w:proofErr w:type="gramStart"/>
      <w:r w:rsidRPr="00F81BA2">
        <w:rPr>
          <w:rFonts w:ascii="Times New Roman" w:hAnsi="Times New Roman" w:cs="Times New Roman"/>
          <w:sz w:val="24"/>
          <w:szCs w:val="24"/>
          <w:lang w:val="en-US"/>
        </w:rPr>
        <w:t>complexity;</w:t>
      </w:r>
      <w:proofErr w:type="gramEnd"/>
      <w:r w:rsidRPr="00F81BA2">
        <w:rPr>
          <w:rFonts w:ascii="Times New Roman" w:hAnsi="Times New Roman" w:cs="Times New Roman"/>
          <w:sz w:val="24"/>
          <w:szCs w:val="24"/>
          <w:lang w:val="en-US"/>
        </w:rPr>
        <w:t xml:space="preserve"> its peak marks the most efficient model. Mallow’s Cp assesses bias and variance, with optimal models showing Cp ≈ number of predictors. BIC identifies the best trade-off between fit and simplicity, favoring models with minimized values. RSS tracks residual error, decreasing with more variables but flattening as added predictors contribute less. (d) The variable inclusion matrix shows which variables are selected across models of increasing size. Columns represent model size, rows represent predictors. Filled cells mark inclusion. Variables consistently selected across smaller and larger models are likely strong predictors. Patterns in the matrix may suggest redundancy or interaction among predictors.</w:t>
      </w:r>
    </w:p>
    <w:p w14:paraId="39072266" w14:textId="77777777" w:rsidR="007D7E73" w:rsidRPr="00B26210" w:rsidRDefault="007D7E73" w:rsidP="007D7E73">
      <w:pPr>
        <w:spacing w:line="360" w:lineRule="auto"/>
        <w:jc w:val="both"/>
        <w:rPr>
          <w:rFonts w:ascii="Times New Roman" w:hAnsi="Times New Roman" w:cs="Times New Roman"/>
          <w:b/>
          <w:bCs/>
          <w:sz w:val="24"/>
          <w:szCs w:val="24"/>
          <w:lang w:val="en-US"/>
        </w:rPr>
      </w:pPr>
    </w:p>
    <w:p w14:paraId="61BF8668" w14:textId="77777777" w:rsidR="007D7E73" w:rsidRPr="00F81BA2" w:rsidRDefault="007D7E73" w:rsidP="007D7E73">
      <w:pPr>
        <w:spacing w:line="360" w:lineRule="auto"/>
        <w:jc w:val="both"/>
        <w:rPr>
          <w:rFonts w:ascii="Times New Roman" w:hAnsi="Times New Roman" w:cs="Times New Roman"/>
          <w:sz w:val="24"/>
          <w:szCs w:val="24"/>
          <w:lang w:val="en-US"/>
        </w:rPr>
      </w:pPr>
      <w:r w:rsidRPr="00F81BA2">
        <w:rPr>
          <w:rFonts w:ascii="Times New Roman" w:hAnsi="Times New Roman" w:cs="Times New Roman"/>
          <w:b/>
          <w:bCs/>
          <w:sz w:val="24"/>
          <w:szCs w:val="24"/>
          <w:lang w:val="en-US"/>
        </w:rPr>
        <w:t>Supplementary Figure 5 – Neural network model for predicting standardized UMSARS 1 and 2 scores.</w:t>
      </w:r>
      <w:r>
        <w:rPr>
          <w:rFonts w:ascii="Times New Roman" w:hAnsi="Times New Roman" w:cs="Times New Roman"/>
          <w:b/>
          <w:bCs/>
          <w:sz w:val="24"/>
          <w:szCs w:val="24"/>
          <w:lang w:val="en-US"/>
        </w:rPr>
        <w:t xml:space="preserve"> </w:t>
      </w:r>
      <w:r w:rsidRPr="00F81BA2">
        <w:rPr>
          <w:rFonts w:ascii="Times New Roman" w:hAnsi="Times New Roman" w:cs="Times New Roman"/>
          <w:sz w:val="24"/>
          <w:szCs w:val="24"/>
          <w:lang w:val="en-US"/>
        </w:rPr>
        <w:t xml:space="preserve">A feed-forward neural network was developed to model complex relationships between HRV features and UMSARS scores. The architecture (a) includes an input layer, three hidden layers, and an output layer. Hyperparameters were tuned using grid search and trial-and-error. The model was optimized using the Adam optimizer with Mean Absolute Error (MAE) as the loss function. Dropout (rate = 0.2) was applied to reduce overfitting, and early stopping was used to prevent unnecessary training beyond the point of validation improvement. The final model parameters were the following. Number of hidden layers: 3, </w:t>
      </w:r>
      <w:proofErr w:type="gramStart"/>
      <w:r w:rsidRPr="00F81BA2">
        <w:rPr>
          <w:rFonts w:ascii="Times New Roman" w:hAnsi="Times New Roman" w:cs="Times New Roman"/>
          <w:sz w:val="24"/>
          <w:szCs w:val="24"/>
          <w:lang w:val="en-US"/>
        </w:rPr>
        <w:t>Units in</w:t>
      </w:r>
      <w:proofErr w:type="gramEnd"/>
      <w:r w:rsidRPr="00F81BA2">
        <w:rPr>
          <w:rFonts w:ascii="Times New Roman" w:hAnsi="Times New Roman" w:cs="Times New Roman"/>
          <w:sz w:val="24"/>
          <w:szCs w:val="24"/>
          <w:lang w:val="en-US"/>
        </w:rPr>
        <w:t xml:space="preserve"> input layer: 128, Optimizer: Adam, Best validation MAE: 0.8825 (b) The SHapley Additive </w:t>
      </w:r>
      <w:proofErr w:type="gramStart"/>
      <w:r w:rsidRPr="00F81BA2">
        <w:rPr>
          <w:rFonts w:ascii="Times New Roman" w:hAnsi="Times New Roman" w:cs="Times New Roman"/>
          <w:sz w:val="24"/>
          <w:szCs w:val="24"/>
          <w:lang w:val="en-US"/>
        </w:rPr>
        <w:t>exPlanations</w:t>
      </w:r>
      <w:proofErr w:type="gramEnd"/>
      <w:r w:rsidRPr="00F81BA2">
        <w:rPr>
          <w:rFonts w:ascii="Times New Roman" w:hAnsi="Times New Roman" w:cs="Times New Roman"/>
          <w:sz w:val="24"/>
          <w:szCs w:val="24"/>
          <w:lang w:val="en-US"/>
        </w:rPr>
        <w:t xml:space="preserve"> (SHAP) summary plot ranks the 50 HRV features by their importance in predicting UMSARS. Each point shows a feature’s contribution to an individual prediction in the test set (n = 36). SHAP values indicate direction and magnitude of influence: features like “1V,” “sample entropy,” and “approximate entropy” are associated with lower UMSARS predictions, while features like “Lempel-Ziv Complexity” and “H DFA” are linked to higher predicted scores. (c) Kernel density plots compare distributions of actual (blue) and predicted (pink) UMSARS scores. Close alignment between the two curves reflects strong model performance and accurate score estimation. (d) The scatter plot compares actual vs. predicted UMSARS scores, with a reference line indicating perfect prediction. Points clustering around the line suggest high model accuracy; deviations mark weaker predictions. (e) A correlation heatmap quantifies the relationship between actual and predicted scores. A high correlation coefficient indicates the model’s strong predictive alignment with true outcomes. (f) The </w:t>
      </w:r>
      <w:r w:rsidRPr="00F81BA2">
        <w:rPr>
          <w:rFonts w:ascii="Times New Roman" w:hAnsi="Times New Roman" w:cs="Times New Roman"/>
          <w:sz w:val="24"/>
          <w:szCs w:val="24"/>
          <w:lang w:val="en-US"/>
        </w:rPr>
        <w:lastRenderedPageBreak/>
        <w:t>training and validation MAE plot over epochs visualizes model convergence. A steady decline in training error alongside stable validation error suggests effective learning and minimal overfitting.</w:t>
      </w:r>
    </w:p>
    <w:p w14:paraId="0B943E71" w14:textId="77777777" w:rsidR="007D7E73" w:rsidRDefault="007D7E73" w:rsidP="007D7E73">
      <w:pPr>
        <w:spacing w:line="360" w:lineRule="auto"/>
        <w:jc w:val="both"/>
        <w:rPr>
          <w:rFonts w:ascii="Times New Roman" w:hAnsi="Times New Roman" w:cs="Times New Roman"/>
          <w:b/>
          <w:bCs/>
          <w:sz w:val="24"/>
          <w:szCs w:val="24"/>
          <w:lang w:val="en-US"/>
        </w:rPr>
      </w:pPr>
    </w:p>
    <w:p w14:paraId="512C35CA" w14:textId="77777777" w:rsidR="007D7E73" w:rsidRPr="00CC5239" w:rsidRDefault="007D7E73" w:rsidP="007D7E73">
      <w:pPr>
        <w:spacing w:line="360" w:lineRule="auto"/>
        <w:jc w:val="both"/>
        <w:rPr>
          <w:rFonts w:ascii="Times New Roman" w:hAnsi="Times New Roman" w:cs="Times New Roman"/>
          <w:b/>
          <w:bCs/>
          <w:sz w:val="24"/>
          <w:szCs w:val="24"/>
          <w:lang w:val="en-US"/>
        </w:rPr>
      </w:pPr>
    </w:p>
    <w:p w14:paraId="28185DD3" w14:textId="77777777" w:rsidR="007D7E73" w:rsidRPr="00CC5239" w:rsidRDefault="007D7E73" w:rsidP="007D7E73">
      <w:pPr>
        <w:spacing w:line="360" w:lineRule="auto"/>
        <w:jc w:val="both"/>
        <w:rPr>
          <w:rFonts w:ascii="Times New Roman" w:hAnsi="Times New Roman" w:cs="Times New Roman"/>
          <w:b/>
          <w:bCs/>
          <w:sz w:val="24"/>
          <w:szCs w:val="24"/>
          <w:lang w:val="en-US"/>
        </w:rPr>
      </w:pPr>
      <w:r w:rsidRPr="00CC5239">
        <w:rPr>
          <w:rFonts w:ascii="Times New Roman" w:hAnsi="Times New Roman" w:cs="Times New Roman"/>
          <w:b/>
          <w:bCs/>
          <w:sz w:val="24"/>
          <w:szCs w:val="24"/>
          <w:lang w:val="en-US"/>
        </w:rPr>
        <w:t>Supplementary Figure 6 – Locally weight regression fit of the supine-to-standing systolic blood pressure deltas as a function of each of the 50 different heart rate variability features.</w:t>
      </w:r>
    </w:p>
    <w:p w14:paraId="49D44084" w14:textId="77777777" w:rsidR="007D7E73" w:rsidRPr="00B26210" w:rsidRDefault="007D7E73" w:rsidP="007D7E73">
      <w:pPr>
        <w:spacing w:line="360" w:lineRule="auto"/>
        <w:jc w:val="both"/>
        <w:rPr>
          <w:rFonts w:ascii="Times New Roman" w:hAnsi="Times New Roman" w:cs="Times New Roman"/>
          <w:b/>
          <w:bCs/>
          <w:sz w:val="24"/>
          <w:szCs w:val="24"/>
          <w:lang w:val="en-US"/>
        </w:rPr>
      </w:pPr>
    </w:p>
    <w:p w14:paraId="6EBBF220" w14:textId="77777777" w:rsidR="007D7E73" w:rsidRPr="00F81BA2" w:rsidRDefault="007D7E73" w:rsidP="007D7E73">
      <w:pPr>
        <w:spacing w:line="360" w:lineRule="auto"/>
        <w:jc w:val="both"/>
        <w:rPr>
          <w:rFonts w:ascii="Times New Roman" w:hAnsi="Times New Roman" w:cs="Times New Roman"/>
          <w:sz w:val="24"/>
          <w:szCs w:val="24"/>
          <w:lang w:val="en-US"/>
        </w:rPr>
      </w:pPr>
      <w:r w:rsidRPr="00F81BA2">
        <w:rPr>
          <w:rFonts w:ascii="Times New Roman" w:hAnsi="Times New Roman" w:cs="Times New Roman"/>
          <w:b/>
          <w:bCs/>
          <w:sz w:val="24"/>
          <w:szCs w:val="24"/>
          <w:lang w:val="en-US"/>
        </w:rPr>
        <w:t>Supplementary Figure 7 – Feature selection results for HRV features in predicting UMSARS 3 supine-to-standing systolic blood pressure change.</w:t>
      </w:r>
      <w:r>
        <w:rPr>
          <w:rFonts w:ascii="Times New Roman" w:hAnsi="Times New Roman" w:cs="Times New Roman"/>
          <w:b/>
          <w:bCs/>
          <w:sz w:val="24"/>
          <w:szCs w:val="24"/>
          <w:lang w:val="en-US"/>
        </w:rPr>
        <w:t xml:space="preserve"> </w:t>
      </w:r>
      <w:r w:rsidRPr="00F81BA2">
        <w:rPr>
          <w:rFonts w:ascii="Times New Roman" w:hAnsi="Times New Roman" w:cs="Times New Roman"/>
          <w:sz w:val="24"/>
          <w:szCs w:val="24"/>
          <w:lang w:val="en-US"/>
        </w:rPr>
        <w:t xml:space="preserve">To identify HRV features predictive of UMSARS 3 (supine-to-standing systolic blood pressure delta), LASSO (L1) and Ridge (L2) regression were used to address multicollinearity and perform regularized feature selection. LASSO (a) shrinks some coefficients to zero, selecting only the most informative predictors. Ridge (b) retains all variables but shrinks their coefficients, distributing influence across features. These techniques reduce overfitting by penalizing large coefficients and encouraging simpler, more generalizable models. Both models were tuned using 10-fold cross-validation, selecting the optimal lambda (penalty parameter) by minimizing mean cross-validated error (MSE). All predictors were standardized prior to training, ensuring comparability across features—essential since regularization depends on coefficient magnitudes. Positive coefficients indicate features associated with an increase in systolic BP change; negative coefficients indicate a decrease. The magnitude of standardized coefficients reflects the strength of association. LASSO results highlight the most relevant variables through non-zero bars, while Ridge shows relative importance through smaller but comprehensive coefficients. Both models assume a linear relationship between predictors and the blood pressure delta, holding other factors constant. (c) Best subset regression diagnostics evaluate models with increasing variable counts. Adjusted R² measures explained variance while penalizing complexity; its peak indicates the most efficient model. Mallow’s Cp assesses bias and variance. Optimal models have Cp ≈ number of predictors; higher values may suggest overfitting. BIC favors models balancing </w:t>
      </w:r>
      <w:proofErr w:type="gramStart"/>
      <w:r w:rsidRPr="00F81BA2">
        <w:rPr>
          <w:rFonts w:ascii="Times New Roman" w:hAnsi="Times New Roman" w:cs="Times New Roman"/>
          <w:sz w:val="24"/>
          <w:szCs w:val="24"/>
          <w:lang w:val="en-US"/>
        </w:rPr>
        <w:t>fit</w:t>
      </w:r>
      <w:proofErr w:type="gramEnd"/>
      <w:r w:rsidRPr="00F81BA2">
        <w:rPr>
          <w:rFonts w:ascii="Times New Roman" w:hAnsi="Times New Roman" w:cs="Times New Roman"/>
          <w:sz w:val="24"/>
          <w:szCs w:val="24"/>
          <w:lang w:val="en-US"/>
        </w:rPr>
        <w:t xml:space="preserve"> and simplicity; lower BIC values are preferred. RSS tracks residual </w:t>
      </w:r>
      <w:proofErr w:type="gramStart"/>
      <w:r w:rsidRPr="00F81BA2">
        <w:rPr>
          <w:rFonts w:ascii="Times New Roman" w:hAnsi="Times New Roman" w:cs="Times New Roman"/>
          <w:sz w:val="24"/>
          <w:szCs w:val="24"/>
          <w:lang w:val="en-US"/>
        </w:rPr>
        <w:t>error</w:t>
      </w:r>
      <w:proofErr w:type="gramEnd"/>
      <w:r w:rsidRPr="00F81BA2">
        <w:rPr>
          <w:rFonts w:ascii="Times New Roman" w:hAnsi="Times New Roman" w:cs="Times New Roman"/>
          <w:sz w:val="24"/>
          <w:szCs w:val="24"/>
          <w:lang w:val="en-US"/>
        </w:rPr>
        <w:t xml:space="preserve">. While RSS generally declines with added predictors, diminishing returns often emerge beyond a certain point. (d) The variable inclusion matrix visualizes </w:t>
      </w:r>
      <w:r w:rsidRPr="00F81BA2">
        <w:rPr>
          <w:rFonts w:ascii="Times New Roman" w:hAnsi="Times New Roman" w:cs="Times New Roman"/>
          <w:sz w:val="24"/>
          <w:szCs w:val="24"/>
          <w:lang w:val="en-US"/>
        </w:rPr>
        <w:lastRenderedPageBreak/>
        <w:t>selected features across model sizes. Columns represent model sizes; rows denote individual predictors. Filled cells indicate inclusion. Features consistently selected in smaller and larger models likely offer strong explanatory value. The matrix also reveals redundancy or interactions, where certain features appear only when others are present.</w:t>
      </w:r>
    </w:p>
    <w:p w14:paraId="3B449E3A" w14:textId="77777777" w:rsidR="007D7E73" w:rsidRPr="00F81BA2" w:rsidRDefault="007D7E73" w:rsidP="007D7E73">
      <w:pPr>
        <w:spacing w:line="360" w:lineRule="auto"/>
        <w:jc w:val="both"/>
        <w:rPr>
          <w:rFonts w:ascii="Times New Roman" w:hAnsi="Times New Roman" w:cs="Times New Roman"/>
          <w:sz w:val="24"/>
          <w:szCs w:val="24"/>
          <w:lang w:val="en-US"/>
        </w:rPr>
      </w:pPr>
      <w:r w:rsidRPr="00B26210">
        <w:rPr>
          <w:rFonts w:ascii="Times New Roman" w:hAnsi="Times New Roman" w:cs="Times New Roman"/>
          <w:b/>
          <w:bCs/>
          <w:sz w:val="24"/>
          <w:szCs w:val="24"/>
          <w:lang w:val="en-US"/>
        </w:rPr>
        <w:br/>
      </w:r>
      <w:r w:rsidRPr="00F81BA2">
        <w:rPr>
          <w:rFonts w:ascii="Times New Roman" w:hAnsi="Times New Roman" w:cs="Times New Roman"/>
          <w:b/>
          <w:bCs/>
          <w:sz w:val="24"/>
          <w:szCs w:val="24"/>
          <w:lang w:val="en-US"/>
        </w:rPr>
        <w:t>Supplementary Figure 8 – Neural network model for predicting supine-to-standing systolic blood pressure delta</w:t>
      </w:r>
      <w:r>
        <w:rPr>
          <w:rFonts w:ascii="Times New Roman" w:hAnsi="Times New Roman" w:cs="Times New Roman"/>
          <w:b/>
          <w:bCs/>
          <w:sz w:val="24"/>
          <w:szCs w:val="24"/>
          <w:lang w:val="en-US"/>
        </w:rPr>
        <w:t xml:space="preserve"> </w:t>
      </w:r>
      <w:r w:rsidRPr="00F81BA2">
        <w:rPr>
          <w:rFonts w:ascii="Times New Roman" w:hAnsi="Times New Roman" w:cs="Times New Roman"/>
          <w:sz w:val="24"/>
          <w:szCs w:val="24"/>
          <w:lang w:val="en-US"/>
        </w:rPr>
        <w:t xml:space="preserve">A feed-forward neural network was developed to predict systolic blood pressure (SBP) change from supine to standing using HRV features. The architecture (a) includes an input layer, one hidden layer, and an output layer, designed to capture nonlinear relationships between input features and the target variable. Hyperparameter tuning involved grid search and trial and error. The model was trained using the RMSprop optimizer with Mean Absolute Error (MAE) as the loss function. Dropout (rate = 0.5) was applied for </w:t>
      </w:r>
      <w:proofErr w:type="gramStart"/>
      <w:r w:rsidRPr="00F81BA2">
        <w:rPr>
          <w:rFonts w:ascii="Times New Roman" w:hAnsi="Times New Roman" w:cs="Times New Roman"/>
          <w:sz w:val="24"/>
          <w:szCs w:val="24"/>
          <w:lang w:val="en-US"/>
        </w:rPr>
        <w:t>regularization, and</w:t>
      </w:r>
      <w:proofErr w:type="gramEnd"/>
      <w:r w:rsidRPr="00F81BA2">
        <w:rPr>
          <w:rFonts w:ascii="Times New Roman" w:hAnsi="Times New Roman" w:cs="Times New Roman"/>
          <w:sz w:val="24"/>
          <w:szCs w:val="24"/>
          <w:lang w:val="en-US"/>
        </w:rPr>
        <w:t xml:space="preserve"> early stopping halted training when validation performance plateaued. Final model parameters were as follows. Hidden layers: 1, Units in input layer: 32, Dropout rate: 0.5, Optimizer: RMSprop, Best validation MAE: 0.685 (b) The SHapley Additive exPlanations (SHAP) summary plot ranks the 50 HRV features by their contribution to the model’s predictions. Each point represents a feature’s impact on an individual prediction (test set n = 32). Positive and negative SHAP values indicate the direction of influence: higher “sample entropy” values increase predicted SBP deltas, while higher “2V %” and “1V” values reduce them. (c) Kernel density plots compare the distribution of actual (light blue) and predicted (light pink) SBP deltas. A strong overlap between the distributions indicates good predictive alignment. (d) The scatter plot shows the relationship between actual and predicted SBP deltas, with a reference line representing perfect prediction. Close clustering around this line reflects strong model performance; outliers highlight areas of weaker prediction. (e) The heatmap displays the correlation between actual and predicted values. A high correlation coefficient indicates that the model reliably captures the underlying trend in the data. (f) The training and validation MAE over epochs track model learning. A steady decline in training MAE and stabilization of validation MAE indicate convergence and effective regularization, with minimal overfitting.</w:t>
      </w:r>
    </w:p>
    <w:p w14:paraId="5276E06D" w14:textId="77777777" w:rsidR="007D7E73" w:rsidRPr="00F81BA2" w:rsidRDefault="007D7E73" w:rsidP="007D7E73">
      <w:pPr>
        <w:spacing w:line="360" w:lineRule="auto"/>
        <w:jc w:val="both"/>
        <w:rPr>
          <w:rFonts w:ascii="Times New Roman" w:hAnsi="Times New Roman" w:cs="Times New Roman"/>
          <w:sz w:val="24"/>
          <w:szCs w:val="24"/>
          <w:lang w:val="en-US"/>
        </w:rPr>
      </w:pPr>
    </w:p>
    <w:p w14:paraId="358C88C5" w14:textId="77777777" w:rsidR="007D7E73" w:rsidRPr="00CC5239" w:rsidRDefault="007D7E73" w:rsidP="007D7E73">
      <w:pPr>
        <w:spacing w:line="360" w:lineRule="auto"/>
        <w:jc w:val="both"/>
        <w:rPr>
          <w:rFonts w:ascii="Times New Roman" w:hAnsi="Times New Roman" w:cs="Times New Roman"/>
          <w:b/>
          <w:bCs/>
          <w:sz w:val="24"/>
          <w:szCs w:val="24"/>
          <w:lang w:val="en-US"/>
        </w:rPr>
      </w:pPr>
      <w:r w:rsidRPr="00CC5239">
        <w:rPr>
          <w:rFonts w:ascii="Times New Roman" w:hAnsi="Times New Roman" w:cs="Times New Roman"/>
          <w:b/>
          <w:bCs/>
          <w:sz w:val="24"/>
          <w:szCs w:val="24"/>
          <w:lang w:val="en-US"/>
        </w:rPr>
        <w:lastRenderedPageBreak/>
        <w:t>Supplementary Figure 9 – Locally weight regression fit of the Follow-up duration (months) as a function of each of the UMSARS of the 50 different heart rate variability features.</w:t>
      </w:r>
    </w:p>
    <w:p w14:paraId="6B67B8DE" w14:textId="77777777" w:rsidR="007D7E73" w:rsidRPr="00B26210" w:rsidRDefault="007D7E73" w:rsidP="007D7E73">
      <w:pPr>
        <w:spacing w:line="360" w:lineRule="auto"/>
        <w:jc w:val="both"/>
        <w:rPr>
          <w:rFonts w:ascii="Times New Roman" w:hAnsi="Times New Roman" w:cs="Times New Roman"/>
          <w:b/>
          <w:bCs/>
          <w:sz w:val="24"/>
          <w:szCs w:val="24"/>
          <w:lang w:val="en-US"/>
        </w:rPr>
      </w:pPr>
    </w:p>
    <w:p w14:paraId="052C0B8C" w14:textId="77777777" w:rsidR="007D7E73" w:rsidRPr="00CC5239" w:rsidRDefault="007D7E73" w:rsidP="007D7E73">
      <w:pPr>
        <w:spacing w:line="360" w:lineRule="auto"/>
        <w:jc w:val="both"/>
        <w:rPr>
          <w:rFonts w:ascii="Times New Roman" w:hAnsi="Times New Roman" w:cs="Times New Roman"/>
          <w:b/>
          <w:bCs/>
          <w:sz w:val="24"/>
          <w:szCs w:val="24"/>
          <w:lang w:val="en-US"/>
        </w:rPr>
      </w:pPr>
      <w:r w:rsidRPr="00CC5239">
        <w:rPr>
          <w:rFonts w:ascii="Times New Roman" w:hAnsi="Times New Roman" w:cs="Times New Roman"/>
          <w:b/>
          <w:bCs/>
          <w:sz w:val="24"/>
          <w:szCs w:val="24"/>
          <w:lang w:val="en-US"/>
        </w:rPr>
        <w:t>Supplementary Figure 10 – Predictive modeling of time-to-death in MSA patients using UMSARS, HRV features, symptom duration, and maximum SBP delta.</w:t>
      </w:r>
      <w:r>
        <w:rPr>
          <w:rFonts w:ascii="Times New Roman" w:hAnsi="Times New Roman" w:cs="Times New Roman"/>
          <w:b/>
          <w:bCs/>
          <w:sz w:val="24"/>
          <w:szCs w:val="24"/>
          <w:lang w:val="en-US"/>
        </w:rPr>
        <w:t xml:space="preserve"> </w:t>
      </w:r>
      <w:r w:rsidRPr="00CC5239">
        <w:rPr>
          <w:rFonts w:ascii="Times New Roman" w:hAnsi="Times New Roman" w:cs="Times New Roman"/>
          <w:sz w:val="24"/>
          <w:szCs w:val="24"/>
          <w:lang w:val="en-US"/>
        </w:rPr>
        <w:t>(a) Coefficients from the LASSO model show a sparse selection of key predictors. Notably, UMSARS, 1V%, and Higuchi emerged as dominant contributors to time-to-death prediction, with LASSO’s regularization eliminating less informative variables. (b) Ridge regression retains all variables, assigning smaller coefficients based on relative importance. Though less interpretable for selection, Ridge provides a comprehensive view of variable contribution. (c) This panel presents four diagnostic plots to evaluate best subset regression model performance across varying numbers of predictors. The adjusted R² plot shows explained variance, penalizing for model complexity. The peak adjusted R² indicates the most efficient model. The Mallow’s Cp plot assesses model bias and variance. Cp values near the number of predictors (p) suggest an optimal model; higher values indicate potential overfitting. The Bayesian Information Criterion (BIC) curve reflects the trade-off between model fit and simplicity. The model size with the lowest BIC is preferred. The Residual Sum of Squares (RSS) curve captures total residual error. While RSS generally decreases with more variables, diminishing returns are observed as complexity increases. (d) The variable inclusion matrix displays the features selected across models of increasing complexity. Columns represent model sizes, while rows represent individual predictors. Filled cells indicate inclusion. This matrix allows rapid identification of variables consistently chosen across small and large models. Variables like UMSARS and 1V% that appear early and persist across sizes are strong candidates for robust predictors. Additionally, patterns in inclusion may reveal redundancy or dependencies among features, offering insights into multivariate relationships. Together, these modeling approaches highlight the predictive value of integrating clinical (UMSARS, symptom duration), physiological (HRV), and autonomic (SBP delta) measures for survival modeling in MSA.</w:t>
      </w:r>
    </w:p>
    <w:p w14:paraId="05C3A6BF" w14:textId="77777777" w:rsidR="007D7E73" w:rsidRPr="00CC5239" w:rsidRDefault="007D7E73" w:rsidP="007D7E73">
      <w:pPr>
        <w:spacing w:line="360" w:lineRule="auto"/>
        <w:jc w:val="both"/>
        <w:rPr>
          <w:rFonts w:ascii="Times New Roman" w:hAnsi="Times New Roman" w:cs="Times New Roman"/>
          <w:b/>
          <w:bCs/>
          <w:sz w:val="24"/>
          <w:szCs w:val="24"/>
          <w:lang w:val="en-US"/>
        </w:rPr>
      </w:pPr>
    </w:p>
    <w:p w14:paraId="3DE0994C" w14:textId="77777777" w:rsidR="007D7E73" w:rsidRPr="00CC5239" w:rsidRDefault="007D7E73" w:rsidP="007D7E73">
      <w:pPr>
        <w:spacing w:line="360" w:lineRule="auto"/>
        <w:jc w:val="both"/>
        <w:rPr>
          <w:rFonts w:ascii="Times New Roman" w:hAnsi="Times New Roman" w:cs="Times New Roman"/>
          <w:sz w:val="24"/>
          <w:szCs w:val="24"/>
          <w:lang w:val="en-US"/>
        </w:rPr>
      </w:pPr>
      <w:r w:rsidRPr="00CC5239">
        <w:rPr>
          <w:rFonts w:ascii="Times New Roman" w:hAnsi="Times New Roman" w:cs="Times New Roman"/>
          <w:b/>
          <w:bCs/>
          <w:sz w:val="24"/>
          <w:szCs w:val="24"/>
          <w:lang w:val="en-US"/>
        </w:rPr>
        <w:t xml:space="preserve">Supplementary Figure 11 – Predictive modeling of time-to-death in MSA patients using UMSARS, HRV features, age, and gender. </w:t>
      </w:r>
      <w:r w:rsidRPr="00CC5239">
        <w:rPr>
          <w:rFonts w:ascii="Times New Roman" w:hAnsi="Times New Roman" w:cs="Times New Roman"/>
          <w:sz w:val="24"/>
          <w:szCs w:val="24"/>
          <w:lang w:val="en-US"/>
        </w:rPr>
        <w:t xml:space="preserve">(a) LASSO regression coefficients reveal a sparse selection of important variables, identifying 1V% and Higuchi as key predictors. LASSO’s </w:t>
      </w:r>
      <w:r w:rsidRPr="00CC5239">
        <w:rPr>
          <w:rFonts w:ascii="Times New Roman" w:hAnsi="Times New Roman" w:cs="Times New Roman"/>
          <w:sz w:val="24"/>
          <w:szCs w:val="24"/>
          <w:lang w:val="en-US"/>
        </w:rPr>
        <w:lastRenderedPageBreak/>
        <w:t>regularization drives many coefficients to zero, simplifying interpretation and highlighting variables with the greatest predictive value.</w:t>
      </w:r>
      <w:r>
        <w:rPr>
          <w:rFonts w:ascii="Times New Roman" w:hAnsi="Times New Roman" w:cs="Times New Roman"/>
          <w:sz w:val="24"/>
          <w:szCs w:val="24"/>
          <w:lang w:val="en-US"/>
        </w:rPr>
        <w:t xml:space="preserve"> </w:t>
      </w:r>
      <w:r w:rsidRPr="00CC5239">
        <w:rPr>
          <w:rFonts w:ascii="Times New Roman" w:hAnsi="Times New Roman" w:cs="Times New Roman"/>
          <w:sz w:val="24"/>
          <w:szCs w:val="24"/>
          <w:lang w:val="en-US"/>
        </w:rPr>
        <w:t>(b) In contrast, Ridge regression retains all predictors, shrinking coefficients based on relative contribution. While less interpretable for feature selection, Ridge helps evaluate the overall importance of each variable.</w:t>
      </w:r>
      <w:r>
        <w:rPr>
          <w:rFonts w:ascii="Times New Roman" w:hAnsi="Times New Roman" w:cs="Times New Roman"/>
          <w:sz w:val="24"/>
          <w:szCs w:val="24"/>
          <w:lang w:val="en-US"/>
        </w:rPr>
        <w:t xml:space="preserve"> </w:t>
      </w:r>
      <w:r w:rsidRPr="00CC5239">
        <w:rPr>
          <w:rFonts w:ascii="Times New Roman" w:hAnsi="Times New Roman" w:cs="Times New Roman"/>
          <w:sz w:val="24"/>
          <w:szCs w:val="24"/>
          <w:lang w:val="en-US"/>
        </w:rPr>
        <w:t>(c) Four diagnostic plots assess best subset regression performance across varying model sizes</w:t>
      </w:r>
      <w:r>
        <w:rPr>
          <w:rFonts w:ascii="Times New Roman" w:hAnsi="Times New Roman" w:cs="Times New Roman"/>
          <w:sz w:val="24"/>
          <w:szCs w:val="24"/>
          <w:lang w:val="en-US"/>
        </w:rPr>
        <w:t xml:space="preserve">. </w:t>
      </w:r>
      <w:r w:rsidRPr="00CC5239">
        <w:rPr>
          <w:rFonts w:ascii="Times New Roman" w:hAnsi="Times New Roman" w:cs="Times New Roman"/>
          <w:sz w:val="24"/>
          <w:szCs w:val="24"/>
          <w:lang w:val="en-US"/>
        </w:rPr>
        <w:t>The adjusted R² plot shows the proportion of variance explained, adjusted for the number of predictors. The highest value identifies the most efficient model.</w:t>
      </w:r>
      <w:r>
        <w:rPr>
          <w:rFonts w:ascii="Times New Roman" w:hAnsi="Times New Roman" w:cs="Times New Roman"/>
          <w:sz w:val="24"/>
          <w:szCs w:val="24"/>
          <w:lang w:val="en-US"/>
        </w:rPr>
        <w:t xml:space="preserve"> </w:t>
      </w:r>
      <w:r w:rsidRPr="00CC5239">
        <w:rPr>
          <w:rFonts w:ascii="Times New Roman" w:hAnsi="Times New Roman" w:cs="Times New Roman"/>
          <w:sz w:val="24"/>
          <w:szCs w:val="24"/>
          <w:lang w:val="en-US"/>
        </w:rPr>
        <w:t>The Mallow’s Cp plot evaluates bias and variance; optimal models have Cp values near the number of predictors (p), while higher Cp suggests overfitting.</w:t>
      </w:r>
      <w:r>
        <w:rPr>
          <w:rFonts w:ascii="Times New Roman" w:hAnsi="Times New Roman" w:cs="Times New Roman"/>
          <w:sz w:val="24"/>
          <w:szCs w:val="24"/>
          <w:lang w:val="en-US"/>
        </w:rPr>
        <w:t xml:space="preserve"> </w:t>
      </w:r>
      <w:r w:rsidRPr="00CC5239">
        <w:rPr>
          <w:rFonts w:ascii="Times New Roman" w:hAnsi="Times New Roman" w:cs="Times New Roman"/>
          <w:sz w:val="24"/>
          <w:szCs w:val="24"/>
          <w:lang w:val="en-US"/>
        </w:rPr>
        <w:t>The Bayesian Information Criterion (BIC) curve assesses model fit vs. complexity. The lowest BIC indicates the best balance between parsimony and performance.</w:t>
      </w:r>
      <w:r>
        <w:rPr>
          <w:rFonts w:ascii="Times New Roman" w:hAnsi="Times New Roman" w:cs="Times New Roman"/>
          <w:sz w:val="24"/>
          <w:szCs w:val="24"/>
          <w:lang w:val="en-US"/>
        </w:rPr>
        <w:t xml:space="preserve"> </w:t>
      </w:r>
      <w:r w:rsidRPr="00CC5239">
        <w:rPr>
          <w:rFonts w:ascii="Times New Roman" w:hAnsi="Times New Roman" w:cs="Times New Roman"/>
          <w:sz w:val="24"/>
          <w:szCs w:val="24"/>
          <w:lang w:val="en-US"/>
        </w:rPr>
        <w:t>The Residual Sum of Squares (RSS) curve shows total prediction error. RSS decreases as variables are added, but diminishing returns are observed as the model becomes more complex.</w:t>
      </w:r>
      <w:r>
        <w:rPr>
          <w:rFonts w:ascii="Times New Roman" w:hAnsi="Times New Roman" w:cs="Times New Roman"/>
          <w:sz w:val="24"/>
          <w:szCs w:val="24"/>
          <w:lang w:val="en-US"/>
        </w:rPr>
        <w:t xml:space="preserve"> </w:t>
      </w:r>
      <w:r w:rsidRPr="00CC5239">
        <w:rPr>
          <w:rFonts w:ascii="Times New Roman" w:hAnsi="Times New Roman" w:cs="Times New Roman"/>
          <w:sz w:val="24"/>
          <w:szCs w:val="24"/>
          <w:lang w:val="en-US"/>
        </w:rPr>
        <w:t>(d) The variable inclusion matrix summarizes which features are selected in best subset models of increasing size. Columns represent model sizes; rows correspond to individual predictors. Filled cells indicate feature inclusion.</w:t>
      </w:r>
      <w:r>
        <w:rPr>
          <w:rFonts w:ascii="Times New Roman" w:hAnsi="Times New Roman" w:cs="Times New Roman"/>
          <w:sz w:val="24"/>
          <w:szCs w:val="24"/>
          <w:lang w:val="en-US"/>
        </w:rPr>
        <w:t xml:space="preserve"> </w:t>
      </w:r>
      <w:r w:rsidRPr="00CC5239">
        <w:rPr>
          <w:rFonts w:ascii="Times New Roman" w:hAnsi="Times New Roman" w:cs="Times New Roman"/>
          <w:sz w:val="24"/>
          <w:szCs w:val="24"/>
          <w:lang w:val="en-US"/>
        </w:rPr>
        <w:t>This matrix enables quick identification of consistently selected predictors across models. Variables like 1V% and Higuchi that appear early and persist across larger models are likely strong predictors. The matrix also highlights potential redundancy or dependencies, as some features emerge only in conjunction with others.</w:t>
      </w:r>
      <w:r>
        <w:rPr>
          <w:rFonts w:ascii="Times New Roman" w:hAnsi="Times New Roman" w:cs="Times New Roman"/>
          <w:sz w:val="24"/>
          <w:szCs w:val="24"/>
          <w:lang w:val="en-US"/>
        </w:rPr>
        <w:t xml:space="preserve"> </w:t>
      </w:r>
      <w:r w:rsidRPr="00CC5239">
        <w:rPr>
          <w:rFonts w:ascii="Times New Roman" w:hAnsi="Times New Roman" w:cs="Times New Roman"/>
          <w:sz w:val="24"/>
          <w:szCs w:val="24"/>
          <w:lang w:val="en-US"/>
        </w:rPr>
        <w:t>Together, these analyses emphasize the value of combining clinical (UMSARS), physiological (HRV), and demographic (age, gender) data for modeling survival in MSA patients.</w:t>
      </w:r>
    </w:p>
    <w:p w14:paraId="6C65BD04" w14:textId="77777777" w:rsidR="007D7E73" w:rsidRPr="00B26210" w:rsidRDefault="007D7E73" w:rsidP="007D7E73">
      <w:pPr>
        <w:spacing w:line="360" w:lineRule="auto"/>
        <w:jc w:val="both"/>
        <w:rPr>
          <w:rFonts w:ascii="Times New Roman" w:hAnsi="Times New Roman" w:cs="Times New Roman"/>
          <w:sz w:val="24"/>
          <w:szCs w:val="24"/>
          <w:lang w:val="en-US"/>
        </w:rPr>
      </w:pPr>
    </w:p>
    <w:p w14:paraId="16113C70" w14:textId="77777777" w:rsidR="007D7E73" w:rsidRPr="00B26210" w:rsidRDefault="007D7E73" w:rsidP="007D7E73">
      <w:pPr>
        <w:spacing w:line="360" w:lineRule="auto"/>
        <w:jc w:val="both"/>
        <w:rPr>
          <w:rFonts w:ascii="Times New Roman" w:hAnsi="Times New Roman" w:cs="Times New Roman"/>
          <w:sz w:val="24"/>
          <w:szCs w:val="24"/>
          <w:lang w:val="en-US"/>
        </w:rPr>
      </w:pPr>
      <w:r w:rsidRPr="00D3551A">
        <w:rPr>
          <w:rFonts w:ascii="Times New Roman" w:hAnsi="Times New Roman" w:cs="Times New Roman"/>
          <w:b/>
          <w:bCs/>
          <w:sz w:val="24"/>
          <w:szCs w:val="24"/>
          <w:lang w:val="en-US"/>
        </w:rPr>
        <w:t xml:space="preserve">Supplementary </w:t>
      </w:r>
      <w:r w:rsidRPr="00B26210">
        <w:rPr>
          <w:rFonts w:ascii="Times New Roman" w:hAnsi="Times New Roman" w:cs="Times New Roman"/>
          <w:b/>
          <w:bCs/>
          <w:sz w:val="24"/>
          <w:szCs w:val="24"/>
          <w:lang w:val="en-US"/>
        </w:rPr>
        <w:t>Figure 1</w:t>
      </w:r>
      <w:r>
        <w:rPr>
          <w:rFonts w:ascii="Times New Roman" w:hAnsi="Times New Roman" w:cs="Times New Roman"/>
          <w:b/>
          <w:bCs/>
          <w:sz w:val="24"/>
          <w:szCs w:val="24"/>
          <w:lang w:val="en-US"/>
        </w:rPr>
        <w:t>2</w:t>
      </w:r>
      <w:r w:rsidRPr="00B26210">
        <w:rPr>
          <w:rFonts w:ascii="Times New Roman" w:hAnsi="Times New Roman" w:cs="Times New Roman"/>
          <w:b/>
          <w:bCs/>
          <w:sz w:val="24"/>
          <w:szCs w:val="24"/>
          <w:lang w:val="en-US"/>
        </w:rPr>
        <w:t xml:space="preserve"> – Ewing scores in MSA</w:t>
      </w:r>
      <w:r w:rsidRPr="00CC5239">
        <w:rPr>
          <w:rFonts w:ascii="Times New Roman" w:hAnsi="Times New Roman" w:cs="Times New Roman"/>
          <w:sz w:val="24"/>
          <w:szCs w:val="24"/>
          <w:lang w:val="en-US"/>
        </w:rPr>
        <w:t>. (a) Density plots for each of the Ewing scores. (b) Spearman correlation coefficients between each</w:t>
      </w:r>
      <w:r w:rsidRPr="00B26210">
        <w:rPr>
          <w:rFonts w:ascii="Times New Roman" w:hAnsi="Times New Roman" w:cs="Times New Roman"/>
          <w:sz w:val="24"/>
          <w:szCs w:val="24"/>
          <w:lang w:val="en-US"/>
        </w:rPr>
        <w:t xml:space="preserve"> Ewing test and the symptom duration at automimic system assessment, diagnosis duration at automimic system assessment, or follow-up duration post automimic system assessment (i.e., assessment to death or censoring). The bars represent the strength and direction of the correlations, with positive values indicating direct relationships and negative values indicating inverse relationships.</w:t>
      </w:r>
    </w:p>
    <w:p w14:paraId="2E486370" w14:textId="77777777" w:rsidR="007D7E73" w:rsidRPr="00B26210" w:rsidRDefault="007D7E73" w:rsidP="007D7E73">
      <w:pPr>
        <w:spacing w:line="360" w:lineRule="auto"/>
        <w:jc w:val="both"/>
        <w:rPr>
          <w:rFonts w:ascii="Times New Roman" w:hAnsi="Times New Roman" w:cs="Times New Roman"/>
          <w:b/>
          <w:bCs/>
          <w:sz w:val="24"/>
          <w:szCs w:val="24"/>
          <w:lang w:val="en-US"/>
        </w:rPr>
      </w:pPr>
    </w:p>
    <w:p w14:paraId="2A1B95DB" w14:textId="77777777" w:rsidR="007D7E73" w:rsidRPr="00CC5239" w:rsidRDefault="007D7E73" w:rsidP="007D7E73">
      <w:pPr>
        <w:spacing w:line="360" w:lineRule="auto"/>
        <w:jc w:val="both"/>
        <w:rPr>
          <w:rFonts w:ascii="Times New Roman" w:hAnsi="Times New Roman" w:cs="Times New Roman"/>
          <w:sz w:val="24"/>
          <w:szCs w:val="24"/>
          <w:lang w:val="en-US"/>
        </w:rPr>
      </w:pPr>
      <w:r w:rsidRPr="00CC5239">
        <w:rPr>
          <w:rFonts w:ascii="Times New Roman" w:hAnsi="Times New Roman" w:cs="Times New Roman"/>
          <w:b/>
          <w:bCs/>
          <w:sz w:val="24"/>
          <w:szCs w:val="24"/>
          <w:lang w:val="en-US"/>
        </w:rPr>
        <w:t xml:space="preserve">Supplementary Figure 13 – Ewing scores and disease severity in MSA. </w:t>
      </w:r>
      <w:r w:rsidRPr="00CC5239">
        <w:rPr>
          <w:rFonts w:ascii="Times New Roman" w:hAnsi="Times New Roman" w:cs="Times New Roman"/>
          <w:sz w:val="24"/>
          <w:szCs w:val="24"/>
          <w:lang w:val="en-US"/>
        </w:rPr>
        <w:t>Predictive modeling of UMSARS (a–d) and supine-to-standing systolic blood pressure delta (Delta SBP; e–h) using Ewing (sub)scores in MSA patients.</w:t>
      </w:r>
      <w:r>
        <w:rPr>
          <w:rFonts w:ascii="Times New Roman" w:hAnsi="Times New Roman" w:cs="Times New Roman"/>
          <w:sz w:val="24"/>
          <w:szCs w:val="24"/>
          <w:lang w:val="en-US"/>
        </w:rPr>
        <w:t xml:space="preserve"> </w:t>
      </w:r>
      <w:r w:rsidRPr="00CC5239">
        <w:rPr>
          <w:rFonts w:ascii="Times New Roman" w:hAnsi="Times New Roman" w:cs="Times New Roman"/>
          <w:sz w:val="24"/>
          <w:szCs w:val="24"/>
          <w:lang w:val="en-US"/>
        </w:rPr>
        <w:t xml:space="preserve">(a, e) LASSO model coefficients highlight key predictors </w:t>
      </w:r>
      <w:r w:rsidRPr="00CC5239">
        <w:rPr>
          <w:rFonts w:ascii="Times New Roman" w:hAnsi="Times New Roman" w:cs="Times New Roman"/>
          <w:sz w:val="24"/>
          <w:szCs w:val="24"/>
          <w:lang w:val="en-US"/>
        </w:rPr>
        <w:lastRenderedPageBreak/>
        <w:t>by shrinking some coefficients to zero, effectively performing variable selection.</w:t>
      </w:r>
      <w:r>
        <w:rPr>
          <w:rFonts w:ascii="Times New Roman" w:hAnsi="Times New Roman" w:cs="Times New Roman"/>
          <w:sz w:val="24"/>
          <w:szCs w:val="24"/>
          <w:lang w:val="en-US"/>
        </w:rPr>
        <w:t xml:space="preserve"> </w:t>
      </w:r>
      <w:r w:rsidRPr="00CC5239">
        <w:rPr>
          <w:rFonts w:ascii="Times New Roman" w:hAnsi="Times New Roman" w:cs="Times New Roman"/>
          <w:sz w:val="24"/>
          <w:szCs w:val="24"/>
          <w:lang w:val="en-US"/>
        </w:rPr>
        <w:t>(b, f) Ridge model coefficients retain all predictors, with magnitudes indicating their relative importance.</w:t>
      </w:r>
      <w:r>
        <w:rPr>
          <w:rFonts w:ascii="Times New Roman" w:hAnsi="Times New Roman" w:cs="Times New Roman"/>
          <w:sz w:val="24"/>
          <w:szCs w:val="24"/>
          <w:lang w:val="en-US"/>
        </w:rPr>
        <w:t xml:space="preserve"> </w:t>
      </w:r>
      <w:r w:rsidRPr="00CC5239">
        <w:rPr>
          <w:rFonts w:ascii="Times New Roman" w:hAnsi="Times New Roman" w:cs="Times New Roman"/>
          <w:sz w:val="24"/>
          <w:szCs w:val="24"/>
          <w:lang w:val="en-US"/>
        </w:rPr>
        <w:t>(c, g) Diagnostic plots evaluating model performance as a function of included variables</w:t>
      </w:r>
      <w:r>
        <w:rPr>
          <w:rFonts w:ascii="Times New Roman" w:hAnsi="Times New Roman" w:cs="Times New Roman"/>
          <w:sz w:val="24"/>
          <w:szCs w:val="24"/>
          <w:lang w:val="en-US"/>
        </w:rPr>
        <w:t xml:space="preserve">. </w:t>
      </w:r>
      <w:r w:rsidRPr="00CC5239">
        <w:rPr>
          <w:rFonts w:ascii="Times New Roman" w:hAnsi="Times New Roman" w:cs="Times New Roman"/>
          <w:sz w:val="24"/>
          <w:szCs w:val="24"/>
          <w:lang w:val="en-US"/>
        </w:rPr>
        <w:t>Adjusted R² indicates variance explained adjusted for model complexity, with maximum values signaling the best fit without overfitting.</w:t>
      </w:r>
      <w:r>
        <w:rPr>
          <w:rFonts w:ascii="Times New Roman" w:hAnsi="Times New Roman" w:cs="Times New Roman"/>
          <w:sz w:val="24"/>
          <w:szCs w:val="24"/>
          <w:lang w:val="en-US"/>
        </w:rPr>
        <w:t xml:space="preserve"> </w:t>
      </w:r>
      <w:r w:rsidRPr="00CC5239">
        <w:rPr>
          <w:rFonts w:ascii="Times New Roman" w:hAnsi="Times New Roman" w:cs="Times New Roman"/>
          <w:sz w:val="24"/>
          <w:szCs w:val="24"/>
          <w:lang w:val="en-US"/>
        </w:rPr>
        <w:t>Mallow’s Cp assesses bias and variance; values near the number of predictors (p) suggest well-balanced models, whereas higher values indicate overfitting.</w:t>
      </w:r>
      <w:r>
        <w:rPr>
          <w:rFonts w:ascii="Times New Roman" w:hAnsi="Times New Roman" w:cs="Times New Roman"/>
          <w:sz w:val="24"/>
          <w:szCs w:val="24"/>
          <w:lang w:val="en-US"/>
        </w:rPr>
        <w:t xml:space="preserve"> </w:t>
      </w:r>
      <w:r w:rsidRPr="00CC5239">
        <w:rPr>
          <w:rFonts w:ascii="Times New Roman" w:hAnsi="Times New Roman" w:cs="Times New Roman"/>
          <w:sz w:val="24"/>
          <w:szCs w:val="24"/>
          <w:lang w:val="en-US"/>
        </w:rPr>
        <w:t xml:space="preserve">Bayesian Information Criterion (BIC) identifies the optimal trade-off between goodness-of-fit and parsimony, with </w:t>
      </w:r>
      <w:proofErr w:type="gramStart"/>
      <w:r w:rsidRPr="00CC5239">
        <w:rPr>
          <w:rFonts w:ascii="Times New Roman" w:hAnsi="Times New Roman" w:cs="Times New Roman"/>
          <w:sz w:val="24"/>
          <w:szCs w:val="24"/>
          <w:lang w:val="en-US"/>
        </w:rPr>
        <w:t>minima</w:t>
      </w:r>
      <w:proofErr w:type="gramEnd"/>
      <w:r w:rsidRPr="00CC5239">
        <w:rPr>
          <w:rFonts w:ascii="Times New Roman" w:hAnsi="Times New Roman" w:cs="Times New Roman"/>
          <w:sz w:val="24"/>
          <w:szCs w:val="24"/>
          <w:lang w:val="en-US"/>
        </w:rPr>
        <w:t xml:space="preserve"> indicating preferred model size.</w:t>
      </w:r>
      <w:r>
        <w:rPr>
          <w:rFonts w:ascii="Times New Roman" w:hAnsi="Times New Roman" w:cs="Times New Roman"/>
          <w:sz w:val="24"/>
          <w:szCs w:val="24"/>
          <w:lang w:val="en-US"/>
        </w:rPr>
        <w:t xml:space="preserve"> </w:t>
      </w:r>
      <w:r w:rsidRPr="00CC5239">
        <w:rPr>
          <w:rFonts w:ascii="Times New Roman" w:hAnsi="Times New Roman" w:cs="Times New Roman"/>
          <w:sz w:val="24"/>
          <w:szCs w:val="24"/>
          <w:lang w:val="en-US"/>
        </w:rPr>
        <w:t>Residual Sum of Squares (RSS) tracks total residual error, typically decreasing with added variables but showing diminishing returns.</w:t>
      </w:r>
      <w:r>
        <w:rPr>
          <w:rFonts w:ascii="Times New Roman" w:hAnsi="Times New Roman" w:cs="Times New Roman"/>
          <w:sz w:val="24"/>
          <w:szCs w:val="24"/>
          <w:lang w:val="en-US"/>
        </w:rPr>
        <w:t xml:space="preserve"> </w:t>
      </w:r>
      <w:r w:rsidRPr="00CC5239">
        <w:rPr>
          <w:rFonts w:ascii="Times New Roman" w:hAnsi="Times New Roman" w:cs="Times New Roman"/>
          <w:sz w:val="24"/>
          <w:szCs w:val="24"/>
          <w:lang w:val="en-US"/>
        </w:rPr>
        <w:t xml:space="preserve">(d, h) Best subset variable inclusion matrices illustrate which variables are selected across models of increasing size. Columns correspond to model sizes, rows to variables. Filled cells indicate inclusion, facilitating identification of consistently important predictors. Variables present in smaller models that persist in larger ones </w:t>
      </w:r>
      <w:proofErr w:type="gramStart"/>
      <w:r w:rsidRPr="00CC5239">
        <w:rPr>
          <w:rFonts w:ascii="Times New Roman" w:hAnsi="Times New Roman" w:cs="Times New Roman"/>
          <w:sz w:val="24"/>
          <w:szCs w:val="24"/>
          <w:lang w:val="en-US"/>
        </w:rPr>
        <w:t>likely</w:t>
      </w:r>
      <w:proofErr w:type="gramEnd"/>
      <w:r w:rsidRPr="00CC5239">
        <w:rPr>
          <w:rFonts w:ascii="Times New Roman" w:hAnsi="Times New Roman" w:cs="Times New Roman"/>
          <w:sz w:val="24"/>
          <w:szCs w:val="24"/>
          <w:lang w:val="en-US"/>
        </w:rPr>
        <w:t xml:space="preserve"> have strong explanatory power. The matrix also reveals potential redundancy or conditional importance of variables.</w:t>
      </w:r>
    </w:p>
    <w:p w14:paraId="7F50C80C" w14:textId="77777777" w:rsidR="007D7E73" w:rsidRDefault="007D7E73" w:rsidP="007D7E73">
      <w:pPr>
        <w:spacing w:line="360" w:lineRule="auto"/>
        <w:jc w:val="both"/>
        <w:rPr>
          <w:rFonts w:ascii="Times New Roman" w:hAnsi="Times New Roman" w:cs="Times New Roman"/>
          <w:sz w:val="24"/>
          <w:szCs w:val="24"/>
          <w:lang w:val="en-US"/>
        </w:rPr>
      </w:pPr>
    </w:p>
    <w:p w14:paraId="65217720" w14:textId="7D72AEAC" w:rsidR="009542D6" w:rsidRPr="007D7E73" w:rsidRDefault="007D7E73" w:rsidP="007D7E73">
      <w:pPr>
        <w:spacing w:line="360" w:lineRule="auto"/>
        <w:jc w:val="both"/>
        <w:rPr>
          <w:rFonts w:ascii="Times New Roman" w:hAnsi="Times New Roman" w:cs="Times New Roman"/>
          <w:sz w:val="24"/>
          <w:szCs w:val="24"/>
          <w:lang w:val="en-US"/>
        </w:rPr>
      </w:pPr>
      <w:r w:rsidRPr="00D3551A">
        <w:rPr>
          <w:rFonts w:ascii="Times New Roman" w:hAnsi="Times New Roman" w:cs="Times New Roman"/>
          <w:b/>
          <w:bCs/>
          <w:sz w:val="24"/>
          <w:szCs w:val="24"/>
          <w:lang w:val="en-US"/>
        </w:rPr>
        <w:t xml:space="preserve">Supplementary </w:t>
      </w:r>
      <w:r w:rsidRPr="0098582F">
        <w:rPr>
          <w:rFonts w:ascii="Times New Roman" w:hAnsi="Times New Roman" w:cs="Times New Roman"/>
          <w:b/>
          <w:bCs/>
          <w:sz w:val="24"/>
          <w:szCs w:val="24"/>
          <w:lang w:val="en-US"/>
        </w:rPr>
        <w:t>Figure 1</w:t>
      </w:r>
      <w:r>
        <w:rPr>
          <w:rFonts w:ascii="Times New Roman" w:hAnsi="Times New Roman" w:cs="Times New Roman"/>
          <w:b/>
          <w:bCs/>
          <w:sz w:val="24"/>
          <w:szCs w:val="24"/>
          <w:lang w:val="en-US"/>
        </w:rPr>
        <w:t>4</w:t>
      </w:r>
      <w:r w:rsidRPr="0098582F">
        <w:rPr>
          <w:rFonts w:ascii="Times New Roman" w:hAnsi="Times New Roman" w:cs="Times New Roman"/>
          <w:b/>
          <w:bCs/>
          <w:sz w:val="24"/>
          <w:szCs w:val="24"/>
          <w:lang w:val="en-US"/>
        </w:rPr>
        <w:t xml:space="preserve"> – Performance of classical cardiovascular and/or heart rate variability features</w:t>
      </w:r>
      <w:r w:rsidRPr="00CC5239">
        <w:rPr>
          <w:rFonts w:ascii="Times New Roman" w:hAnsi="Times New Roman" w:cs="Times New Roman"/>
          <w:sz w:val="24"/>
          <w:szCs w:val="24"/>
          <w:lang w:val="en-US"/>
        </w:rPr>
        <w:t>. (a) Predicted vs observed UMSARS values. (b) Predicted vs observed time-to-death values. To explore the predictive power of different sets of variables (heart rate variability measures and/or classical</w:t>
      </w:r>
      <w:r w:rsidRPr="0098582F">
        <w:rPr>
          <w:rFonts w:ascii="Times New Roman" w:hAnsi="Times New Roman" w:cs="Times New Roman"/>
          <w:sz w:val="24"/>
          <w:szCs w:val="24"/>
          <w:lang w:val="en-US"/>
        </w:rPr>
        <w:t xml:space="preserve"> cardiovascular measures) on clinical outcomes, we have trained random forest models. Specifically, we compared the performance of three models in predicting UMSARS scores (a continuous outcome) and death (time-to-death, also as a continuous outcome). The three models consisted of 17 classical cardiovascular assessment variables only (also referred to as “Ewing tests”, 50 heart rate variability features alone, or both combined. The random forest algorithm was chosen for its robustness in handling complex, high-dimensional datasets, especially when there are interactions between variables. To assess dataset/model performance, and not necessarily its interpretability, was the goal. We performed 10-fold cross-validation for each model to avoid overfitting, and each method was repeated 3 times to ensure reliability and consistency of the results. The models were optimized using Root Mean Squared Error (RMSE) as the evaluation metric. This allowed us to assess the average deviation of the predicted values from the actual UMSARS/time-to-death scores, disproportionally penalizing larger errors.</w:t>
      </w:r>
    </w:p>
    <w:sectPr w:rsidR="009542D6" w:rsidRPr="007D7E73" w:rsidSect="007D7E73">
      <w:footerReference w:type="default" r:id="rId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64811437"/>
      <w:docPartObj>
        <w:docPartGallery w:val="Page Numbers (Bottom of Page)"/>
        <w:docPartUnique/>
      </w:docPartObj>
    </w:sdtPr>
    <w:sdtContent>
      <w:p w14:paraId="7552594C" w14:textId="77777777" w:rsidR="007D7E73" w:rsidRDefault="007D7E73">
        <w:pPr>
          <w:pStyle w:val="Footer"/>
          <w:jc w:val="right"/>
        </w:pPr>
        <w:r>
          <w:fldChar w:fldCharType="begin"/>
        </w:r>
        <w:r>
          <w:instrText>PAGE   \* MERGEFORMAT</w:instrText>
        </w:r>
        <w:r>
          <w:fldChar w:fldCharType="separate"/>
        </w:r>
        <w:r>
          <w:rPr>
            <w:lang w:val="fr-FR"/>
          </w:rPr>
          <w:t>2</w:t>
        </w:r>
        <w:r>
          <w:fldChar w:fldCharType="end"/>
        </w:r>
      </w:p>
    </w:sdtContent>
  </w:sdt>
  <w:p w14:paraId="7338BDD4" w14:textId="77777777" w:rsidR="007D7E73" w:rsidRDefault="007D7E73">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7E73"/>
    <w:rsid w:val="001428F2"/>
    <w:rsid w:val="00264C10"/>
    <w:rsid w:val="00470242"/>
    <w:rsid w:val="00726E03"/>
    <w:rsid w:val="007D7E73"/>
    <w:rsid w:val="009542D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59A30C"/>
  <w15:chartTrackingRefBased/>
  <w15:docId w15:val="{2504087F-BF3A-4E43-B612-F377C64CD7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7E73"/>
    <w:pPr>
      <w:spacing w:line="259" w:lineRule="auto"/>
    </w:pPr>
    <w:rPr>
      <w:rFonts w:eastAsiaTheme="minorHAnsi"/>
      <w:sz w:val="22"/>
      <w:szCs w:val="22"/>
      <w:lang w:val="en-GB" w:eastAsia="en-US"/>
    </w:rPr>
  </w:style>
  <w:style w:type="paragraph" w:styleId="Heading1">
    <w:name w:val="heading 1"/>
    <w:basedOn w:val="Normal"/>
    <w:next w:val="Normal"/>
    <w:link w:val="Heading1Char"/>
    <w:uiPriority w:val="9"/>
    <w:qFormat/>
    <w:rsid w:val="007D7E73"/>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val="en-US" w:eastAsia="zh-CN"/>
    </w:rPr>
  </w:style>
  <w:style w:type="paragraph" w:styleId="Heading2">
    <w:name w:val="heading 2"/>
    <w:basedOn w:val="Normal"/>
    <w:next w:val="Normal"/>
    <w:link w:val="Heading2Char"/>
    <w:uiPriority w:val="9"/>
    <w:semiHidden/>
    <w:unhideWhenUsed/>
    <w:qFormat/>
    <w:rsid w:val="007D7E73"/>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val="en-US" w:eastAsia="zh-CN"/>
    </w:rPr>
  </w:style>
  <w:style w:type="paragraph" w:styleId="Heading3">
    <w:name w:val="heading 3"/>
    <w:basedOn w:val="Normal"/>
    <w:next w:val="Normal"/>
    <w:link w:val="Heading3Char"/>
    <w:uiPriority w:val="9"/>
    <w:semiHidden/>
    <w:unhideWhenUsed/>
    <w:qFormat/>
    <w:rsid w:val="007D7E73"/>
    <w:pPr>
      <w:keepNext/>
      <w:keepLines/>
      <w:spacing w:before="160" w:after="80" w:line="278" w:lineRule="auto"/>
      <w:outlineLvl w:val="2"/>
    </w:pPr>
    <w:rPr>
      <w:rFonts w:eastAsiaTheme="majorEastAsia" w:cstheme="majorBidi"/>
      <w:color w:val="0F4761" w:themeColor="accent1" w:themeShade="BF"/>
      <w:sz w:val="28"/>
      <w:szCs w:val="28"/>
      <w:lang w:val="en-US" w:eastAsia="zh-CN"/>
    </w:rPr>
  </w:style>
  <w:style w:type="paragraph" w:styleId="Heading4">
    <w:name w:val="heading 4"/>
    <w:basedOn w:val="Normal"/>
    <w:next w:val="Normal"/>
    <w:link w:val="Heading4Char"/>
    <w:uiPriority w:val="9"/>
    <w:semiHidden/>
    <w:unhideWhenUsed/>
    <w:qFormat/>
    <w:rsid w:val="007D7E73"/>
    <w:pPr>
      <w:keepNext/>
      <w:keepLines/>
      <w:spacing w:before="80" w:after="40" w:line="278" w:lineRule="auto"/>
      <w:outlineLvl w:val="3"/>
    </w:pPr>
    <w:rPr>
      <w:rFonts w:eastAsiaTheme="majorEastAsia" w:cstheme="majorBidi"/>
      <w:i/>
      <w:iCs/>
      <w:color w:val="0F4761" w:themeColor="accent1" w:themeShade="BF"/>
      <w:sz w:val="24"/>
      <w:szCs w:val="24"/>
      <w:lang w:val="en-US" w:eastAsia="zh-CN"/>
    </w:rPr>
  </w:style>
  <w:style w:type="paragraph" w:styleId="Heading5">
    <w:name w:val="heading 5"/>
    <w:basedOn w:val="Normal"/>
    <w:next w:val="Normal"/>
    <w:link w:val="Heading5Char"/>
    <w:uiPriority w:val="9"/>
    <w:semiHidden/>
    <w:unhideWhenUsed/>
    <w:qFormat/>
    <w:rsid w:val="007D7E73"/>
    <w:pPr>
      <w:keepNext/>
      <w:keepLines/>
      <w:spacing w:before="80" w:after="40" w:line="278" w:lineRule="auto"/>
      <w:outlineLvl w:val="4"/>
    </w:pPr>
    <w:rPr>
      <w:rFonts w:eastAsiaTheme="majorEastAsia" w:cstheme="majorBidi"/>
      <w:color w:val="0F4761" w:themeColor="accent1" w:themeShade="BF"/>
      <w:sz w:val="24"/>
      <w:szCs w:val="24"/>
      <w:lang w:val="en-US" w:eastAsia="zh-CN"/>
    </w:rPr>
  </w:style>
  <w:style w:type="paragraph" w:styleId="Heading6">
    <w:name w:val="heading 6"/>
    <w:basedOn w:val="Normal"/>
    <w:next w:val="Normal"/>
    <w:link w:val="Heading6Char"/>
    <w:uiPriority w:val="9"/>
    <w:semiHidden/>
    <w:unhideWhenUsed/>
    <w:qFormat/>
    <w:rsid w:val="007D7E73"/>
    <w:pPr>
      <w:keepNext/>
      <w:keepLines/>
      <w:spacing w:before="40" w:after="0" w:line="278" w:lineRule="auto"/>
      <w:outlineLvl w:val="5"/>
    </w:pPr>
    <w:rPr>
      <w:rFonts w:eastAsiaTheme="majorEastAsia" w:cstheme="majorBidi"/>
      <w:i/>
      <w:iCs/>
      <w:color w:val="595959" w:themeColor="text1" w:themeTint="A6"/>
      <w:sz w:val="24"/>
      <w:szCs w:val="24"/>
      <w:lang w:val="en-US" w:eastAsia="zh-CN"/>
    </w:rPr>
  </w:style>
  <w:style w:type="paragraph" w:styleId="Heading7">
    <w:name w:val="heading 7"/>
    <w:basedOn w:val="Normal"/>
    <w:next w:val="Normal"/>
    <w:link w:val="Heading7Char"/>
    <w:uiPriority w:val="9"/>
    <w:semiHidden/>
    <w:unhideWhenUsed/>
    <w:qFormat/>
    <w:rsid w:val="007D7E73"/>
    <w:pPr>
      <w:keepNext/>
      <w:keepLines/>
      <w:spacing w:before="40" w:after="0" w:line="278" w:lineRule="auto"/>
      <w:outlineLvl w:val="6"/>
    </w:pPr>
    <w:rPr>
      <w:rFonts w:eastAsiaTheme="majorEastAsia" w:cstheme="majorBidi"/>
      <w:color w:val="595959" w:themeColor="text1" w:themeTint="A6"/>
      <w:sz w:val="24"/>
      <w:szCs w:val="24"/>
      <w:lang w:val="en-US" w:eastAsia="zh-CN"/>
    </w:rPr>
  </w:style>
  <w:style w:type="paragraph" w:styleId="Heading8">
    <w:name w:val="heading 8"/>
    <w:basedOn w:val="Normal"/>
    <w:next w:val="Normal"/>
    <w:link w:val="Heading8Char"/>
    <w:uiPriority w:val="9"/>
    <w:semiHidden/>
    <w:unhideWhenUsed/>
    <w:qFormat/>
    <w:rsid w:val="007D7E73"/>
    <w:pPr>
      <w:keepNext/>
      <w:keepLines/>
      <w:spacing w:after="0" w:line="278" w:lineRule="auto"/>
      <w:outlineLvl w:val="7"/>
    </w:pPr>
    <w:rPr>
      <w:rFonts w:eastAsiaTheme="majorEastAsia" w:cstheme="majorBidi"/>
      <w:i/>
      <w:iCs/>
      <w:color w:val="272727" w:themeColor="text1" w:themeTint="D8"/>
      <w:sz w:val="24"/>
      <w:szCs w:val="24"/>
      <w:lang w:val="en-US" w:eastAsia="zh-CN"/>
    </w:rPr>
  </w:style>
  <w:style w:type="paragraph" w:styleId="Heading9">
    <w:name w:val="heading 9"/>
    <w:basedOn w:val="Normal"/>
    <w:next w:val="Normal"/>
    <w:link w:val="Heading9Char"/>
    <w:uiPriority w:val="9"/>
    <w:semiHidden/>
    <w:unhideWhenUsed/>
    <w:qFormat/>
    <w:rsid w:val="007D7E73"/>
    <w:pPr>
      <w:keepNext/>
      <w:keepLines/>
      <w:spacing w:after="0" w:line="278" w:lineRule="auto"/>
      <w:outlineLvl w:val="8"/>
    </w:pPr>
    <w:rPr>
      <w:rFonts w:eastAsiaTheme="majorEastAsia" w:cstheme="majorBidi"/>
      <w:color w:val="272727" w:themeColor="text1" w:themeTint="D8"/>
      <w:sz w:val="24"/>
      <w:szCs w:val="24"/>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7E7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D7E7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D7E7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D7E7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D7E7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D7E7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7E7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7E7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7E73"/>
    <w:rPr>
      <w:rFonts w:eastAsiaTheme="majorEastAsia" w:cstheme="majorBidi"/>
      <w:color w:val="272727" w:themeColor="text1" w:themeTint="D8"/>
    </w:rPr>
  </w:style>
  <w:style w:type="paragraph" w:styleId="Title">
    <w:name w:val="Title"/>
    <w:basedOn w:val="Normal"/>
    <w:next w:val="Normal"/>
    <w:link w:val="TitleChar"/>
    <w:uiPriority w:val="10"/>
    <w:qFormat/>
    <w:rsid w:val="007D7E73"/>
    <w:pPr>
      <w:spacing w:after="80" w:line="240" w:lineRule="auto"/>
      <w:contextualSpacing/>
    </w:pPr>
    <w:rPr>
      <w:rFonts w:asciiTheme="majorHAnsi" w:eastAsiaTheme="majorEastAsia" w:hAnsiTheme="majorHAnsi" w:cstheme="majorBidi"/>
      <w:spacing w:val="-10"/>
      <w:kern w:val="28"/>
      <w:sz w:val="56"/>
      <w:szCs w:val="56"/>
      <w:lang w:val="en-US" w:eastAsia="zh-CN"/>
    </w:rPr>
  </w:style>
  <w:style w:type="character" w:customStyle="1" w:styleId="TitleChar">
    <w:name w:val="Title Char"/>
    <w:basedOn w:val="DefaultParagraphFont"/>
    <w:link w:val="Title"/>
    <w:uiPriority w:val="10"/>
    <w:rsid w:val="007D7E7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7E73"/>
    <w:pPr>
      <w:numPr>
        <w:ilvl w:val="1"/>
      </w:numPr>
      <w:spacing w:line="278" w:lineRule="auto"/>
    </w:pPr>
    <w:rPr>
      <w:rFonts w:eastAsiaTheme="majorEastAsia" w:cstheme="majorBidi"/>
      <w:color w:val="595959" w:themeColor="text1" w:themeTint="A6"/>
      <w:spacing w:val="15"/>
      <w:sz w:val="28"/>
      <w:szCs w:val="28"/>
      <w:lang w:val="en-US" w:eastAsia="zh-CN"/>
    </w:rPr>
  </w:style>
  <w:style w:type="character" w:customStyle="1" w:styleId="SubtitleChar">
    <w:name w:val="Subtitle Char"/>
    <w:basedOn w:val="DefaultParagraphFont"/>
    <w:link w:val="Subtitle"/>
    <w:uiPriority w:val="11"/>
    <w:rsid w:val="007D7E7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7E73"/>
    <w:pPr>
      <w:spacing w:before="160" w:line="278" w:lineRule="auto"/>
      <w:jc w:val="center"/>
    </w:pPr>
    <w:rPr>
      <w:rFonts w:eastAsiaTheme="minorEastAsia"/>
      <w:i/>
      <w:iCs/>
      <w:color w:val="404040" w:themeColor="text1" w:themeTint="BF"/>
      <w:sz w:val="24"/>
      <w:szCs w:val="24"/>
      <w:lang w:val="en-US" w:eastAsia="zh-CN"/>
    </w:rPr>
  </w:style>
  <w:style w:type="character" w:customStyle="1" w:styleId="QuoteChar">
    <w:name w:val="Quote Char"/>
    <w:basedOn w:val="DefaultParagraphFont"/>
    <w:link w:val="Quote"/>
    <w:uiPriority w:val="29"/>
    <w:rsid w:val="007D7E73"/>
    <w:rPr>
      <w:i/>
      <w:iCs/>
      <w:color w:val="404040" w:themeColor="text1" w:themeTint="BF"/>
    </w:rPr>
  </w:style>
  <w:style w:type="paragraph" w:styleId="ListParagraph">
    <w:name w:val="List Paragraph"/>
    <w:basedOn w:val="Normal"/>
    <w:uiPriority w:val="34"/>
    <w:qFormat/>
    <w:rsid w:val="007D7E73"/>
    <w:pPr>
      <w:spacing w:line="278" w:lineRule="auto"/>
      <w:ind w:left="720"/>
      <w:contextualSpacing/>
    </w:pPr>
    <w:rPr>
      <w:rFonts w:eastAsiaTheme="minorEastAsia"/>
      <w:sz w:val="24"/>
      <w:szCs w:val="24"/>
      <w:lang w:val="en-US" w:eastAsia="zh-CN"/>
    </w:rPr>
  </w:style>
  <w:style w:type="character" w:styleId="IntenseEmphasis">
    <w:name w:val="Intense Emphasis"/>
    <w:basedOn w:val="DefaultParagraphFont"/>
    <w:uiPriority w:val="21"/>
    <w:qFormat/>
    <w:rsid w:val="007D7E73"/>
    <w:rPr>
      <w:i/>
      <w:iCs/>
      <w:color w:val="0F4761" w:themeColor="accent1" w:themeShade="BF"/>
    </w:rPr>
  </w:style>
  <w:style w:type="paragraph" w:styleId="IntenseQuote">
    <w:name w:val="Intense Quote"/>
    <w:basedOn w:val="Normal"/>
    <w:next w:val="Normal"/>
    <w:link w:val="IntenseQuoteChar"/>
    <w:uiPriority w:val="30"/>
    <w:qFormat/>
    <w:rsid w:val="007D7E73"/>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EastAsia"/>
      <w:i/>
      <w:iCs/>
      <w:color w:val="0F4761" w:themeColor="accent1" w:themeShade="BF"/>
      <w:sz w:val="24"/>
      <w:szCs w:val="24"/>
      <w:lang w:val="en-US" w:eastAsia="zh-CN"/>
    </w:rPr>
  </w:style>
  <w:style w:type="character" w:customStyle="1" w:styleId="IntenseQuoteChar">
    <w:name w:val="Intense Quote Char"/>
    <w:basedOn w:val="DefaultParagraphFont"/>
    <w:link w:val="IntenseQuote"/>
    <w:uiPriority w:val="30"/>
    <w:rsid w:val="007D7E73"/>
    <w:rPr>
      <w:i/>
      <w:iCs/>
      <w:color w:val="0F4761" w:themeColor="accent1" w:themeShade="BF"/>
    </w:rPr>
  </w:style>
  <w:style w:type="character" w:styleId="IntenseReference">
    <w:name w:val="Intense Reference"/>
    <w:basedOn w:val="DefaultParagraphFont"/>
    <w:uiPriority w:val="32"/>
    <w:qFormat/>
    <w:rsid w:val="007D7E73"/>
    <w:rPr>
      <w:b/>
      <w:bCs/>
      <w:smallCaps/>
      <w:color w:val="0F4761" w:themeColor="accent1" w:themeShade="BF"/>
      <w:spacing w:val="5"/>
    </w:rPr>
  </w:style>
  <w:style w:type="paragraph" w:styleId="Footer">
    <w:name w:val="footer"/>
    <w:basedOn w:val="Normal"/>
    <w:link w:val="FooterChar"/>
    <w:uiPriority w:val="99"/>
    <w:unhideWhenUsed/>
    <w:rsid w:val="007D7E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7D7E73"/>
    <w:rPr>
      <w:rFonts w:eastAsiaTheme="minorHAnsi"/>
      <w:sz w:val="22"/>
      <w:szCs w:val="2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2707</Words>
  <Characters>15434</Characters>
  <Application>Microsoft Office Word</Application>
  <DocSecurity>0</DocSecurity>
  <Lines>128</Lines>
  <Paragraphs>36</Paragraphs>
  <ScaleCrop>false</ScaleCrop>
  <Company/>
  <LinksUpToDate>false</LinksUpToDate>
  <CharactersWithSpaces>18105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2025-09-10T18:29:00Z</dcterms:created>
  <dcterms:modified xsi:type="dcterms:W3CDTF">2025-09-10T18:30:00Z</dcterms:modified>
</cp:coreProperties>
</file>