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Appendix </w:t>
      </w:r>
      <w:r>
        <w:rPr>
          <w:rFonts w:hint="eastAsia" w:ascii="Times New Roman" w:hAnsi="Times New Roman" w:cs="Times New Roman"/>
          <w:sz w:val="24"/>
          <w:lang w:val="en-US" w:eastAsia="zh-CN"/>
        </w:rPr>
        <w:t>3</w:t>
      </w:r>
      <w:bookmarkStart w:id="0" w:name="_GoBack"/>
      <w:bookmarkEnd w:id="0"/>
      <w:r>
        <w:rPr>
          <w:rFonts w:ascii="Times New Roman" w:hAnsi="Times New Roman" w:cs="Times New Roman"/>
          <w:sz w:val="24"/>
        </w:rPr>
        <w:t xml:space="preserve">. Sensitivity analyses of </w:t>
      </w:r>
      <w:r>
        <w:rPr>
          <w:rFonts w:hint="eastAsia" w:ascii="Times New Roman" w:hAnsi="Times New Roman" w:cs="Times New Roman"/>
          <w:sz w:val="24"/>
        </w:rPr>
        <w:t>non-high risk studies</w:t>
      </w:r>
      <w:r>
        <w:rPr>
          <w:rFonts w:ascii="Times New Roman" w:hAnsi="Times New Roman" w:cs="Times New Roman"/>
          <w:sz w:val="24"/>
        </w:rPr>
        <w:t xml:space="preserve"> on the incidence of asthma</w:t>
      </w:r>
      <w:r>
        <w:rPr>
          <w:rFonts w:hint="eastAsia" w:ascii="Times New Roman" w:hAnsi="Times New Roman" w:cs="Times New Roman"/>
          <w:sz w:val="24"/>
        </w:rPr>
        <w:t>/wheeze</w:t>
      </w:r>
      <w:r>
        <w:rPr>
          <w:rFonts w:ascii="Times New Roman" w:hAnsi="Times New Roman" w:cs="Times New Roman"/>
          <w:sz w:val="24"/>
        </w:rPr>
        <w:t xml:space="preserve">. </w:t>
      </w:r>
    </w:p>
    <w:tbl>
      <w:tblPr>
        <w:tblStyle w:val="2"/>
        <w:tblW w:w="8198" w:type="dxa"/>
        <w:jc w:val="center"/>
        <w:tblBorders>
          <w:top w:val="single" w:color="auto" w:sz="4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767"/>
        <w:gridCol w:w="2998"/>
        <w:gridCol w:w="2433"/>
      </w:tblGrid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2767" w:type="dxa"/>
            <w:tcBorders>
              <w:top w:val="single" w:color="auto" w:sz="12" w:space="0"/>
              <w:bottom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ascii="Times New Roman" w:hAnsi="Times New Roman" w:eastAsia="等线" w:cs="Times New Roman"/>
                <w:color w:val="000000"/>
                <w:sz w:val="24"/>
              </w:rPr>
            </w:pPr>
            <w:r>
              <w:rPr>
                <w:rFonts w:ascii="Times New Roman" w:hAnsi="Times New Roman" w:eastAsia="等线" w:cs="Times New Roman"/>
                <w:sz w:val="24"/>
                <w:lang w:bidi="ar"/>
              </w:rPr>
              <w:t>Study omitted</w:t>
            </w:r>
          </w:p>
        </w:tc>
        <w:tc>
          <w:tcPr>
            <w:tcW w:w="2998" w:type="dxa"/>
            <w:tcBorders>
              <w:top w:val="single" w:color="auto" w:sz="12" w:space="0"/>
              <w:bottom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ascii="Times New Roman" w:hAnsi="Times New Roman" w:eastAsia="等线" w:cs="Times New Roman"/>
                <w:color w:val="000000"/>
                <w:sz w:val="24"/>
              </w:rPr>
            </w:pPr>
            <w:r>
              <w:rPr>
                <w:rFonts w:ascii="Times New Roman" w:hAnsi="Times New Roman" w:eastAsia="等线" w:cs="Times New Roman"/>
                <w:sz w:val="24"/>
                <w:lang w:bidi="ar"/>
              </w:rPr>
              <w:t>RR (95%CI)</w:t>
            </w:r>
          </w:p>
        </w:tc>
        <w:tc>
          <w:tcPr>
            <w:tcW w:w="2433" w:type="dxa"/>
            <w:tcBorders>
              <w:top w:val="single" w:color="auto" w:sz="12" w:space="0"/>
              <w:bottom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ascii="Times New Roman" w:hAnsi="Times New Roman" w:eastAsia="等线" w:cs="Times New Roman"/>
                <w:color w:val="000000"/>
                <w:sz w:val="24"/>
              </w:rPr>
            </w:pPr>
            <w:r>
              <w:rPr>
                <w:rFonts w:ascii="Times New Roman" w:hAnsi="Times New Roman" w:eastAsia="等线" w:cs="Times New Roman"/>
                <w:i/>
                <w:sz w:val="24"/>
                <w:lang w:bidi="ar"/>
              </w:rPr>
              <w:t>I</w:t>
            </w:r>
            <w:r>
              <w:rPr>
                <w:rFonts w:ascii="Times New Roman" w:hAnsi="Times New Roman" w:eastAsia="等线" w:cs="Times New Roman"/>
                <w:i/>
                <w:sz w:val="24"/>
                <w:vertAlign w:val="superscript"/>
                <w:lang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4" w:hRule="atLeast"/>
          <w:jc w:val="center"/>
        </w:trPr>
        <w:tc>
          <w:tcPr>
            <w:tcW w:w="2767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ascii="Times New Roman" w:hAnsi="Times New Roman" w:eastAsia="等线" w:cs="Times New Roman"/>
                <w:color w:val="000000"/>
                <w:sz w:val="24"/>
              </w:rPr>
            </w:pPr>
            <w:r>
              <w:rPr>
                <w:rFonts w:ascii="Times New Roman" w:hAnsi="Times New Roman" w:eastAsia="等线" w:cs="Times New Roman"/>
                <w:sz w:val="24"/>
                <w:lang w:bidi="ar"/>
              </w:rPr>
              <w:t>Consuelo-2</w:t>
            </w:r>
            <w:r>
              <w:rPr>
                <w:rFonts w:hint="eastAsia" w:ascii="Times New Roman" w:hAnsi="Times New Roman" w:eastAsia="等线" w:cs="Times New Roman"/>
                <w:sz w:val="24"/>
                <w:lang w:bidi="ar"/>
              </w:rPr>
              <w:t xml:space="preserve"> (2014)</w:t>
            </w:r>
          </w:p>
        </w:tc>
        <w:tc>
          <w:tcPr>
            <w:tcW w:w="2998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24"/>
              </w:rPr>
            </w:pPr>
            <w:r>
              <w:rPr>
                <w:rFonts w:ascii="Times New Roman" w:hAnsi="Times New Roman" w:eastAsia="等线" w:cs="Times New Roman"/>
                <w:sz w:val="24"/>
                <w:lang w:bidi="ar"/>
              </w:rPr>
              <w:t>0.65 (0.50, 0.85)</w:t>
            </w:r>
          </w:p>
        </w:tc>
        <w:tc>
          <w:tcPr>
            <w:tcW w:w="2433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24"/>
              </w:rPr>
            </w:pPr>
            <w:r>
              <w:rPr>
                <w:rFonts w:ascii="Times New Roman" w:hAnsi="Times New Roman" w:eastAsia="等线" w:cs="Times New Roman"/>
                <w:sz w:val="24"/>
                <w:lang w:bidi="ar"/>
              </w:rPr>
              <w:t>0%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9" w:hRule="atLeast"/>
          <w:jc w:val="center"/>
        </w:trPr>
        <w:tc>
          <w:tcPr>
            <w:tcW w:w="276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ascii="Times New Roman" w:hAnsi="Times New Roman" w:eastAsia="等线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4"/>
              </w:rPr>
              <w:t>Berman (2016)</w:t>
            </w:r>
          </w:p>
        </w:tc>
        <w:tc>
          <w:tcPr>
            <w:tcW w:w="29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ascii="Times New Roman" w:hAnsi="Times New Roman" w:eastAsia="等线" w:cs="Times New Roman"/>
                <w:color w:val="000000"/>
                <w:sz w:val="24"/>
              </w:rPr>
            </w:pPr>
            <w:r>
              <w:rPr>
                <w:rFonts w:ascii="Times New Roman" w:hAnsi="Times New Roman" w:eastAsia="等线" w:cs="Times New Roman"/>
                <w:sz w:val="24"/>
                <w:lang w:bidi="ar"/>
              </w:rPr>
              <w:t>0.75 (0.51, 1.11)</w:t>
            </w:r>
          </w:p>
        </w:tc>
        <w:tc>
          <w:tcPr>
            <w:tcW w:w="243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ascii="Times New Roman" w:hAnsi="Times New Roman" w:eastAsia="等线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4"/>
              </w:rPr>
              <w:t>75%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9" w:hRule="atLeast"/>
          <w:jc w:val="center"/>
        </w:trPr>
        <w:tc>
          <w:tcPr>
            <w:tcW w:w="276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ascii="Times New Roman" w:hAnsi="Times New Roman" w:eastAsia="等线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4"/>
              </w:rPr>
              <w:t>Bisgaard (2016)</w:t>
            </w:r>
          </w:p>
        </w:tc>
        <w:tc>
          <w:tcPr>
            <w:tcW w:w="29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24"/>
              </w:rPr>
            </w:pPr>
            <w:r>
              <w:rPr>
                <w:rFonts w:ascii="Times New Roman" w:hAnsi="Times New Roman" w:eastAsia="等线" w:cs="Times New Roman"/>
                <w:sz w:val="24"/>
                <w:lang w:bidi="ar"/>
              </w:rPr>
              <w:t>0.83 (0.55, 1.25)</w:t>
            </w:r>
          </w:p>
        </w:tc>
        <w:tc>
          <w:tcPr>
            <w:tcW w:w="243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4"/>
              </w:rPr>
              <w:t>56%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4" w:hRule="atLeast"/>
          <w:jc w:val="center"/>
        </w:trPr>
        <w:tc>
          <w:tcPr>
            <w:tcW w:w="2767" w:type="dxa"/>
            <w:tcBorders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  <w:lang w:bidi="ar"/>
              </w:rPr>
              <w:t>Hansen (2017)</w:t>
            </w:r>
          </w:p>
        </w:tc>
        <w:tc>
          <w:tcPr>
            <w:tcW w:w="2998" w:type="dxa"/>
            <w:tcBorders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等线" w:cs="Times New Roman"/>
                <w:sz w:val="24"/>
                <w:lang w:bidi="ar"/>
              </w:rPr>
              <w:t>0.85 (0.60, 1.19)</w:t>
            </w:r>
          </w:p>
        </w:tc>
        <w:tc>
          <w:tcPr>
            <w:tcW w:w="2433" w:type="dxa"/>
            <w:tcBorders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  <w:lang w:bidi="ar"/>
              </w:rPr>
              <w:t>60%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center"/>
        <w:rPr>
          <w:rFonts w:hint="eastAsia" w:ascii="Times New Roman" w:hAnsi="Times New Roman" w:eastAsia="等线" w:cs="Times New Roman"/>
          <w:color w:val="000000"/>
          <w:kern w:val="0"/>
          <w:szCs w:val="21"/>
          <w:highlight w:val="yellow"/>
          <w:lang w:bidi="ar"/>
        </w:rPr>
      </w:pPr>
      <w:r>
        <w:rPr>
          <w:rFonts w:hint="eastAsia" w:ascii="Times New Roman" w:hAnsi="Times New Roman" w:cs="Times New Roman"/>
        </w:rPr>
        <w:t xml:space="preserve">RR: relative risk; CI: confidential interval. </w:t>
      </w:r>
      <w:r>
        <w:rPr>
          <w:rFonts w:hint="eastAsia" w:ascii="Times New Roman" w:hAnsi="Times New Roman" w:eastAsia="等线" w:cs="Times New Roman"/>
          <w:color w:val="000000"/>
          <w:kern w:val="0"/>
          <w:szCs w:val="21"/>
          <w:lang w:bidi="ar"/>
        </w:rPr>
        <w:t>I</w:t>
      </w:r>
      <w:r>
        <w:rPr>
          <w:rFonts w:hint="eastAsia" w:ascii="Times New Roman" w:hAnsi="Times New Roman" w:eastAsia="等线" w:cs="Times New Roman"/>
          <w:color w:val="000000"/>
          <w:kern w:val="0"/>
          <w:szCs w:val="21"/>
          <w:vertAlign w:val="superscript"/>
          <w:lang w:bidi="ar"/>
        </w:rPr>
        <w:t>2</w:t>
      </w:r>
      <w:r>
        <w:rPr>
          <w:rFonts w:hint="eastAsia" w:ascii="Times New Roman" w:hAnsi="Times New Roman" w:eastAsia="等线" w:cs="Times New Roman"/>
          <w:color w:val="000000"/>
          <w:kern w:val="0"/>
          <w:szCs w:val="21"/>
          <w:lang w:bidi="ar"/>
        </w:rPr>
        <w:t xml:space="preserve"> is for statistical heterogeneity of the other studies.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ascii="Times New Roman" w:hAnsi="Times New Roman" w:cs="Times New Roman"/>
        </w:rPr>
      </w:pPr>
    </w:p>
    <w:sectPr>
      <w:endnotePr>
        <w:numFmt w:val="decimal"/>
      </w:endnotePr>
      <w:pgSz w:w="11850" w:h="16783"/>
      <w:pgMar w:top="1440" w:right="1800" w:bottom="1440" w:left="1800" w:header="964" w:footer="850" w:gutter="0"/>
      <w:cols w:space="0" w:num="1"/>
      <w:titlePg/>
      <w:docGrid w:type="lines" w:linePitch="33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evenAndOddHeaders w:val="1"/>
  <w:drawingGridVerticalSpacing w:val="156"/>
  <w:displayHorizontalDrawingGridEvery w:val="0"/>
  <w:displayVerticalDrawingGridEvery w:val="2"/>
  <w:characterSpacingControl w:val="compressPunctuation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172A27"/>
    <w:rsid w:val="00211593"/>
    <w:rsid w:val="00267E71"/>
    <w:rsid w:val="002B7F22"/>
    <w:rsid w:val="00381A68"/>
    <w:rsid w:val="003B1DA3"/>
    <w:rsid w:val="003D268D"/>
    <w:rsid w:val="0053327A"/>
    <w:rsid w:val="00635318"/>
    <w:rsid w:val="00677FAE"/>
    <w:rsid w:val="00725B63"/>
    <w:rsid w:val="00883464"/>
    <w:rsid w:val="00B02888"/>
    <w:rsid w:val="00DB16EF"/>
    <w:rsid w:val="00DF497C"/>
    <w:rsid w:val="00F82B21"/>
    <w:rsid w:val="03804469"/>
    <w:rsid w:val="03D056F2"/>
    <w:rsid w:val="050C188F"/>
    <w:rsid w:val="06CA6A01"/>
    <w:rsid w:val="0E7D097F"/>
    <w:rsid w:val="0EE47D74"/>
    <w:rsid w:val="0FA632B2"/>
    <w:rsid w:val="10303927"/>
    <w:rsid w:val="124A0B0C"/>
    <w:rsid w:val="12BA43AE"/>
    <w:rsid w:val="13396087"/>
    <w:rsid w:val="13F80294"/>
    <w:rsid w:val="14962843"/>
    <w:rsid w:val="159F57C1"/>
    <w:rsid w:val="16A70BFD"/>
    <w:rsid w:val="18A16241"/>
    <w:rsid w:val="1945432A"/>
    <w:rsid w:val="2106187F"/>
    <w:rsid w:val="226E1C3B"/>
    <w:rsid w:val="23AC47D3"/>
    <w:rsid w:val="2C7A095B"/>
    <w:rsid w:val="2CA93C46"/>
    <w:rsid w:val="2CB1320D"/>
    <w:rsid w:val="2FBE76C9"/>
    <w:rsid w:val="30367208"/>
    <w:rsid w:val="32DA1688"/>
    <w:rsid w:val="335C6253"/>
    <w:rsid w:val="365864A2"/>
    <w:rsid w:val="36D120E6"/>
    <w:rsid w:val="38FA4E68"/>
    <w:rsid w:val="39A76108"/>
    <w:rsid w:val="3A5463DF"/>
    <w:rsid w:val="3A7C2F64"/>
    <w:rsid w:val="3A951324"/>
    <w:rsid w:val="3AA76193"/>
    <w:rsid w:val="3AC74B14"/>
    <w:rsid w:val="3BE66548"/>
    <w:rsid w:val="3C4C6878"/>
    <w:rsid w:val="3E2207DE"/>
    <w:rsid w:val="3EFE75D2"/>
    <w:rsid w:val="3F7F283E"/>
    <w:rsid w:val="420D3079"/>
    <w:rsid w:val="42FE3730"/>
    <w:rsid w:val="434732EE"/>
    <w:rsid w:val="43922287"/>
    <w:rsid w:val="4F5661B7"/>
    <w:rsid w:val="4F7C6760"/>
    <w:rsid w:val="54200D7F"/>
    <w:rsid w:val="558438BA"/>
    <w:rsid w:val="55BE06CC"/>
    <w:rsid w:val="56047D04"/>
    <w:rsid w:val="56BB1A6F"/>
    <w:rsid w:val="57583736"/>
    <w:rsid w:val="5A0A0FE1"/>
    <w:rsid w:val="5B457C42"/>
    <w:rsid w:val="5BF93C76"/>
    <w:rsid w:val="5C000375"/>
    <w:rsid w:val="5C1F7024"/>
    <w:rsid w:val="5C594DF3"/>
    <w:rsid w:val="5D2B506D"/>
    <w:rsid w:val="5D433EB9"/>
    <w:rsid w:val="601275B2"/>
    <w:rsid w:val="62A25DF8"/>
    <w:rsid w:val="62CC2BD4"/>
    <w:rsid w:val="62E23EAC"/>
    <w:rsid w:val="63690428"/>
    <w:rsid w:val="64EE4CED"/>
    <w:rsid w:val="66CD1161"/>
    <w:rsid w:val="68874FBB"/>
    <w:rsid w:val="6A864E4A"/>
    <w:rsid w:val="6BD55842"/>
    <w:rsid w:val="6C606A45"/>
    <w:rsid w:val="6C846085"/>
    <w:rsid w:val="6F3B297B"/>
    <w:rsid w:val="6F6B613A"/>
    <w:rsid w:val="765F7E74"/>
    <w:rsid w:val="790F53B9"/>
    <w:rsid w:val="7AD30B9C"/>
    <w:rsid w:val="7C2027E7"/>
    <w:rsid w:val="7D2C2171"/>
    <w:rsid w:val="7D5C5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等线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rPr>
      <w:rFonts w:hint="eastAsia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Kingsoft</Company>
  <Pages>1</Pages>
  <Words>57</Words>
  <Characters>325</Characters>
  <Lines>2</Lines>
  <Paragraphs>1</Paragraphs>
  <TotalTime>5</TotalTime>
  <ScaleCrop>false</ScaleCrop>
  <LinksUpToDate>false</LinksUpToDate>
  <CharactersWithSpaces>381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＂ 童 话 ℃</dc:creator>
  <cp:lastModifiedBy>梣莎木</cp:lastModifiedBy>
  <dcterms:modified xsi:type="dcterms:W3CDTF">2021-07-12T15:04:57Z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C7B7DA06FF1447AA8C6EE5F6B895ACAD</vt:lpwstr>
  </property>
</Properties>
</file>