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Appendix 2.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Data of dose-response analysis on perinatal supplementation of n-3 PUFA and risk of asthma/wheeze. </w:t>
      </w:r>
    </w:p>
    <w:tbl>
      <w:tblPr>
        <w:tblStyle w:val="2"/>
        <w:tblpPr w:leftFromText="180" w:rightFromText="180" w:vertAnchor="page" w:horzAnchor="page" w:tblpX="1818" w:tblpY="2929"/>
        <w:tblOverlap w:val="never"/>
        <w:tblW w:w="8522" w:type="dxa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283"/>
        <w:gridCol w:w="941"/>
        <w:gridCol w:w="1191"/>
        <w:gridCol w:w="1288"/>
        <w:gridCol w:w="1046"/>
        <w:gridCol w:w="1045"/>
        <w:gridCol w:w="1111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1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id</w:t>
            </w:r>
          </w:p>
        </w:tc>
        <w:tc>
          <w:tcPr>
            <w:tcW w:w="128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study</w:t>
            </w:r>
          </w:p>
        </w:tc>
        <w:tc>
          <w:tcPr>
            <w:tcW w:w="94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cat</w:t>
            </w:r>
          </w:p>
        </w:tc>
        <w:tc>
          <w:tcPr>
            <w:tcW w:w="119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year</w:t>
            </w:r>
          </w:p>
        </w:tc>
        <w:tc>
          <w:tcPr>
            <w:tcW w:w="128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RR</w:t>
            </w:r>
          </w:p>
        </w:tc>
        <w:tc>
          <w:tcPr>
            <w:tcW w:w="104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LCI</w:t>
            </w:r>
          </w:p>
        </w:tc>
        <w:tc>
          <w:tcPr>
            <w:tcW w:w="1045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UCI</w:t>
            </w:r>
          </w:p>
        </w:tc>
        <w:tc>
          <w:tcPr>
            <w:tcW w:w="1111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method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17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3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Dunstan</w:t>
            </w:r>
          </w:p>
        </w:tc>
        <w:tc>
          <w:tcPr>
            <w:tcW w:w="94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</w:t>
            </w:r>
          </w:p>
        </w:tc>
        <w:tc>
          <w:tcPr>
            <w:tcW w:w="1288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op w:val="single" w:color="auto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Dunstan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2003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0.90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1.84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Furuhjelm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Furuhjelm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2011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1.05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2.7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Noakes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Noakes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2012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1.26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2.94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494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Consuelo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Consuelo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2014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0.98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1.17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Berman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Berman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0.88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1.94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Best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Best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1.09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0.86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1.39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Bisgaard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Bisgaard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2016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0.66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0.47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0.92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8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Hansen</w:t>
            </w:r>
          </w:p>
        </w:tc>
        <w:tc>
          <w:tcPr>
            <w:tcW w:w="9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119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28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617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283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Hansen</w:t>
            </w:r>
          </w:p>
        </w:tc>
        <w:tc>
          <w:tcPr>
            <w:tcW w:w="941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288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0.54</w:t>
            </w:r>
          </w:p>
        </w:tc>
        <w:tc>
          <w:tcPr>
            <w:tcW w:w="1046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0.32</w:t>
            </w:r>
          </w:p>
        </w:tc>
        <w:tc>
          <w:tcPr>
            <w:tcW w:w="1045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0.91</w:t>
            </w:r>
          </w:p>
        </w:tc>
        <w:tc>
          <w:tcPr>
            <w:tcW w:w="1111" w:type="dxa"/>
            <w:tcBorders>
              <w:bottom w:val="single" w:color="000000" w:sz="12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2200</w:t>
            </w:r>
          </w:p>
        </w:tc>
      </w:tr>
    </w:tbl>
    <w:p>
      <w:pPr>
        <w:bidi w:val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Code of dose-response analysis in Stata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#Noninear Model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ssc install remr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findit xblc    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remr  lnRR  selnRR method,  id(id)  cat(cat)  rcs(3)  table  bplot eform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#Nonlinear test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test  __doses1=__doses2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#Linear Model</w:t>
      </w:r>
    </w:p>
    <w:p>
      <w:pPr>
        <w:keepNext w:val="0"/>
        <w:keepLines w:val="0"/>
        <w:pageBreakBefore w:val="0"/>
        <w:widowControl w:val="0"/>
        <w:tabs>
          <w:tab w:val="left" w:pos="63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remr lnRR  selnRR  method,  id(id)  cat(cat)  table  bplot eform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822A0E"/>
    <w:rsid w:val="02780EE3"/>
    <w:rsid w:val="4284109C"/>
    <w:rsid w:val="46A57CC2"/>
    <w:rsid w:val="48822A0E"/>
    <w:rsid w:val="48D30D75"/>
    <w:rsid w:val="626D1CBF"/>
    <w:rsid w:val="686A7C90"/>
    <w:rsid w:val="69F30493"/>
    <w:rsid w:val="74BD0D7D"/>
    <w:rsid w:val="7CBE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2021-07-12T14:38:00Z</dcterms:created>
  <dc:creator>梣莎木</dc:creator>
  <cp:lastModifiedBy>梣莎木</cp:lastModifiedBy>
  <dcterms:modified xsi:type="dcterms:W3CDTF">2021-07-12T15:08:22Z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E550380913F34670AD9B5DFBD646E3A3</vt:lpwstr>
  </property>
</Properties>
</file>