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default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 xml:space="preserve">Appendix 1.1 </w:t>
      </w:r>
      <w:r>
        <w:rPr>
          <w:rFonts w:hint="default" w:ascii="Times New Roman" w:hAnsi="Times New Roman" w:cs="Times New Roman"/>
          <w:sz w:val="24"/>
        </w:rPr>
        <w:t>Sensitivity analyses of the effect of n-3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 xml:space="preserve">PUFA supplementation during pregnancy on the incidence of asthma/wheeze. </w:t>
      </w:r>
    </w:p>
    <w:tbl>
      <w:tblPr>
        <w:tblStyle w:val="2"/>
        <w:tblW w:w="8218" w:type="dxa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21"/>
        <w:gridCol w:w="2869"/>
        <w:gridCol w:w="2328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  <w:jc w:val="center"/>
        </w:trPr>
        <w:tc>
          <w:tcPr>
            <w:tcW w:w="3021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lang w:bidi="ar"/>
              </w:rPr>
              <w:t>Study omitted</w:t>
            </w:r>
          </w:p>
        </w:tc>
        <w:tc>
          <w:tcPr>
            <w:tcW w:w="2869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lang w:bidi="ar"/>
              </w:rPr>
              <w:t>RR (95%CI)</w:t>
            </w:r>
          </w:p>
        </w:tc>
        <w:tc>
          <w:tcPr>
            <w:tcW w:w="2328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i/>
                <w:sz w:val="24"/>
                <w:lang w:bidi="ar"/>
              </w:rPr>
              <w:t>I</w:t>
            </w:r>
            <w:r>
              <w:rPr>
                <w:rFonts w:hint="default" w:ascii="Times New Roman" w:hAnsi="Times New Roman" w:eastAsia="等线" w:cs="Times New Roman"/>
                <w:i/>
                <w:sz w:val="24"/>
                <w:vertAlign w:val="superscript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02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Dunstan (2003)</w:t>
            </w:r>
          </w:p>
        </w:tc>
        <w:tc>
          <w:tcPr>
            <w:tcW w:w="28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0.93 (0.82, 1.05)</w:t>
            </w:r>
          </w:p>
        </w:tc>
        <w:tc>
          <w:tcPr>
            <w:tcW w:w="232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47%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  <w:jc w:val="center"/>
        </w:trPr>
        <w:tc>
          <w:tcPr>
            <w:tcW w:w="3021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Furuhjelm (2011)</w:t>
            </w:r>
          </w:p>
        </w:tc>
        <w:tc>
          <w:tcPr>
            <w:tcW w:w="2869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0.92 (0.82, 1.04)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46%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  <w:jc w:val="center"/>
        </w:trPr>
        <w:tc>
          <w:tcPr>
            <w:tcW w:w="3021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Noakes (2012)</w:t>
            </w:r>
          </w:p>
        </w:tc>
        <w:tc>
          <w:tcPr>
            <w:tcW w:w="2869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0.92 (0.81, 1.04)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44%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  <w:jc w:val="center"/>
        </w:trPr>
        <w:tc>
          <w:tcPr>
            <w:tcW w:w="3021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lang w:bidi="ar"/>
              </w:rPr>
              <w:t>Consuelo (2014)</w:t>
            </w:r>
          </w:p>
        </w:tc>
        <w:tc>
          <w:tcPr>
            <w:tcW w:w="2869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0.88 (0.75, 1.04)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43%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  <w:jc w:val="center"/>
        </w:trPr>
        <w:tc>
          <w:tcPr>
            <w:tcW w:w="3021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Berman (2016)</w:t>
            </w:r>
          </w:p>
        </w:tc>
        <w:tc>
          <w:tcPr>
            <w:tcW w:w="2869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0.93 (0.82, 1.05)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47%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  <w:jc w:val="center"/>
        </w:trPr>
        <w:tc>
          <w:tcPr>
            <w:tcW w:w="3021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Best (2016)</w:t>
            </w:r>
          </w:p>
        </w:tc>
        <w:tc>
          <w:tcPr>
            <w:tcW w:w="2869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0.87 (0.76, 1.01)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32%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  <w:jc w:val="center"/>
        </w:trPr>
        <w:tc>
          <w:tcPr>
            <w:tcW w:w="3021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Bisgaard (2016)</w:t>
            </w:r>
          </w:p>
        </w:tc>
        <w:tc>
          <w:tcPr>
            <w:tcW w:w="2869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0.98 (0.86, 1.11)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8%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3021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Hansen (2017)</w:t>
            </w:r>
          </w:p>
        </w:tc>
        <w:tc>
          <w:tcPr>
            <w:tcW w:w="2869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0.95 (0.84, 1.08)</w:t>
            </w:r>
          </w:p>
        </w:tc>
        <w:tc>
          <w:tcPr>
            <w:tcW w:w="2328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11%</w:t>
            </w:r>
          </w:p>
        </w:tc>
      </w:tr>
    </w:tbl>
    <w:p>
      <w:pPr>
        <w:widowControl/>
        <w:spacing w:line="480" w:lineRule="auto"/>
        <w:jc w:val="left"/>
        <w:textAlignment w:val="center"/>
        <w:rPr>
          <w:rFonts w:hint="default" w:ascii="Times New Roman" w:hAnsi="Times New Roman" w:eastAsia="等线" w:cs="Times New Roman"/>
          <w:color w:val="000000"/>
          <w:kern w:val="0"/>
          <w:szCs w:val="21"/>
          <w:lang w:bidi="ar"/>
        </w:rPr>
      </w:pPr>
      <w:r>
        <w:rPr>
          <w:rFonts w:hint="default" w:ascii="Times New Roman" w:hAnsi="Times New Roman" w:cs="Times New Roman"/>
        </w:rPr>
        <w:t xml:space="preserve">RR: relative risk; CI: confidential interval. </w:t>
      </w:r>
      <w:r>
        <w:rPr>
          <w:rFonts w:hint="default" w:ascii="Times New Roman" w:hAnsi="Times New Roman" w:eastAsia="等线" w:cs="Times New Roman"/>
          <w:color w:val="000000"/>
          <w:kern w:val="0"/>
          <w:szCs w:val="21"/>
          <w:lang w:bidi="ar"/>
        </w:rPr>
        <w:t>I</w:t>
      </w:r>
      <w:r>
        <w:rPr>
          <w:rFonts w:hint="default" w:ascii="Times New Roman" w:hAnsi="Times New Roman" w:eastAsia="等线" w:cs="Times New Roman"/>
          <w:color w:val="000000"/>
          <w:kern w:val="0"/>
          <w:szCs w:val="21"/>
          <w:vertAlign w:val="superscript"/>
          <w:lang w:bidi="ar"/>
        </w:rPr>
        <w:t>2</w:t>
      </w:r>
      <w:r>
        <w:rPr>
          <w:rFonts w:hint="default" w:ascii="Times New Roman" w:hAnsi="Times New Roman" w:eastAsia="等线" w:cs="Times New Roman"/>
          <w:color w:val="000000"/>
          <w:kern w:val="0"/>
          <w:szCs w:val="21"/>
          <w:lang w:bidi="ar"/>
        </w:rPr>
        <w:t xml:space="preserve"> is for statistical heterogeneity of the other studies. </w:t>
      </w:r>
    </w:p>
    <w:p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spacing w:line="480" w:lineRule="auto"/>
        <w:rPr>
          <w:rFonts w:hint="default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Appendix 1.2</w:t>
      </w:r>
      <w:bookmarkStart w:id="0" w:name="_GoBack"/>
      <w:bookmarkEnd w:id="0"/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Sensitivity analyses of the effect of n-3</w:t>
      </w:r>
      <w:r>
        <w:rPr>
          <w:rFonts w:hint="default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</w:rPr>
        <w:t>PUFA supplementation during pregnancy on the incidence of a</w:t>
      </w:r>
      <w:r>
        <w:rPr>
          <w:rFonts w:hint="eastAsia" w:ascii="Times New Roman" w:hAnsi="Times New Roman" w:cs="Times New Roman"/>
          <w:sz w:val="24"/>
          <w:lang w:val="en-US" w:eastAsia="zh-CN"/>
        </w:rPr>
        <w:t>llergic asthma</w:t>
      </w:r>
      <w:r>
        <w:rPr>
          <w:rFonts w:hint="default" w:ascii="Times New Roman" w:hAnsi="Times New Roman" w:cs="Times New Roman"/>
          <w:sz w:val="24"/>
        </w:rPr>
        <w:t xml:space="preserve">. </w:t>
      </w:r>
    </w:p>
    <w:tbl>
      <w:tblPr>
        <w:tblStyle w:val="2"/>
        <w:tblW w:w="8218" w:type="dxa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21"/>
        <w:gridCol w:w="2869"/>
        <w:gridCol w:w="2328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  <w:jc w:val="center"/>
        </w:trPr>
        <w:tc>
          <w:tcPr>
            <w:tcW w:w="3021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lang w:bidi="ar"/>
              </w:rPr>
              <w:t>Study omitted</w:t>
            </w:r>
          </w:p>
        </w:tc>
        <w:tc>
          <w:tcPr>
            <w:tcW w:w="2869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lang w:bidi="ar"/>
              </w:rPr>
              <w:t>RR (95%CI)</w:t>
            </w:r>
          </w:p>
        </w:tc>
        <w:tc>
          <w:tcPr>
            <w:tcW w:w="2328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i/>
                <w:sz w:val="24"/>
                <w:lang w:bidi="ar"/>
              </w:rPr>
              <w:t>I</w:t>
            </w:r>
            <w:r>
              <w:rPr>
                <w:rFonts w:hint="default" w:ascii="Times New Roman" w:hAnsi="Times New Roman" w:eastAsia="等线" w:cs="Times New Roman"/>
                <w:i/>
                <w:sz w:val="24"/>
                <w:vertAlign w:val="superscript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02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Furuhjelm (2011)</w:t>
            </w:r>
          </w:p>
        </w:tc>
        <w:tc>
          <w:tcPr>
            <w:tcW w:w="28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lang w:val="en-US" w:eastAsia="zh-CN"/>
              </w:rPr>
              <w:t>0.64 (0.15, 2.78)</w:t>
            </w:r>
          </w:p>
        </w:tc>
        <w:tc>
          <w:tcPr>
            <w:tcW w:w="232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lang w:val="en-US" w:eastAsia="zh-CN"/>
              </w:rPr>
              <w:t>82</w:t>
            </w: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  <w:jc w:val="center"/>
        </w:trPr>
        <w:tc>
          <w:tcPr>
            <w:tcW w:w="3021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Best (2016)</w:t>
            </w:r>
          </w:p>
        </w:tc>
        <w:tc>
          <w:tcPr>
            <w:tcW w:w="2869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lang w:val="en-US" w:eastAsia="zh-CN"/>
              </w:rPr>
              <w:t>0.36 (0.13, 0.95)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%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  <w:jc w:val="center"/>
        </w:trPr>
        <w:tc>
          <w:tcPr>
            <w:tcW w:w="3021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等线" w:cs="Times New Roman"/>
                <w:color w:val="000000"/>
                <w:kern w:val="0"/>
                <w:sz w:val="24"/>
                <w:lang w:bidi="ar"/>
              </w:rPr>
              <w:t>Hansen (2017)</w:t>
            </w:r>
          </w:p>
        </w:tc>
        <w:tc>
          <w:tcPr>
            <w:tcW w:w="2869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lang w:val="en-US" w:eastAsia="zh-CN"/>
              </w:rPr>
              <w:t>1.18 (0.83, 1.68)</w:t>
            </w:r>
          </w:p>
        </w:tc>
        <w:tc>
          <w:tcPr>
            <w:tcW w:w="2328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等线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等线" w:cs="Times New Roman"/>
                <w:color w:val="000000"/>
                <w:sz w:val="24"/>
              </w:rPr>
              <w:t>%</w:t>
            </w:r>
          </w:p>
        </w:tc>
      </w:tr>
    </w:tbl>
    <w:p>
      <w:pPr>
        <w:widowControl/>
        <w:spacing w:line="480" w:lineRule="auto"/>
        <w:jc w:val="left"/>
        <w:textAlignment w:val="center"/>
        <w:rPr>
          <w:rFonts w:hint="default" w:ascii="Times New Roman" w:hAnsi="Times New Roman" w:eastAsia="等线" w:cs="Times New Roman"/>
          <w:color w:val="000000"/>
          <w:kern w:val="0"/>
          <w:szCs w:val="21"/>
          <w:lang w:bidi="ar"/>
        </w:rPr>
      </w:pPr>
      <w:r>
        <w:rPr>
          <w:rFonts w:hint="default" w:ascii="Times New Roman" w:hAnsi="Times New Roman" w:cs="Times New Roman"/>
        </w:rPr>
        <w:t xml:space="preserve">RR: relative risk; CI: confidential interval. </w:t>
      </w:r>
      <w:r>
        <w:rPr>
          <w:rFonts w:hint="default" w:ascii="Times New Roman" w:hAnsi="Times New Roman" w:eastAsia="等线" w:cs="Times New Roman"/>
          <w:color w:val="000000"/>
          <w:kern w:val="0"/>
          <w:szCs w:val="21"/>
          <w:lang w:bidi="ar"/>
        </w:rPr>
        <w:t>I</w:t>
      </w:r>
      <w:r>
        <w:rPr>
          <w:rFonts w:hint="default" w:ascii="Times New Roman" w:hAnsi="Times New Roman" w:eastAsia="等线" w:cs="Times New Roman"/>
          <w:color w:val="000000"/>
          <w:kern w:val="0"/>
          <w:szCs w:val="21"/>
          <w:vertAlign w:val="superscript"/>
          <w:lang w:bidi="ar"/>
        </w:rPr>
        <w:t>2</w:t>
      </w:r>
      <w:r>
        <w:rPr>
          <w:rFonts w:hint="default" w:ascii="Times New Roman" w:hAnsi="Times New Roman" w:eastAsia="等线" w:cs="Times New Roman"/>
          <w:color w:val="000000"/>
          <w:kern w:val="0"/>
          <w:szCs w:val="21"/>
          <w:lang w:bidi="ar"/>
        </w:rPr>
        <w:t xml:space="preserve"> is for statistical heterogeneity of the other studies. </w:t>
      </w:r>
    </w:p>
    <w:p>
      <w:pPr>
        <w:spacing w:line="480" w:lineRule="auto"/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spacing w:line="480" w:lineRule="auto"/>
        <w:rPr>
          <w:rFonts w:hint="default" w:ascii="Times New Roman" w:hAnsi="Times New Roman" w:cs="Times New Roman"/>
        </w:rPr>
      </w:pPr>
    </w:p>
    <w:p>
      <w:pPr>
        <w:spacing w:line="480" w:lineRule="auto"/>
        <w:rPr>
          <w:rFonts w:hint="default" w:ascii="Times New Roman" w:hAnsi="Times New Roman" w:cs="Times New Roman"/>
        </w:rPr>
      </w:pPr>
    </w:p>
    <w:p>
      <w:pPr>
        <w:spacing w:line="480" w:lineRule="auto"/>
        <w:rPr>
          <w:rFonts w:hint="default" w:ascii="Times New Roman" w:hAnsi="Times New Roman" w:cs="Times New Roman"/>
          <w:sz w:val="24"/>
        </w:rPr>
      </w:pPr>
    </w:p>
    <w:p>
      <w:pPr>
        <w:spacing w:line="480" w:lineRule="auto"/>
        <w:rPr>
          <w:rFonts w:hint="default" w:ascii="Times New Roman" w:hAnsi="Times New Roman" w:cs="Times New Roman"/>
          <w:sz w:val="24"/>
        </w:rPr>
      </w:pPr>
    </w:p>
    <w:p>
      <w:pPr>
        <w:spacing w:line="480" w:lineRule="auto"/>
        <w:rPr>
          <w:rFonts w:hint="default" w:ascii="Times New Roman" w:hAnsi="Times New Roman" w:cs="Times New Roman"/>
          <w:sz w:val="24"/>
        </w:rPr>
      </w:pPr>
    </w:p>
    <w:p>
      <w:pPr>
        <w:spacing w:line="480" w:lineRule="auto"/>
        <w:rPr>
          <w:rFonts w:hint="default" w:ascii="Times New Roman" w:hAnsi="Times New Roman" w:cs="Times New Roman"/>
          <w:sz w:val="24"/>
        </w:rPr>
      </w:pPr>
    </w:p>
    <w:p>
      <w:pPr>
        <w:spacing w:line="480" w:lineRule="auto"/>
        <w:rPr>
          <w:rFonts w:hint="default" w:ascii="Times New Roman" w:hAnsi="Times New Roman" w:cs="Times New Roman"/>
          <w:sz w:val="24"/>
        </w:rPr>
      </w:pPr>
    </w:p>
    <w:p>
      <w:pPr>
        <w:spacing w:line="480" w:lineRule="auto"/>
        <w:rPr>
          <w:rFonts w:hint="default" w:ascii="Times New Roman" w:hAnsi="Times New Roman" w:cs="Times New Roman"/>
          <w:sz w:val="24"/>
        </w:rPr>
      </w:pPr>
    </w:p>
    <w:sectPr>
      <w:endnotePr>
        <w:numFmt w:val="decimal"/>
      </w:endnotePr>
      <w:pgSz w:w="11850" w:h="16783"/>
      <w:pgMar w:top="1440" w:right="1800" w:bottom="1440" w:left="1800" w:header="964" w:footer="850" w:gutter="0"/>
      <w:cols w:space="0" w:num="1"/>
      <w:titlePg/>
      <w:docGrid w:type="lines" w:linePitch="33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noPunctuationKerning w:val="1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D61C5"/>
    <w:rsid w:val="00211593"/>
    <w:rsid w:val="002B7F22"/>
    <w:rsid w:val="00381A68"/>
    <w:rsid w:val="003A3402"/>
    <w:rsid w:val="003D268D"/>
    <w:rsid w:val="0053327A"/>
    <w:rsid w:val="00563B5C"/>
    <w:rsid w:val="00635318"/>
    <w:rsid w:val="00677FAE"/>
    <w:rsid w:val="00725B63"/>
    <w:rsid w:val="009D5E1D"/>
    <w:rsid w:val="00B02888"/>
    <w:rsid w:val="00BD70CC"/>
    <w:rsid w:val="00C76CBE"/>
    <w:rsid w:val="00D31BDB"/>
    <w:rsid w:val="00DB16EF"/>
    <w:rsid w:val="023205D9"/>
    <w:rsid w:val="03804469"/>
    <w:rsid w:val="03D056F2"/>
    <w:rsid w:val="050C188F"/>
    <w:rsid w:val="06CA6A01"/>
    <w:rsid w:val="0BEB05E8"/>
    <w:rsid w:val="0CFC6164"/>
    <w:rsid w:val="0EE47D74"/>
    <w:rsid w:val="0FA632B2"/>
    <w:rsid w:val="124A0B0C"/>
    <w:rsid w:val="12BA43AE"/>
    <w:rsid w:val="12E97CE0"/>
    <w:rsid w:val="13396087"/>
    <w:rsid w:val="13F80294"/>
    <w:rsid w:val="14962843"/>
    <w:rsid w:val="159F57C1"/>
    <w:rsid w:val="16A70BFD"/>
    <w:rsid w:val="18A16241"/>
    <w:rsid w:val="199448BF"/>
    <w:rsid w:val="2106187F"/>
    <w:rsid w:val="226E1C3B"/>
    <w:rsid w:val="23AC47D3"/>
    <w:rsid w:val="275855B3"/>
    <w:rsid w:val="2C7A095B"/>
    <w:rsid w:val="2CA93C46"/>
    <w:rsid w:val="2F856DF0"/>
    <w:rsid w:val="2FBE76C9"/>
    <w:rsid w:val="30367208"/>
    <w:rsid w:val="335C6253"/>
    <w:rsid w:val="365864A2"/>
    <w:rsid w:val="36D120E6"/>
    <w:rsid w:val="38FA4E68"/>
    <w:rsid w:val="39A76108"/>
    <w:rsid w:val="3A5463DF"/>
    <w:rsid w:val="3A7C2F64"/>
    <w:rsid w:val="3AA76193"/>
    <w:rsid w:val="3AC74B14"/>
    <w:rsid w:val="3BE66548"/>
    <w:rsid w:val="3C4C6878"/>
    <w:rsid w:val="3C540F3D"/>
    <w:rsid w:val="3C7B43AF"/>
    <w:rsid w:val="3E2207DE"/>
    <w:rsid w:val="3EFE75D2"/>
    <w:rsid w:val="3F7F283E"/>
    <w:rsid w:val="420D3079"/>
    <w:rsid w:val="42490613"/>
    <w:rsid w:val="42FE3730"/>
    <w:rsid w:val="43173085"/>
    <w:rsid w:val="434732EE"/>
    <w:rsid w:val="43922287"/>
    <w:rsid w:val="49D81181"/>
    <w:rsid w:val="4F7C6760"/>
    <w:rsid w:val="54200D7F"/>
    <w:rsid w:val="558438BA"/>
    <w:rsid w:val="55BE06CC"/>
    <w:rsid w:val="55E06D50"/>
    <w:rsid w:val="56047D04"/>
    <w:rsid w:val="56BB1A6F"/>
    <w:rsid w:val="57147CC9"/>
    <w:rsid w:val="57583736"/>
    <w:rsid w:val="5A0A0FE1"/>
    <w:rsid w:val="5B457C42"/>
    <w:rsid w:val="5BF93C76"/>
    <w:rsid w:val="5C000375"/>
    <w:rsid w:val="5C1F7024"/>
    <w:rsid w:val="5C594DF3"/>
    <w:rsid w:val="5D2B506D"/>
    <w:rsid w:val="5D433EB9"/>
    <w:rsid w:val="601275B2"/>
    <w:rsid w:val="61511554"/>
    <w:rsid w:val="62A25DF8"/>
    <w:rsid w:val="62E23EAC"/>
    <w:rsid w:val="63690428"/>
    <w:rsid w:val="64EE4CED"/>
    <w:rsid w:val="66CD1161"/>
    <w:rsid w:val="68874FBB"/>
    <w:rsid w:val="68AB79D7"/>
    <w:rsid w:val="6A864E4A"/>
    <w:rsid w:val="6AFB0705"/>
    <w:rsid w:val="6BD55842"/>
    <w:rsid w:val="6C606A45"/>
    <w:rsid w:val="6C846085"/>
    <w:rsid w:val="6F3B297B"/>
    <w:rsid w:val="6F6B613A"/>
    <w:rsid w:val="74114C6C"/>
    <w:rsid w:val="765F7E74"/>
    <w:rsid w:val="790F53B9"/>
    <w:rsid w:val="7AD30B9C"/>
    <w:rsid w:val="7C2027E7"/>
    <w:rsid w:val="7D2C2171"/>
    <w:rsid w:val="7D5C5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rPr>
      <w:rFonts w:hint="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146</Words>
  <Characters>835</Characters>
  <Lines>6</Lines>
  <Paragraphs>1</Paragraphs>
  <TotalTime>1</TotalTime>
  <ScaleCrop>false</ScaleCrop>
  <LinksUpToDate>false</LinksUpToDate>
  <CharactersWithSpaces>980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＂ 童 话 ℃</dc:creator>
  <cp:lastModifiedBy>梣莎木</cp:lastModifiedBy>
  <dcterms:modified xsi:type="dcterms:W3CDTF">2021-07-12T15:04:44Z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BC1651985103403587B05715B5341BDE</vt:lpwstr>
  </property>
</Properties>
</file>