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B023B" w14:textId="3C77B2A6" w:rsidR="00A45860" w:rsidRDefault="00A45860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</w:t>
      </w:r>
    </w:p>
    <w:p w14:paraId="570D59CD" w14:textId="363B02F6" w:rsidR="00A45860" w:rsidRDefault="00A45860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0D779B3" w14:textId="77777777" w:rsidR="00A45860" w:rsidRPr="00A45860" w:rsidRDefault="00A45860" w:rsidP="00A4586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45860">
        <w:rPr>
          <w:rFonts w:ascii="Times New Roman" w:hAnsi="Times New Roman" w:cs="Times New Roman"/>
          <w:b/>
          <w:bCs/>
          <w:sz w:val="28"/>
          <w:szCs w:val="28"/>
          <w:lang w:val="en-US"/>
        </w:rPr>
        <w:t>Induction of CD73 prevents death after emergency open aortic surgery for a ruptured abdominal aortic aneurysm – a randomized, double-blind, placebo-controlled study</w:t>
      </w:r>
    </w:p>
    <w:p w14:paraId="1564AD42" w14:textId="77777777" w:rsidR="00A45860" w:rsidRPr="00A45860" w:rsidRDefault="00A45860" w:rsidP="00A4586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2577FBD" w14:textId="77777777" w:rsidR="00A45860" w:rsidRPr="00A45860" w:rsidRDefault="00A45860" w:rsidP="00A45860">
      <w:pPr>
        <w:spacing w:line="360" w:lineRule="auto"/>
        <w:rPr>
          <w:rFonts w:ascii="Times New Roman" w:hAnsi="Times New Roman" w:cs="Times New Roman"/>
          <w:lang w:val="en-US"/>
        </w:rPr>
      </w:pPr>
      <w:proofErr w:type="spellStart"/>
      <w:r w:rsidRPr="00A45860">
        <w:rPr>
          <w:rFonts w:ascii="Times New Roman" w:hAnsi="Times New Roman" w:cs="Times New Roman"/>
          <w:lang w:val="en-US"/>
        </w:rPr>
        <w:t>Harri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45860">
        <w:rPr>
          <w:rFonts w:ascii="Times New Roman" w:hAnsi="Times New Roman" w:cs="Times New Roman"/>
          <w:lang w:val="en-US"/>
        </w:rPr>
        <w:t>Hakovirta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1,2,3</w:t>
      </w:r>
      <w:r w:rsidRPr="00A45860">
        <w:rPr>
          <w:rFonts w:ascii="Times New Roman" w:hAnsi="Times New Roman" w:cs="Times New Roman"/>
          <w:lang w:val="en-US"/>
        </w:rPr>
        <w:t xml:space="preserve">; Juho </w:t>
      </w:r>
      <w:proofErr w:type="spellStart"/>
      <w:r w:rsidRPr="00A45860">
        <w:rPr>
          <w:rFonts w:ascii="Times New Roman" w:hAnsi="Times New Roman" w:cs="Times New Roman"/>
          <w:lang w:val="en-US"/>
        </w:rPr>
        <w:t>Jalkanen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4</w:t>
      </w:r>
      <w:r w:rsidRPr="00A45860">
        <w:rPr>
          <w:rFonts w:ascii="Times New Roman" w:hAnsi="Times New Roman" w:cs="Times New Roman"/>
          <w:lang w:val="en-US"/>
        </w:rPr>
        <w:t xml:space="preserve">; </w:t>
      </w:r>
      <w:proofErr w:type="spellStart"/>
      <w:r w:rsidRPr="00A45860">
        <w:rPr>
          <w:rFonts w:ascii="Times New Roman" w:hAnsi="Times New Roman" w:cs="Times New Roman"/>
          <w:lang w:val="en-US"/>
        </w:rPr>
        <w:t>Eija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45860">
        <w:rPr>
          <w:rFonts w:ascii="Times New Roman" w:hAnsi="Times New Roman" w:cs="Times New Roman"/>
          <w:lang w:val="en-US"/>
        </w:rPr>
        <w:t>Saimanen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5</w:t>
      </w:r>
      <w:r w:rsidRPr="00A45860">
        <w:rPr>
          <w:rFonts w:ascii="Times New Roman" w:hAnsi="Times New Roman" w:cs="Times New Roman"/>
          <w:lang w:val="en-US"/>
        </w:rPr>
        <w:t xml:space="preserve">; </w:t>
      </w:r>
      <w:proofErr w:type="spellStart"/>
      <w:r w:rsidRPr="00A45860">
        <w:rPr>
          <w:rFonts w:ascii="Times New Roman" w:hAnsi="Times New Roman" w:cs="Times New Roman"/>
          <w:lang w:val="en-US"/>
        </w:rPr>
        <w:t>Tiia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45860">
        <w:rPr>
          <w:rFonts w:ascii="Times New Roman" w:hAnsi="Times New Roman" w:cs="Times New Roman"/>
          <w:lang w:val="en-US"/>
        </w:rPr>
        <w:t>Kukkonen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6</w:t>
      </w:r>
      <w:r w:rsidRPr="00A45860">
        <w:rPr>
          <w:rFonts w:ascii="Times New Roman" w:hAnsi="Times New Roman" w:cs="Times New Roman"/>
          <w:lang w:val="en-US"/>
        </w:rPr>
        <w:t xml:space="preserve">; </w:t>
      </w:r>
      <w:proofErr w:type="spellStart"/>
      <w:r w:rsidRPr="00A45860">
        <w:rPr>
          <w:rFonts w:ascii="Times New Roman" w:hAnsi="Times New Roman" w:cs="Times New Roman"/>
          <w:lang w:val="en-US"/>
        </w:rPr>
        <w:t>Pekka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45860">
        <w:rPr>
          <w:rFonts w:ascii="Times New Roman" w:hAnsi="Times New Roman" w:cs="Times New Roman"/>
          <w:lang w:val="en-US"/>
        </w:rPr>
        <w:t>Romsi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7</w:t>
      </w:r>
      <w:r w:rsidRPr="00A45860">
        <w:rPr>
          <w:rFonts w:ascii="Times New Roman" w:hAnsi="Times New Roman" w:cs="Times New Roman"/>
          <w:lang w:val="en-US"/>
        </w:rPr>
        <w:t xml:space="preserve">; </w:t>
      </w:r>
      <w:proofErr w:type="spellStart"/>
      <w:r w:rsidRPr="00A45860">
        <w:rPr>
          <w:rFonts w:ascii="Times New Roman" w:hAnsi="Times New Roman" w:cs="Times New Roman"/>
          <w:lang w:val="en-US"/>
        </w:rPr>
        <w:t>Velipekka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45860">
        <w:rPr>
          <w:rFonts w:ascii="Times New Roman" w:hAnsi="Times New Roman" w:cs="Times New Roman"/>
          <w:lang w:val="en-US"/>
        </w:rPr>
        <w:t>Suominen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8</w:t>
      </w:r>
      <w:r w:rsidRPr="00A45860">
        <w:rPr>
          <w:rFonts w:ascii="Times New Roman" w:hAnsi="Times New Roman" w:cs="Times New Roman"/>
          <w:lang w:val="en-US"/>
        </w:rPr>
        <w:t xml:space="preserve">; Leena </w:t>
      </w:r>
      <w:proofErr w:type="spellStart"/>
      <w:r w:rsidRPr="00A45860">
        <w:rPr>
          <w:rFonts w:ascii="Times New Roman" w:hAnsi="Times New Roman" w:cs="Times New Roman"/>
          <w:lang w:val="en-US"/>
        </w:rPr>
        <w:t>Vikatmaa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9</w:t>
      </w:r>
      <w:r w:rsidRPr="00A45860">
        <w:rPr>
          <w:rFonts w:ascii="Times New Roman" w:hAnsi="Times New Roman" w:cs="Times New Roman"/>
          <w:lang w:val="en-US"/>
        </w:rPr>
        <w:t xml:space="preserve">, Mika </w:t>
      </w:r>
      <w:proofErr w:type="spellStart"/>
      <w:r w:rsidRPr="00A45860">
        <w:rPr>
          <w:rFonts w:ascii="Times New Roman" w:hAnsi="Times New Roman" w:cs="Times New Roman"/>
          <w:lang w:val="en-US"/>
        </w:rPr>
        <w:t>Valtonen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10</w:t>
      </w:r>
      <w:r w:rsidRPr="00A45860">
        <w:rPr>
          <w:rFonts w:ascii="Times New Roman" w:hAnsi="Times New Roman" w:cs="Times New Roman"/>
          <w:lang w:val="en-US"/>
        </w:rPr>
        <w:t>; Matti K. Karvonen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4</w:t>
      </w:r>
      <w:r w:rsidRPr="00A45860">
        <w:rPr>
          <w:rFonts w:ascii="Times New Roman" w:hAnsi="Times New Roman" w:cs="Times New Roman"/>
          <w:lang w:val="en-US"/>
        </w:rPr>
        <w:t xml:space="preserve">; </w:t>
      </w:r>
      <w:proofErr w:type="spellStart"/>
      <w:r w:rsidRPr="00A45860">
        <w:rPr>
          <w:rFonts w:ascii="Times New Roman" w:hAnsi="Times New Roman" w:cs="Times New Roman"/>
          <w:lang w:val="en-US"/>
        </w:rPr>
        <w:t>Maarit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45860">
        <w:rPr>
          <w:rFonts w:ascii="Times New Roman" w:hAnsi="Times New Roman" w:cs="Times New Roman"/>
          <w:lang w:val="en-US"/>
        </w:rPr>
        <w:t>Venermo</w:t>
      </w:r>
      <w:proofErr w:type="spellEnd"/>
      <w:r w:rsidRPr="00A45860">
        <w:rPr>
          <w:rFonts w:ascii="Times New Roman" w:hAnsi="Times New Roman" w:cs="Times New Roman"/>
          <w:lang w:val="en-US"/>
        </w:rPr>
        <w:t xml:space="preserve"> MD, PhD</w:t>
      </w:r>
      <w:r w:rsidRPr="00A45860">
        <w:rPr>
          <w:rFonts w:ascii="Times New Roman" w:hAnsi="Times New Roman" w:cs="Times New Roman"/>
          <w:vertAlign w:val="superscript"/>
          <w:lang w:val="en-US"/>
        </w:rPr>
        <w:t>11</w:t>
      </w:r>
      <w:r w:rsidRPr="00A45860">
        <w:rPr>
          <w:rFonts w:ascii="Times New Roman" w:hAnsi="Times New Roman" w:cs="Times New Roman"/>
          <w:lang w:val="en-US"/>
        </w:rPr>
        <w:t>; and INFORAAA Study Group</w:t>
      </w:r>
    </w:p>
    <w:p w14:paraId="10ED6A04" w14:textId="61150C7E" w:rsidR="00A45860" w:rsidRDefault="00A45860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F8D2F40" w14:textId="6E0455E4" w:rsidR="004E2225" w:rsidRDefault="004E2225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75FFE05" w14:textId="77777777" w:rsidR="004E2225" w:rsidRPr="00A45860" w:rsidRDefault="004E2225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4B7914D" w14:textId="3CF6F095" w:rsidR="00A45860" w:rsidRDefault="00A4586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Details from the Adverse Event Report</w:t>
      </w:r>
      <w:r w:rsidR="004E222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on two patients that were excluded from efficacy analyses</w:t>
      </w:r>
    </w:p>
    <w:p w14:paraId="68786695" w14:textId="77777777" w:rsidR="004E2225" w:rsidRDefault="004E222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DFE49AB" w14:textId="53FD5726" w:rsidR="00A45860" w:rsidRPr="00A45860" w:rsidRDefault="00A45860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A45860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Patient 1 </w:t>
      </w:r>
    </w:p>
    <w:p w14:paraId="1F4C3B79" w14:textId="7DEA4168" w:rsidR="00A45860" w:rsidRDefault="00A45860" w:rsidP="00A458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45860">
        <w:rPr>
          <w:rFonts w:ascii="Times New Roman" w:hAnsi="Times New Roman" w:cs="Times New Roman"/>
          <w:sz w:val="24"/>
          <w:szCs w:val="24"/>
          <w:lang w:val="en-GB"/>
        </w:rPr>
        <w:t>Patient 1, an 80-year-old male diagnosed with ruptured abdominal aortic aneurysm (RAAA</w:t>
      </w:r>
      <w:proofErr w:type="gramStart"/>
      <w:r w:rsidRPr="00A45860">
        <w:rPr>
          <w:rFonts w:ascii="Times New Roman" w:hAnsi="Times New Roman" w:cs="Times New Roman"/>
          <w:sz w:val="24"/>
          <w:szCs w:val="24"/>
          <w:lang w:val="en-GB"/>
        </w:rPr>
        <w:t>),was</w:t>
      </w:r>
      <w:proofErr w:type="gramEnd"/>
      <w:r w:rsidRPr="00A45860">
        <w:rPr>
          <w:rFonts w:ascii="Times New Roman" w:hAnsi="Times New Roman" w:cs="Times New Roman"/>
          <w:sz w:val="24"/>
          <w:szCs w:val="24"/>
          <w:lang w:val="en-GB"/>
        </w:rPr>
        <w:t xml:space="preserve"> randomised to blinded treatment with FP-1201-lyo/placebo. The patient was administered 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first dose of study drug on 23 May 2017 and ended the treatment on 24 May 2017. The patient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 xml:space="preserve">received 10 </w:t>
      </w:r>
      <w:proofErr w:type="spellStart"/>
      <w:r w:rsidRPr="00A45860">
        <w:rPr>
          <w:rFonts w:ascii="Times New Roman" w:hAnsi="Times New Roman" w:cs="Times New Roman"/>
          <w:sz w:val="24"/>
          <w:szCs w:val="24"/>
          <w:lang w:val="en-GB"/>
        </w:rPr>
        <w:t>μg</w:t>
      </w:r>
      <w:proofErr w:type="spellEnd"/>
      <w:r w:rsidRPr="00A45860">
        <w:rPr>
          <w:rFonts w:ascii="Times New Roman" w:hAnsi="Times New Roman" w:cs="Times New Roman"/>
          <w:sz w:val="24"/>
          <w:szCs w:val="24"/>
          <w:lang w:val="en-GB"/>
        </w:rPr>
        <w:t xml:space="preserve"> once daily (intravenously) of the blinded study drug for 1 day.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His medical/surgical history included pulmonary arterial hypertension, coronary artery disease,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hypercholesterolaemia, lymphoma, cerebrovascular accident, osteoarthritis, type 2 diabetes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 xml:space="preserve">mellitus, arrhythmia supraventricular, sinus node dysfunction, benign prostatic hyperplasia, </w:t>
      </w:r>
      <w:r>
        <w:rPr>
          <w:rFonts w:ascii="Times New Roman" w:hAnsi="Times New Roman" w:cs="Times New Roman"/>
          <w:sz w:val="24"/>
          <w:szCs w:val="24"/>
          <w:lang w:val="en-GB"/>
        </w:rPr>
        <w:t>chronic renal insufficiency (from 2014)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 xml:space="preserve"> and cardiac </w:t>
      </w:r>
      <w:r>
        <w:rPr>
          <w:rFonts w:ascii="Times New Roman" w:hAnsi="Times New Roman" w:cs="Times New Roman"/>
          <w:sz w:val="24"/>
          <w:szCs w:val="24"/>
          <w:lang w:val="en-GB"/>
        </w:rPr>
        <w:t>insufficiency (hospitalized first time March 2014)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EDC3622" w14:textId="77777777" w:rsidR="00A45860" w:rsidRPr="00A45860" w:rsidRDefault="00A45860" w:rsidP="00A458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A9256F1" w14:textId="77777777" w:rsidR="00A45860" w:rsidRPr="00A45860" w:rsidRDefault="00A45860" w:rsidP="00A458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45860">
        <w:rPr>
          <w:rFonts w:ascii="Times New Roman" w:hAnsi="Times New Roman" w:cs="Times New Roman"/>
          <w:sz w:val="24"/>
          <w:szCs w:val="24"/>
          <w:lang w:val="en-GB"/>
        </w:rPr>
        <w:t>On 23 May 2017, the patient was hospitalised due to an aneurysm rupture and was operated</w:t>
      </w:r>
    </w:p>
    <w:p w14:paraId="6B1E280D" w14:textId="77777777" w:rsidR="00A45860" w:rsidRPr="00A45860" w:rsidRDefault="00A45860" w:rsidP="00A458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45860">
        <w:rPr>
          <w:rFonts w:ascii="Times New Roman" w:hAnsi="Times New Roman" w:cs="Times New Roman"/>
          <w:sz w:val="24"/>
          <w:szCs w:val="24"/>
          <w:lang w:val="en-GB"/>
        </w:rPr>
        <w:t>immediately. After the procedure, the patient was anuric, he also had severe hypotension and</w:t>
      </w:r>
    </w:p>
    <w:p w14:paraId="7CACB746" w14:textId="64B248C0" w:rsidR="00A45860" w:rsidRPr="00A45860" w:rsidRDefault="00A45860" w:rsidP="00A458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45860">
        <w:rPr>
          <w:rFonts w:ascii="Times New Roman" w:hAnsi="Times New Roman" w:cs="Times New Roman"/>
          <w:sz w:val="24"/>
          <w:szCs w:val="24"/>
          <w:lang w:val="en-GB"/>
        </w:rPr>
        <w:t>needed high level noradrenaline support. On the first operative day the decision was to stop 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intensive care treatment because of the poor prognosis due to the chronic renal insufficiency and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severe cardiac insufficiency that the patient had already before the aneurysm rupture. The patient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died on 24 May 2017 at 18:25 (Day 1 of the study). Ruptured abdominal aortic aneurysm was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reported as a cause of death. An autopsy was not performed.</w:t>
      </w:r>
    </w:p>
    <w:p w14:paraId="5347935B" w14:textId="292B6C3E" w:rsidR="00A45860" w:rsidRPr="00A45860" w:rsidRDefault="00A45860" w:rsidP="00A458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45860">
        <w:rPr>
          <w:rFonts w:ascii="Times New Roman" w:hAnsi="Times New Roman" w:cs="Times New Roman"/>
          <w:sz w:val="24"/>
          <w:szCs w:val="24"/>
          <w:lang w:val="en-GB"/>
        </w:rPr>
        <w:t>The investigator assessed the event of multiple organ dysfunction syndrome as not related to 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study drug. The most likely cause of the event was concomitant disease. The sponsor agreed with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the investigator’s causality assessment.</w:t>
      </w:r>
    </w:p>
    <w:p w14:paraId="2F7FF669" w14:textId="5B1CDC9B" w:rsidR="00A45860" w:rsidRDefault="00A45860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D481B91" w14:textId="57CCDAFE" w:rsidR="00A45860" w:rsidRPr="00A45860" w:rsidRDefault="00A45860">
      <w:pPr>
        <w:rPr>
          <w:rFonts w:ascii="Times New Roman" w:hAnsi="Times New Roman" w:cs="Times New Roman"/>
          <w:sz w:val="24"/>
          <w:szCs w:val="24"/>
          <w:u w:val="single"/>
          <w:lang w:val="en-GB"/>
        </w:rPr>
      </w:pPr>
      <w:r w:rsidRPr="00A45860">
        <w:rPr>
          <w:rFonts w:ascii="Times New Roman" w:hAnsi="Times New Roman" w:cs="Times New Roman"/>
          <w:sz w:val="24"/>
          <w:szCs w:val="24"/>
          <w:u w:val="single"/>
          <w:lang w:val="en-GB"/>
        </w:rPr>
        <w:lastRenderedPageBreak/>
        <w:t>Patient 2</w:t>
      </w:r>
    </w:p>
    <w:p w14:paraId="4B58592B" w14:textId="4AFBBBFB" w:rsidR="00A45860" w:rsidRPr="00A45860" w:rsidRDefault="00A45860" w:rsidP="00A458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45860">
        <w:rPr>
          <w:rFonts w:ascii="Times New Roman" w:hAnsi="Times New Roman" w:cs="Times New Roman"/>
          <w:sz w:val="24"/>
          <w:szCs w:val="24"/>
          <w:lang w:val="en-GB"/>
        </w:rPr>
        <w:t>Patient 2, a 73-year-old male diagnosed with ruptured abdominal aortic aneurysm (RAAA),</w:t>
      </w:r>
    </w:p>
    <w:p w14:paraId="78768852" w14:textId="73D98809" w:rsidR="00A45860" w:rsidRPr="00A45860" w:rsidRDefault="00A45860" w:rsidP="00A458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45860">
        <w:rPr>
          <w:rFonts w:ascii="Times New Roman" w:hAnsi="Times New Roman" w:cs="Times New Roman"/>
          <w:sz w:val="24"/>
          <w:szCs w:val="24"/>
          <w:lang w:val="en-GB"/>
        </w:rPr>
        <w:t>was randomised to blinded treatment with FP-1201-lyo/placebo. The patient was administered 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first dose of study drug on 04 Jun 2017 and ended the treatment prematurely on 05 Jun 2017. His medical/surgical history included type 2 diabetes mellitus, hypertension, acute myocardial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infarction, cardiac arrest, ventricular fibrillation, sinus node dysfunction, hypercholesterolaemia,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 xml:space="preserve">arrhythmia, cardiac failure congestive, ischaemic </w:t>
      </w:r>
      <w:proofErr w:type="gramStart"/>
      <w:r w:rsidRPr="00A45860">
        <w:rPr>
          <w:rFonts w:ascii="Times New Roman" w:hAnsi="Times New Roman" w:cs="Times New Roman"/>
          <w:sz w:val="24"/>
          <w:szCs w:val="24"/>
          <w:lang w:val="en-GB"/>
        </w:rPr>
        <w:t>cardiomyopathy</w:t>
      </w:r>
      <w:proofErr w:type="gramEnd"/>
      <w:r w:rsidRPr="00A45860">
        <w:rPr>
          <w:rFonts w:ascii="Times New Roman" w:hAnsi="Times New Roman" w:cs="Times New Roman"/>
          <w:sz w:val="24"/>
          <w:szCs w:val="24"/>
          <w:lang w:val="en-GB"/>
        </w:rPr>
        <w:t xml:space="preserve"> and hypothyroidism.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On 04 Jun 2017, the patient sustained ruptured abdominal aortic aneurysm and was hospitalised.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Emergency operation was carried out, bleeding during the operation was 12 litres. Postoperatively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the patient was transferred to intensive care unit (ICU). He was anuric. Due to suspicion of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bleeding and high intra-abdominal pressure, laparotomy and open abdomen treatment was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initiated on 05 Jun 2017. Despite deliberation, the patient continued being anuric and hypotonic.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Multi-organ failure was diagnosed considering its onset on 04 Jun 2017 at 18:30 (Day 0 of 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study). The patient died on 05 Jun 2017 at 22:00 (Day 1 of the study). Ruptured abdominal aortic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aneurysm was reported as the cause of death. An autopsy was not performed.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The investigator assessed the event of multiple organ dysfunction syndrome as not related to 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study drug. The most likely cause of the event was disease under treatment. The sponsor agreed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45860">
        <w:rPr>
          <w:rFonts w:ascii="Times New Roman" w:hAnsi="Times New Roman" w:cs="Times New Roman"/>
          <w:sz w:val="24"/>
          <w:szCs w:val="24"/>
          <w:lang w:val="en-GB"/>
        </w:rPr>
        <w:t>with the investigator’s causality assessment.</w:t>
      </w:r>
    </w:p>
    <w:p w14:paraId="7B75EE24" w14:textId="7B44AEE3" w:rsidR="00A45860" w:rsidRDefault="00A45860" w:rsidP="00A45860">
      <w:pPr>
        <w:rPr>
          <w:rFonts w:ascii="Times New Roman" w:hAnsi="Times New Roman" w:cs="Times New Roman"/>
          <w:b/>
          <w:bCs/>
          <w:lang w:val="en-US"/>
        </w:rPr>
      </w:pPr>
    </w:p>
    <w:p w14:paraId="14F630C8" w14:textId="77777777" w:rsidR="00A45860" w:rsidRDefault="00A45860" w:rsidP="00A45860">
      <w:pPr>
        <w:rPr>
          <w:rFonts w:ascii="Times New Roman" w:hAnsi="Times New Roman" w:cs="Times New Roman"/>
          <w:b/>
          <w:bCs/>
          <w:lang w:val="en-US"/>
        </w:rPr>
      </w:pPr>
    </w:p>
    <w:p w14:paraId="5A3D27F3" w14:textId="7607190D" w:rsidR="00A45860" w:rsidRPr="004E2225" w:rsidRDefault="00A4586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E2225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Table S1. Reason for using glucocorticoids with IFN beta-1a</w:t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2510"/>
        <w:gridCol w:w="1318"/>
        <w:gridCol w:w="2268"/>
        <w:gridCol w:w="3685"/>
      </w:tblGrid>
      <w:tr w:rsidR="00A45860" w:rsidRPr="00A45860" w14:paraId="44E20ABD" w14:textId="30C4E9FE" w:rsidTr="00A45860">
        <w:trPr>
          <w:trHeight w:val="320"/>
        </w:trPr>
        <w:tc>
          <w:tcPr>
            <w:tcW w:w="2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663EA" w14:textId="77777777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Reported indication for glucocorticoid use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405E2" w14:textId="7A62516F" w:rsidR="00A45860" w:rsidRPr="00A45860" w:rsidRDefault="00A45860" w:rsidP="00A4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en-GB"/>
              </w:rPr>
              <w:t>Number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en-GB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en-GB"/>
              </w:rPr>
              <w:t>patients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B2B54C" w14:textId="77777777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Start of treatment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5182E7" w14:textId="2458A5A5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en-GB"/>
              </w:rPr>
              <w:t>Dose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en-GB"/>
              </w:rPr>
              <w:t xml:space="preserve"> &amp;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en-GB"/>
              </w:rPr>
              <w:t>regime</w:t>
            </w:r>
            <w:proofErr w:type="spellEnd"/>
          </w:p>
        </w:tc>
      </w:tr>
      <w:tr w:rsidR="00A45860" w:rsidRPr="00A45860" w14:paraId="591F481A" w14:textId="0B17924A" w:rsidTr="00A45860">
        <w:trPr>
          <w:trHeight w:val="320"/>
        </w:trPr>
        <w:tc>
          <w:tcPr>
            <w:tcW w:w="2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2BE3E" w14:textId="77777777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Emphysema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9123D" w14:textId="77777777" w:rsidR="00A45860" w:rsidRPr="00A45860" w:rsidRDefault="00A45860" w:rsidP="00A4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D6D19" w14:textId="77777777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 day after surgery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53E778" w14:textId="403BF6D6" w:rsidR="00A45860" w:rsidRPr="00E12751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E127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Hydrocortisone start 200mg/day, used tappering down until day 15</w:t>
            </w:r>
          </w:p>
        </w:tc>
      </w:tr>
      <w:tr w:rsidR="00A45860" w:rsidRPr="00A45860" w14:paraId="48E85EB3" w14:textId="07E39E1F" w:rsidTr="00A45860">
        <w:trPr>
          <w:trHeight w:val="320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DE3D7" w14:textId="77777777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Shock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A7324" w14:textId="77777777" w:rsidR="00A45860" w:rsidRPr="00A45860" w:rsidRDefault="00A45860" w:rsidP="00A4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00338" w14:textId="77777777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From surgery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4235AF3A" w14:textId="7F00E9B0" w:rsidR="00A45860" w:rsidRPr="00E12751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E127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Hydrocortisone used for 2 days 200mg/day</w:t>
            </w:r>
          </w:p>
        </w:tc>
      </w:tr>
      <w:tr w:rsidR="00A45860" w:rsidRPr="00A45860" w14:paraId="0F729AEF" w14:textId="2090251B" w:rsidTr="00A45860">
        <w:trPr>
          <w:trHeight w:val="320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5CD53" w14:textId="00CCC14D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Anesthesia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2A9E4" w14:textId="77777777" w:rsidR="00A45860" w:rsidRPr="00A45860" w:rsidRDefault="00A45860" w:rsidP="00A4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C6745" w14:textId="77777777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From surgery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54EC38E6" w14:textId="4D5C4DDA" w:rsidR="00A45860" w:rsidRPr="00E12751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E1275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Dexmethasone 9mg/day for 2 days</w:t>
            </w:r>
          </w:p>
        </w:tc>
      </w:tr>
      <w:tr w:rsidR="00A45860" w:rsidRPr="00A45860" w14:paraId="679AE608" w14:textId="37F63C58" w:rsidTr="00A45860">
        <w:trPr>
          <w:trHeight w:val="320"/>
        </w:trPr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734502" w14:textId="77777777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Baseline disease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2AFFE4" w14:textId="77777777" w:rsidR="00A45860" w:rsidRPr="00A45860" w:rsidRDefault="00A45860" w:rsidP="00A458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8A7C770" w14:textId="77777777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5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Pre-existing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75D8BA" w14:textId="1D1D8691" w:rsidR="00A45860" w:rsidRPr="00A45860" w:rsidRDefault="00A45860" w:rsidP="00A458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i-FI" w:eastAsia="en-GB"/>
              </w:rPr>
            </w:pPr>
            <w:proofErr w:type="spellStart"/>
            <w:r w:rsidRPr="00A458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i-FI" w:eastAsia="en-GB"/>
              </w:rPr>
              <w:t>Methylprednisolon</w:t>
            </w:r>
            <w:proofErr w:type="spellEnd"/>
            <w:r w:rsidRPr="00A458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i-FI" w:eastAsia="en-GB"/>
              </w:rPr>
              <w:t xml:space="preserve"> </w:t>
            </w:r>
            <w:proofErr w:type="spellStart"/>
            <w:r w:rsidRPr="00A458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i-FI" w:eastAsia="en-GB"/>
              </w:rPr>
              <w:t>varying</w:t>
            </w:r>
            <w:proofErr w:type="spellEnd"/>
            <w:r w:rsidRPr="00A458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i-FI" w:eastAsia="en-GB"/>
              </w:rPr>
              <w:t xml:space="preserve"> </w:t>
            </w:r>
            <w:proofErr w:type="spellStart"/>
            <w:r w:rsidRPr="00A458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i-FI" w:eastAsia="en-GB"/>
              </w:rPr>
              <w:t>doses</w:t>
            </w:r>
            <w:proofErr w:type="spellEnd"/>
          </w:p>
        </w:tc>
      </w:tr>
    </w:tbl>
    <w:p w14:paraId="6AA6DF23" w14:textId="77777777" w:rsidR="00A45860" w:rsidRDefault="00A45860">
      <w:pPr>
        <w:rPr>
          <w:lang w:val="en-US"/>
        </w:rPr>
      </w:pPr>
    </w:p>
    <w:p w14:paraId="140BC7E1" w14:textId="366D398F" w:rsidR="00AF1A32" w:rsidRDefault="00AF1A3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717265CC" wp14:editId="0BFBAA46">
            <wp:extent cx="4436745" cy="3327805"/>
            <wp:effectExtent l="0" t="0" r="0" b="0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9520" cy="3359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5E796" w14:textId="1214EC03" w:rsidR="00AF1A32" w:rsidRPr="00E70CEB" w:rsidRDefault="00E70CEB">
      <w:pPr>
        <w:rPr>
          <w:rFonts w:ascii="Times New Roman" w:hAnsi="Times New Roman" w:cs="Times New Roman"/>
          <w:b/>
          <w:bCs/>
          <w:lang w:val="en-US"/>
        </w:rPr>
      </w:pPr>
      <w:r w:rsidRPr="00A45860">
        <w:rPr>
          <w:rFonts w:ascii="Times New Roman" w:hAnsi="Times New Roman" w:cs="Times New Roman"/>
          <w:b/>
          <w:bCs/>
          <w:lang w:val="en-US"/>
        </w:rPr>
        <w:t xml:space="preserve">Supplemental </w:t>
      </w:r>
      <w:r>
        <w:rPr>
          <w:rFonts w:ascii="Times New Roman" w:hAnsi="Times New Roman" w:cs="Times New Roman"/>
          <w:b/>
          <w:bCs/>
          <w:lang w:val="en-US"/>
        </w:rPr>
        <w:t>Figure</w:t>
      </w:r>
      <w:r w:rsidRPr="00A45860">
        <w:rPr>
          <w:rFonts w:ascii="Times New Roman" w:hAnsi="Times New Roman" w:cs="Times New Roman"/>
          <w:b/>
          <w:bCs/>
          <w:lang w:val="en-US"/>
        </w:rPr>
        <w:t xml:space="preserve"> S</w:t>
      </w:r>
      <w:r>
        <w:rPr>
          <w:rFonts w:ascii="Times New Roman" w:hAnsi="Times New Roman" w:cs="Times New Roman"/>
          <w:b/>
          <w:bCs/>
          <w:lang w:val="en-US"/>
        </w:rPr>
        <w:t>1</w:t>
      </w:r>
      <w:r w:rsidRPr="00A45860">
        <w:rPr>
          <w:rFonts w:ascii="Times New Roman" w:hAnsi="Times New Roman" w:cs="Times New Roman"/>
          <w:b/>
          <w:bCs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lang w:val="en-US"/>
        </w:rPr>
        <w:t>D90 Kaplan-Meier Survival Curve for the entire study population divided into CD73 responders vs. non-responders.</w:t>
      </w:r>
    </w:p>
    <w:p w14:paraId="3D9B1124" w14:textId="77777777" w:rsidR="00AF1A32" w:rsidRDefault="00AF1A3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86E1D19" w14:textId="6481D2F4" w:rsidR="00AF1A32" w:rsidRDefault="00AF1A3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386B6F3" wp14:editId="0D7A1043">
            <wp:extent cx="4437089" cy="3328063"/>
            <wp:effectExtent l="0" t="0" r="0" b="0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667" cy="337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57C32" w14:textId="56CF676C" w:rsidR="00E70CEB" w:rsidRPr="00A45860" w:rsidRDefault="00E70CEB" w:rsidP="00E70CEB">
      <w:pPr>
        <w:rPr>
          <w:rFonts w:ascii="Times New Roman" w:hAnsi="Times New Roman" w:cs="Times New Roman"/>
          <w:b/>
          <w:bCs/>
          <w:lang w:val="en-US"/>
        </w:rPr>
      </w:pPr>
      <w:r w:rsidRPr="00A45860">
        <w:rPr>
          <w:rFonts w:ascii="Times New Roman" w:hAnsi="Times New Roman" w:cs="Times New Roman"/>
          <w:b/>
          <w:bCs/>
          <w:lang w:val="en-US"/>
        </w:rPr>
        <w:t xml:space="preserve">Supplemental </w:t>
      </w:r>
      <w:r>
        <w:rPr>
          <w:rFonts w:ascii="Times New Roman" w:hAnsi="Times New Roman" w:cs="Times New Roman"/>
          <w:b/>
          <w:bCs/>
          <w:lang w:val="en-US"/>
        </w:rPr>
        <w:t>Figure</w:t>
      </w:r>
      <w:r w:rsidRPr="00A45860">
        <w:rPr>
          <w:rFonts w:ascii="Times New Roman" w:hAnsi="Times New Roman" w:cs="Times New Roman"/>
          <w:b/>
          <w:bCs/>
          <w:lang w:val="en-US"/>
        </w:rPr>
        <w:t xml:space="preserve"> S</w:t>
      </w:r>
      <w:r>
        <w:rPr>
          <w:rFonts w:ascii="Times New Roman" w:hAnsi="Times New Roman" w:cs="Times New Roman"/>
          <w:b/>
          <w:bCs/>
          <w:lang w:val="en-US"/>
        </w:rPr>
        <w:t>2</w:t>
      </w:r>
      <w:r w:rsidRPr="00A45860">
        <w:rPr>
          <w:rFonts w:ascii="Times New Roman" w:hAnsi="Times New Roman" w:cs="Times New Roman"/>
          <w:b/>
          <w:bCs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lang w:val="en-US"/>
        </w:rPr>
        <w:t>SOFA score in the entire study population divided into CD73 responders vs. non-responders</w:t>
      </w:r>
    </w:p>
    <w:p w14:paraId="3A035B2F" w14:textId="77777777" w:rsidR="00AF1A32" w:rsidRDefault="00AF1A3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5DB699A" w14:textId="77777777" w:rsidR="00E70CEB" w:rsidRDefault="00E70CE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7B50BC3" w14:textId="77777777" w:rsidR="00E70CEB" w:rsidRDefault="00E70CE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39B9AAD" w14:textId="57911845" w:rsidR="00831E6E" w:rsidRPr="00AF1A32" w:rsidRDefault="00AF1A3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IFN beta neutralizing antibodies (NABS) and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MxA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CD73 responses</w:t>
      </w:r>
    </w:p>
    <w:p w14:paraId="402BF413" w14:textId="1A832D38" w:rsidR="00E70CEB" w:rsidRPr="00E70CEB" w:rsidRDefault="00E70CEB" w:rsidP="00E70CEB">
      <w:pPr>
        <w:jc w:val="both"/>
        <w:rPr>
          <w:rFonts w:ascii="Times New Roman" w:eastAsia="Times New Roman" w:hAnsi="Times New Roman" w:cs="Times New Roman"/>
          <w:color w:val="000000" w:themeColor="text1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color w:val="000000" w:themeColor="text1"/>
          <w:u w:val="single"/>
          <w:lang w:val="en-GB" w:eastAsia="en-GB"/>
        </w:rPr>
        <w:t>Methods</w:t>
      </w:r>
    </w:p>
    <w:p w14:paraId="44C6203A" w14:textId="65DBE6A3" w:rsidR="00E70CEB" w:rsidRDefault="00E70CEB" w:rsidP="00E70CEB">
      <w:pPr>
        <w:jc w:val="both"/>
        <w:rPr>
          <w:rFonts w:ascii="Times New Roman" w:eastAsia="Times New Roman" w:hAnsi="Times New Roman" w:cs="Times New Roman"/>
          <w:color w:val="000000" w:themeColor="text1"/>
          <w:lang w:val="en-GB" w:eastAsia="en-GB"/>
        </w:rPr>
      </w:pP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Th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e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study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of anti-human IFN beta antibodies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in human serum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was carried out in the quality-assured environment of </w:t>
      </w:r>
      <w:proofErr w:type="spellStart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Wieslab’s</w:t>
      </w:r>
      <w:proofErr w:type="spellEnd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ISO 17025 and GLP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test facility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in Malmö, Sweden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. The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study was performed and documented according to current written local standard operating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procedures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A detailed description of the method can be 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shared under confidentiality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. The principle is a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bridging immunoassay with electrochemiluminescence (ECL) as detection method where anti-drug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antibodies form a bridge with labelled drug material. The ECL label emit light in response to an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electrical current that is initiated at the electrodes at the bottom of the plate.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The method consists of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three tiers: 1) a screening assay, where anti-drug antibodies are detected. 2) a confirmatory assay,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where anti-drug antibody specificity is confirmed and 3) a </w:t>
      </w:r>
      <w:proofErr w:type="spellStart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titer</w:t>
      </w:r>
      <w:proofErr w:type="spellEnd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assay, where anti-drug antibodies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are semi-quantitated. Assay sample output is reported qualitatively (tier 1/2) and semi quantitatively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(tier 3).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</w:p>
    <w:p w14:paraId="1D0537D0" w14:textId="7940C4AD" w:rsidR="00E70CEB" w:rsidRPr="00E70CEB" w:rsidRDefault="00E70CEB" w:rsidP="00E70CEB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lang w:val="en-GB" w:eastAsia="en-GB"/>
        </w:rPr>
      </w:pP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Tier 1: Samples with a response ≥ SCP were further tested in confirmatory assay</w:t>
      </w:r>
    </w:p>
    <w:p w14:paraId="6C3AFA2E" w14:textId="77777777" w:rsidR="00E70CEB" w:rsidRPr="00E70CEB" w:rsidRDefault="00E70CEB" w:rsidP="00E70CEB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lang w:val="en-GB" w:eastAsia="en-GB"/>
        </w:rPr>
      </w:pP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Tier 2: Samples with a response ≥ CCP were reported as positive</w:t>
      </w:r>
    </w:p>
    <w:p w14:paraId="05465C0E" w14:textId="149E03FF" w:rsidR="00E70CEB" w:rsidRPr="00E70CEB" w:rsidRDefault="00E70CEB" w:rsidP="00E70CEB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lang w:val="en-GB" w:eastAsia="en-GB"/>
        </w:rPr>
      </w:pP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Tier 3: The </w:t>
      </w:r>
      <w:proofErr w:type="spellStart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titer</w:t>
      </w:r>
      <w:proofErr w:type="spellEnd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result was determined as the lowest dilution/concentration of the diluted sample that was detected ≥ SCP and was reported as absolute </w:t>
      </w:r>
      <w:proofErr w:type="spellStart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titer</w:t>
      </w:r>
      <w:proofErr w:type="spellEnd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with minimum required dilution factored in.</w:t>
      </w:r>
    </w:p>
    <w:p w14:paraId="5BA7217A" w14:textId="17260DB8" w:rsidR="00E70CEB" w:rsidRDefault="00E70CEB" w:rsidP="00E70CEB">
      <w:pPr>
        <w:jc w:val="both"/>
        <w:rPr>
          <w:rFonts w:ascii="Times New Roman" w:eastAsia="Times New Roman" w:hAnsi="Times New Roman" w:cs="Times New Roman"/>
          <w:color w:val="000000" w:themeColor="text1"/>
          <w:lang w:val="en-GB" w:eastAsia="en-GB"/>
        </w:rPr>
      </w:pP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Blank pooled serum was used as negative control (NC). NCs were stored at -60°C to -90°C.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Positive controls (low- and high-quality controls (QCs)) were prepared by spiking blank pooled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serum with the positive control antibody.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QCs were prepared frozen at approximately -60°C to -90°C at least 12 hours prior to analysis.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These run qualifying controls were included in all assay tiers and runs in at least replicate n = 2x2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wells at each concentration level. 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Study serum samples were transferred and stored at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-60°C to -90°C 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until analyses.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S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tudy s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amples were analysed as duplicates in each analytical run. The %CV for the duplicate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determination must be ≤25%, If a study sample does not meet acceptance criteria it must be reanalysed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</w:t>
      </w:r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according to </w:t>
      </w:r>
      <w:proofErr w:type="spellStart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Wieslab</w:t>
      </w:r>
      <w:proofErr w:type="spellEnd"/>
      <w:r w:rsidRPr="00E70CEB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procedures.</w:t>
      </w:r>
    </w:p>
    <w:p w14:paraId="71776AA8" w14:textId="77777777" w:rsidR="00E70CEB" w:rsidRDefault="00E70CEB" w:rsidP="00E70CEB">
      <w:pPr>
        <w:jc w:val="both"/>
        <w:rPr>
          <w:rFonts w:ascii="Times New Roman" w:eastAsia="Times New Roman" w:hAnsi="Times New Roman" w:cs="Times New Roman"/>
          <w:color w:val="000000" w:themeColor="text1"/>
          <w:lang w:val="en-GB" w:eastAsia="en-GB"/>
        </w:rPr>
      </w:pPr>
    </w:p>
    <w:p w14:paraId="6BE85E27" w14:textId="7FD80108" w:rsidR="00E70CEB" w:rsidRPr="00E70CEB" w:rsidRDefault="00E70CEB" w:rsidP="00E70CEB">
      <w:pPr>
        <w:jc w:val="both"/>
        <w:rPr>
          <w:rFonts w:ascii="Times New Roman" w:eastAsia="Times New Roman" w:hAnsi="Times New Roman" w:cs="Times New Roman"/>
          <w:color w:val="000000" w:themeColor="text1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color w:val="000000" w:themeColor="text1"/>
          <w:u w:val="single"/>
          <w:lang w:val="en-GB" w:eastAsia="en-GB"/>
        </w:rPr>
        <w:t>Results</w:t>
      </w:r>
    </w:p>
    <w:p w14:paraId="52149B06" w14:textId="4A1D6543" w:rsidR="00831E6E" w:rsidRPr="00E70CEB" w:rsidRDefault="00E70CEB" w:rsidP="00E70CEB">
      <w:pPr>
        <w:jc w:val="both"/>
        <w:rPr>
          <w:rFonts w:ascii="Times New Roman" w:eastAsia="Times New Roman" w:hAnsi="Times New Roman" w:cs="Times New Roman"/>
          <w:color w:val="000000" w:themeColor="text1"/>
          <w:lang w:val="en-GB" w:eastAsia="en-GB"/>
        </w:rPr>
      </w:pP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Determination of elevated levels of IFN beta neutralizing antibodies (NABS) was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succesful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except for one patient. In the baseline serum sample 45% of study patient had elevated levels of NABS. A</w:t>
      </w:r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multivariable Repeated Measurements Covariance (RM ANCOVA) model for both </w:t>
      </w:r>
      <w:proofErr w:type="spellStart"/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MxA</w:t>
      </w:r>
      <w:proofErr w:type="spellEnd"/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and CD73</w:t>
      </w:r>
      <w:r w:rsid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levels during 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the observation period from baseline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to  day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13</w:t>
      </w:r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, which explored what affects CD73 and </w:t>
      </w:r>
      <w:proofErr w:type="spellStart"/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MxA</w:t>
      </w:r>
      <w:proofErr w:type="spellEnd"/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levels the most. The model included treatment (active vs. placebo), concomitant use of glucocorticoids (Y/N), presence of 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NABS</w:t>
      </w:r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(Y/N), duration of surgery, and transfusion. The most profound effect </w:t>
      </w:r>
      <w:r w:rsid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was</w:t>
      </w:r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with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NABS</w:t>
      </w:r>
      <w:r w:rsid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, which</w:t>
      </w:r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reach</w:t>
      </w:r>
      <w:r w:rsid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>ed</w:t>
      </w:r>
      <w:r w:rsidR="00AF1A32" w:rsidRPr="00AF1A32"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statistical significance in the model</w:t>
      </w:r>
      <w:r>
        <w:rPr>
          <w:rFonts w:ascii="Times New Roman" w:eastAsia="Times New Roman" w:hAnsi="Times New Roman" w:cs="Times New Roman"/>
          <w:color w:val="000000" w:themeColor="text1"/>
          <w:lang w:val="en-GB" w:eastAsia="en-GB"/>
        </w:rPr>
        <w:t xml:space="preserve"> (</w:t>
      </w:r>
      <w:r w:rsidRPr="00E70CEB">
        <w:rPr>
          <w:rFonts w:ascii="Times New Roman" w:eastAsia="Times New Roman" w:hAnsi="Times New Roman" w:cs="Times New Roman"/>
          <w:bCs/>
          <w:color w:val="000000" w:themeColor="text1"/>
          <w:lang w:val="en-GB" w:eastAsia="en-GB"/>
        </w:rPr>
        <w:t>P = 0.04</w:t>
      </w:r>
      <w:r>
        <w:rPr>
          <w:rFonts w:ascii="Times New Roman" w:eastAsia="Times New Roman" w:hAnsi="Times New Roman" w:cs="Times New Roman"/>
          <w:bCs/>
          <w:color w:val="000000" w:themeColor="text1"/>
          <w:lang w:val="en-GB" w:eastAsia="en-GB"/>
        </w:rPr>
        <w:t xml:space="preserve"> for CD73 and </w:t>
      </w:r>
      <w:r w:rsidRPr="00E70CEB">
        <w:rPr>
          <w:rFonts w:ascii="Times New Roman" w:eastAsia="Times New Roman" w:hAnsi="Times New Roman" w:cs="Times New Roman"/>
          <w:bCs/>
          <w:color w:val="000000" w:themeColor="text1"/>
          <w:lang w:val="en-GB" w:eastAsia="en-GB"/>
        </w:rPr>
        <w:t>P = 0.02</w:t>
      </w:r>
      <w:r>
        <w:rPr>
          <w:rFonts w:ascii="Times New Roman" w:eastAsia="Times New Roman" w:hAnsi="Times New Roman" w:cs="Times New Roman"/>
          <w:bCs/>
          <w:color w:val="000000" w:themeColor="text1"/>
          <w:lang w:val="en-GB" w:eastAsia="en-GB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lang w:val="en-GB" w:eastAsia="en-GB"/>
        </w:rPr>
        <w:t>MxA</w:t>
      </w:r>
      <w:proofErr w:type="spellEnd"/>
      <w:r w:rsidRPr="00E70CEB">
        <w:rPr>
          <w:rFonts w:ascii="Times New Roman" w:eastAsia="Times New Roman" w:hAnsi="Times New Roman" w:cs="Times New Roman"/>
          <w:bCs/>
          <w:color w:val="000000" w:themeColor="text1"/>
          <w:lang w:val="en-GB" w:eastAsia="en-GB"/>
        </w:rPr>
        <w:t>)</w:t>
      </w:r>
      <w:r>
        <w:rPr>
          <w:rFonts w:ascii="Times New Roman" w:eastAsia="Times New Roman" w:hAnsi="Times New Roman" w:cs="Times New Roman"/>
          <w:bCs/>
          <w:color w:val="000000" w:themeColor="text1"/>
          <w:lang w:val="en-GB" w:eastAsia="en-GB"/>
        </w:rPr>
        <w:t xml:space="preserve">. Visualization of the effect NABS have on CD73 and 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lang w:val="en-GB" w:eastAsia="en-GB"/>
        </w:rPr>
        <w:t>MxA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lang w:val="en-GB" w:eastAsia="en-GB"/>
        </w:rPr>
        <w:t xml:space="preserve"> can be seen in Figures S3 and S4 below.</w:t>
      </w:r>
    </w:p>
    <w:p w14:paraId="366635F6" w14:textId="3D2C2CDB" w:rsidR="00831E6E" w:rsidRDefault="00553751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62C19EEE" wp14:editId="1D72A227">
            <wp:extent cx="4099560" cy="4099560"/>
            <wp:effectExtent l="0" t="0" r="2540" b="254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8953" cy="4108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74532" w14:textId="61466387" w:rsidR="00AF1A32" w:rsidRPr="00A45860" w:rsidRDefault="00AF1A32" w:rsidP="00AF1A32">
      <w:pPr>
        <w:rPr>
          <w:rFonts w:ascii="Times New Roman" w:hAnsi="Times New Roman" w:cs="Times New Roman"/>
          <w:b/>
          <w:bCs/>
          <w:lang w:val="en-US"/>
        </w:rPr>
      </w:pPr>
      <w:r w:rsidRPr="00A45860">
        <w:rPr>
          <w:rFonts w:ascii="Times New Roman" w:hAnsi="Times New Roman" w:cs="Times New Roman"/>
          <w:b/>
          <w:bCs/>
          <w:lang w:val="en-US"/>
        </w:rPr>
        <w:t xml:space="preserve">Supplemental </w:t>
      </w:r>
      <w:r>
        <w:rPr>
          <w:rFonts w:ascii="Times New Roman" w:hAnsi="Times New Roman" w:cs="Times New Roman"/>
          <w:b/>
          <w:bCs/>
          <w:lang w:val="en-US"/>
        </w:rPr>
        <w:t>Figure</w:t>
      </w:r>
      <w:r w:rsidRPr="00A45860">
        <w:rPr>
          <w:rFonts w:ascii="Times New Roman" w:hAnsi="Times New Roman" w:cs="Times New Roman"/>
          <w:b/>
          <w:bCs/>
          <w:lang w:val="en-US"/>
        </w:rPr>
        <w:t xml:space="preserve"> S</w:t>
      </w:r>
      <w:r>
        <w:rPr>
          <w:rFonts w:ascii="Times New Roman" w:hAnsi="Times New Roman" w:cs="Times New Roman"/>
          <w:b/>
          <w:bCs/>
          <w:lang w:val="en-US"/>
        </w:rPr>
        <w:t>3</w:t>
      </w:r>
      <w:r w:rsidRPr="00A45860">
        <w:rPr>
          <w:rFonts w:ascii="Times New Roman" w:hAnsi="Times New Roman" w:cs="Times New Roman"/>
          <w:b/>
          <w:bCs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MxA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values in both treatment groups (A = IFN beta-1a group</w:t>
      </w:r>
      <w:r w:rsidR="00553751">
        <w:rPr>
          <w:rFonts w:ascii="Times New Roman" w:hAnsi="Times New Roman" w:cs="Times New Roman"/>
          <w:b/>
          <w:bCs/>
          <w:lang w:val="en-US"/>
        </w:rPr>
        <w:t>;</w:t>
      </w:r>
      <w:r>
        <w:rPr>
          <w:rFonts w:ascii="Times New Roman" w:hAnsi="Times New Roman" w:cs="Times New Roman"/>
          <w:b/>
          <w:bCs/>
          <w:lang w:val="en-US"/>
        </w:rPr>
        <w:t xml:space="preserve"> B = placebo group) according to the presence of NABS (Y = yes, elevated levels</w:t>
      </w:r>
      <w:r w:rsidR="00553751">
        <w:rPr>
          <w:rFonts w:ascii="Times New Roman" w:hAnsi="Times New Roman" w:cs="Times New Roman"/>
          <w:b/>
          <w:bCs/>
          <w:lang w:val="en-US"/>
        </w:rPr>
        <w:t>;</w:t>
      </w:r>
      <w:r>
        <w:rPr>
          <w:rFonts w:ascii="Times New Roman" w:hAnsi="Times New Roman" w:cs="Times New Roman"/>
          <w:b/>
          <w:bCs/>
          <w:lang w:val="en-US"/>
        </w:rPr>
        <w:t xml:space="preserve"> N = elevated levels not detected).</w:t>
      </w:r>
    </w:p>
    <w:p w14:paraId="66AC68AD" w14:textId="116B7DF3" w:rsidR="00831E6E" w:rsidRDefault="00831E6E">
      <w:pPr>
        <w:rPr>
          <w:lang w:val="en-US"/>
        </w:rPr>
      </w:pPr>
    </w:p>
    <w:p w14:paraId="63CB9789" w14:textId="14814ED2" w:rsidR="00AF1A32" w:rsidRDefault="00AF1A32">
      <w:pPr>
        <w:rPr>
          <w:lang w:val="en-US"/>
        </w:rPr>
      </w:pPr>
    </w:p>
    <w:p w14:paraId="5DF35526" w14:textId="5B166826" w:rsidR="00553751" w:rsidRDefault="00553751" w:rsidP="00AF1A32">
      <w:pPr>
        <w:rPr>
          <w:rFonts w:ascii="Times New Roman" w:hAnsi="Times New Roman" w:cs="Times New Roman"/>
          <w:b/>
          <w:bCs/>
          <w:lang w:val="en-US"/>
        </w:rPr>
      </w:pPr>
      <w:r>
        <w:rPr>
          <w:noProof/>
        </w:rPr>
        <w:lastRenderedPageBreak/>
        <w:drawing>
          <wp:inline distT="0" distB="0" distL="0" distR="0" wp14:anchorId="05A64F60" wp14:editId="583FD9FC">
            <wp:extent cx="4147065" cy="3994150"/>
            <wp:effectExtent l="0" t="0" r="6350" b="635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068" cy="399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6D2CA" w14:textId="0CD516EC" w:rsidR="00AF1A32" w:rsidRPr="00A45860" w:rsidRDefault="00AF1A32" w:rsidP="00AF1A32">
      <w:pPr>
        <w:rPr>
          <w:rFonts w:ascii="Times New Roman" w:hAnsi="Times New Roman" w:cs="Times New Roman"/>
          <w:b/>
          <w:bCs/>
          <w:lang w:val="en-US"/>
        </w:rPr>
      </w:pPr>
      <w:r w:rsidRPr="00A45860">
        <w:rPr>
          <w:rFonts w:ascii="Times New Roman" w:hAnsi="Times New Roman" w:cs="Times New Roman"/>
          <w:b/>
          <w:bCs/>
          <w:lang w:val="en-US"/>
        </w:rPr>
        <w:t xml:space="preserve">Supplemental </w:t>
      </w:r>
      <w:r>
        <w:rPr>
          <w:rFonts w:ascii="Times New Roman" w:hAnsi="Times New Roman" w:cs="Times New Roman"/>
          <w:b/>
          <w:bCs/>
          <w:lang w:val="en-US"/>
        </w:rPr>
        <w:t>Figure</w:t>
      </w:r>
      <w:r w:rsidRPr="00A45860">
        <w:rPr>
          <w:rFonts w:ascii="Times New Roman" w:hAnsi="Times New Roman" w:cs="Times New Roman"/>
          <w:b/>
          <w:bCs/>
          <w:lang w:val="en-US"/>
        </w:rPr>
        <w:t xml:space="preserve"> S</w:t>
      </w:r>
      <w:r>
        <w:rPr>
          <w:rFonts w:ascii="Times New Roman" w:hAnsi="Times New Roman" w:cs="Times New Roman"/>
          <w:b/>
          <w:bCs/>
          <w:lang w:val="en-US"/>
        </w:rPr>
        <w:t>4</w:t>
      </w:r>
      <w:r w:rsidRPr="00A45860">
        <w:rPr>
          <w:rFonts w:ascii="Times New Roman" w:hAnsi="Times New Roman" w:cs="Times New Roman"/>
          <w:b/>
          <w:bCs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lang w:val="en-US"/>
        </w:rPr>
        <w:t>CD73 values in both treatment groups (A = IFN beta-1a group</w:t>
      </w:r>
      <w:r w:rsidR="00553751">
        <w:rPr>
          <w:rFonts w:ascii="Times New Roman" w:hAnsi="Times New Roman" w:cs="Times New Roman"/>
          <w:b/>
          <w:bCs/>
          <w:lang w:val="en-US"/>
        </w:rPr>
        <w:t>;</w:t>
      </w:r>
      <w:r>
        <w:rPr>
          <w:rFonts w:ascii="Times New Roman" w:hAnsi="Times New Roman" w:cs="Times New Roman"/>
          <w:b/>
          <w:bCs/>
          <w:lang w:val="en-US"/>
        </w:rPr>
        <w:t xml:space="preserve"> B = placebo group) according to the presence of NABS (Y = yes, elevated levels</w:t>
      </w:r>
      <w:r w:rsidR="00553751">
        <w:rPr>
          <w:rFonts w:ascii="Times New Roman" w:hAnsi="Times New Roman" w:cs="Times New Roman"/>
          <w:b/>
          <w:bCs/>
          <w:lang w:val="en-US"/>
        </w:rPr>
        <w:t>;</w:t>
      </w:r>
      <w:r>
        <w:rPr>
          <w:rFonts w:ascii="Times New Roman" w:hAnsi="Times New Roman" w:cs="Times New Roman"/>
          <w:b/>
          <w:bCs/>
          <w:lang w:val="en-US"/>
        </w:rPr>
        <w:t xml:space="preserve"> N = elevated levels not detected).</w:t>
      </w:r>
    </w:p>
    <w:p w14:paraId="1A338509" w14:textId="3DE56721" w:rsidR="00831E6E" w:rsidRPr="00831E6E" w:rsidRDefault="00831E6E" w:rsidP="00831E6E">
      <w:pPr>
        <w:rPr>
          <w:lang w:val="en-US"/>
        </w:rPr>
      </w:pPr>
    </w:p>
    <w:sectPr w:rsidR="00831E6E" w:rsidRPr="00831E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B227B"/>
    <w:multiLevelType w:val="hybridMultilevel"/>
    <w:tmpl w:val="22F2DF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E6E"/>
    <w:rsid w:val="004E2225"/>
    <w:rsid w:val="00553751"/>
    <w:rsid w:val="00831E6E"/>
    <w:rsid w:val="00A45860"/>
    <w:rsid w:val="00AF1A32"/>
    <w:rsid w:val="00E12751"/>
    <w:rsid w:val="00E66BA9"/>
    <w:rsid w:val="00E7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430358"/>
  <w15:chartTrackingRefBased/>
  <w15:docId w15:val="{85CB67F0-2FB2-4B5A-9CB9-ACFAC6D7C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C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0C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72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1163</Words>
  <Characters>6633</Characters>
  <Application>Microsoft Office Word</Application>
  <DocSecurity>0</DocSecurity>
  <Lines>55</Lines>
  <Paragraphs>15</Paragraphs>
  <ScaleCrop>false</ScaleCrop>
  <Company/>
  <LinksUpToDate>false</LinksUpToDate>
  <CharactersWithSpaces>7781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Teppo Huttunen</dc:creator>
  <cp:keywords/>
  <dc:description/>
  <cp:lastModifiedBy>Harri Hakovirta</cp:lastModifiedBy>
  <cp:revision>2</cp:revision>
  <dcterms:created xsi:type="dcterms:W3CDTF">2021-09-28T17:33:00Z</dcterms:created>
  <dcterms:modified xsi:type="dcterms:W3CDTF">2021-09-28T17:33:00Z</dcterms:modified>
</cp:coreProperties>
</file>