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CEEE" w14:textId="77777777" w:rsidR="00BF6117" w:rsidRDefault="00000000">
      <w:pPr>
        <w:spacing w:line="360" w:lineRule="auto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/>
          <w:b/>
          <w:bCs/>
          <w:sz w:val="24"/>
        </w:rPr>
        <w:t xml:space="preserve">Table </w:t>
      </w:r>
      <w:r>
        <w:rPr>
          <w:rFonts w:ascii="Times New Roman" w:eastAsia="宋体" w:hAnsi="Times New Roman" w:hint="eastAsia"/>
          <w:b/>
          <w:bCs/>
          <w:sz w:val="24"/>
        </w:rPr>
        <w:t>S</w:t>
      </w:r>
      <w:r>
        <w:rPr>
          <w:rFonts w:ascii="Times New Roman" w:eastAsia="宋体" w:hAnsi="Times New Roman"/>
          <w:b/>
          <w:bCs/>
          <w:sz w:val="24"/>
        </w:rPr>
        <w:t xml:space="preserve">1. </w:t>
      </w:r>
      <w:r>
        <w:rPr>
          <w:rFonts w:ascii="Times New Roman" w:eastAsia="微软雅黑" w:hAnsi="Times New Roman" w:cs="Times New Roman"/>
          <w:b/>
          <w:bCs/>
          <w:sz w:val="24"/>
        </w:rPr>
        <w:t>Definitions of Entity Types</w:t>
      </w:r>
    </w:p>
    <w:tbl>
      <w:tblPr>
        <w:tblW w:w="8129" w:type="dxa"/>
        <w:tblBorders>
          <w:top w:val="single" w:sz="12" w:space="0" w:color="auto"/>
          <w:left w:val="none" w:sz="4" w:space="0" w:color="auto"/>
          <w:bottom w:val="single" w:sz="12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9"/>
        <w:gridCol w:w="5920"/>
      </w:tblGrid>
      <w:tr w:rsidR="00BF6117" w14:paraId="5E3E96FA" w14:textId="77777777" w:rsidTr="007E03F2">
        <w:trPr>
          <w:cantSplit/>
          <w:trHeight w:val="567"/>
        </w:trPr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7685531B" w14:textId="77777777" w:rsidR="00BF6117" w:rsidRDefault="00000000" w:rsidP="007E03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Entity Type</w:t>
            </w:r>
          </w:p>
        </w:tc>
        <w:tc>
          <w:tcPr>
            <w:tcW w:w="6089" w:type="dxa"/>
            <w:tcBorders>
              <w:bottom w:val="single" w:sz="6" w:space="0" w:color="auto"/>
            </w:tcBorders>
            <w:vAlign w:val="center"/>
          </w:tcPr>
          <w:p w14:paraId="73D21A0F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Definition</w:t>
            </w:r>
          </w:p>
        </w:tc>
      </w:tr>
      <w:tr w:rsidR="00BF6117" w14:paraId="40FD0D91" w14:textId="77777777" w:rsidTr="007E03F2">
        <w:trPr>
          <w:cantSplit/>
          <w:trHeight w:val="779"/>
        </w:trPr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2232D375" w14:textId="77777777" w:rsidR="00BF6117" w:rsidRDefault="00000000" w:rsidP="007E03F2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MicroRNA</w:t>
            </w:r>
          </w:p>
        </w:tc>
        <w:tc>
          <w:tcPr>
            <w:tcW w:w="6089" w:type="dxa"/>
            <w:tcBorders>
              <w:top w:val="single" w:sz="6" w:space="0" w:color="auto"/>
            </w:tcBorders>
            <w:vAlign w:val="center"/>
          </w:tcPr>
          <w:p w14:paraId="12E6F2CB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small non-coding RNA molecule (~22 nucleotides) that regulates gene expression post-transcriptionally, often by binding to the 3'-UTR of target mRNAs.</w:t>
            </w:r>
          </w:p>
        </w:tc>
      </w:tr>
      <w:tr w:rsidR="00BF6117" w14:paraId="4F981D79" w14:textId="77777777" w:rsidTr="007E03F2">
        <w:trPr>
          <w:cantSplit/>
          <w:trHeight w:val="1588"/>
        </w:trPr>
        <w:tc>
          <w:tcPr>
            <w:tcW w:w="2268" w:type="dxa"/>
            <w:tcBorders>
              <w:bottom w:val="nil"/>
            </w:tcBorders>
            <w:vAlign w:val="center"/>
          </w:tcPr>
          <w:p w14:paraId="46FE59E1" w14:textId="77777777" w:rsidR="00BF6117" w:rsidRDefault="00000000" w:rsidP="007E03F2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</w:p>
        </w:tc>
        <w:tc>
          <w:tcPr>
            <w:tcW w:w="6089" w:type="dxa"/>
            <w:tcBorders>
              <w:bottom w:val="nil"/>
            </w:tcBorders>
            <w:vAlign w:val="center"/>
          </w:tcPr>
          <w:p w14:paraId="26CADD4A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pathological condition in humans marked by abnormal physiological or biological states, like cancer, heart disease, or neurological disorders.</w:t>
            </w:r>
          </w:p>
        </w:tc>
      </w:tr>
      <w:tr w:rsidR="00BF6117" w14:paraId="3557C7C5" w14:textId="77777777" w:rsidTr="007E03F2">
        <w:trPr>
          <w:cantSplit/>
          <w:trHeight w:val="1588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9AF90A3" w14:textId="77777777" w:rsidR="00BF6117" w:rsidRDefault="00000000" w:rsidP="007E03F2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6089" w:type="dxa"/>
            <w:tcBorders>
              <w:top w:val="nil"/>
              <w:bottom w:val="nil"/>
            </w:tcBorders>
            <w:vAlign w:val="center"/>
          </w:tcPr>
          <w:p w14:paraId="7F4C8358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sequence of DNA that encodes functional products, typically proteins, and is involved in various biological processes.</w:t>
            </w:r>
          </w:p>
        </w:tc>
      </w:tr>
      <w:tr w:rsidR="00BF6117" w14:paraId="366B6AF9" w14:textId="77777777" w:rsidTr="007E03F2">
        <w:trPr>
          <w:cantSplit/>
          <w:trHeight w:val="1588"/>
        </w:trPr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397B3B3" w14:textId="77777777" w:rsidR="00BF6117" w:rsidRDefault="00000000" w:rsidP="007E03F2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</w:p>
        </w:tc>
        <w:tc>
          <w:tcPr>
            <w:tcW w:w="6089" w:type="dxa"/>
            <w:tcBorders>
              <w:top w:val="nil"/>
              <w:bottom w:val="nil"/>
            </w:tcBorders>
            <w:vAlign w:val="center"/>
          </w:tcPr>
          <w:p w14:paraId="6DD5996A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basic structural and functional unit of living organisms, including specific cell types relevant to human physiology or pathology (e.g., fibroblasts, epithelial cells).</w:t>
            </w:r>
          </w:p>
        </w:tc>
      </w:tr>
      <w:tr w:rsidR="00BF6117" w14:paraId="4C67E993" w14:textId="77777777" w:rsidTr="007E03F2">
        <w:trPr>
          <w:cantSplit/>
          <w:trHeight w:val="1588"/>
        </w:trPr>
        <w:tc>
          <w:tcPr>
            <w:tcW w:w="2268" w:type="dxa"/>
            <w:vAlign w:val="center"/>
          </w:tcPr>
          <w:p w14:paraId="51F3A8D9" w14:textId="77777777" w:rsidR="00BF6117" w:rsidRDefault="00000000" w:rsidP="007E03F2"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Pathway</w:t>
            </w:r>
          </w:p>
        </w:tc>
        <w:tc>
          <w:tcPr>
            <w:tcW w:w="6089" w:type="dxa"/>
            <w:vAlign w:val="center"/>
          </w:tcPr>
          <w:p w14:paraId="0BA1773C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set of molecular interactions and biological reactions that lead to a specific cellular function or physiological outcome (e.g., PI3K-Akt pathway).</w:t>
            </w:r>
          </w:p>
        </w:tc>
      </w:tr>
      <w:tr w:rsidR="00BF6117" w14:paraId="13C241AC" w14:textId="77777777" w:rsidTr="007E03F2">
        <w:trPr>
          <w:cantSplit/>
          <w:trHeight w:val="1588"/>
        </w:trPr>
        <w:tc>
          <w:tcPr>
            <w:tcW w:w="2268" w:type="dxa"/>
            <w:vAlign w:val="center"/>
          </w:tcPr>
          <w:p w14:paraId="49788FC2" w14:textId="77777777" w:rsidR="00BF6117" w:rsidRDefault="00000000" w:rsidP="007E03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  <w:tc>
          <w:tcPr>
            <w:tcW w:w="6089" w:type="dxa"/>
            <w:vAlign w:val="center"/>
          </w:tcPr>
          <w:p w14:paraId="312FD9C6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macromolecule composed of amino acid chains that perform a wide range of biological functions, including enzymatic activity, signaling, and structural roles.</w:t>
            </w:r>
          </w:p>
        </w:tc>
      </w:tr>
      <w:tr w:rsidR="00BF6117" w14:paraId="4B64F585" w14:textId="77777777" w:rsidTr="007E03F2">
        <w:trPr>
          <w:cantSplit/>
          <w:trHeight w:val="1588"/>
        </w:trPr>
        <w:tc>
          <w:tcPr>
            <w:tcW w:w="2268" w:type="dxa"/>
            <w:vAlign w:val="center"/>
          </w:tcPr>
          <w:p w14:paraId="1E5E1491" w14:textId="77777777" w:rsidR="00BF6117" w:rsidRDefault="00000000" w:rsidP="007E03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RNA</w:t>
            </w:r>
          </w:p>
        </w:tc>
        <w:tc>
          <w:tcPr>
            <w:tcW w:w="6089" w:type="dxa"/>
            <w:vAlign w:val="center"/>
          </w:tcPr>
          <w:p w14:paraId="1A47B12E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nucleic acid involved in various biological roles, excluding microRNAs, such as lncRNA (long non-coding RNA),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circRNA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(circular RNA), or mRNA.</w:t>
            </w:r>
          </w:p>
        </w:tc>
      </w:tr>
      <w:tr w:rsidR="00BF6117" w14:paraId="17BF81D2" w14:textId="77777777" w:rsidTr="007E03F2">
        <w:trPr>
          <w:cantSplit/>
          <w:trHeight w:val="1588"/>
        </w:trPr>
        <w:tc>
          <w:tcPr>
            <w:tcW w:w="2268" w:type="dxa"/>
            <w:vAlign w:val="center"/>
          </w:tcPr>
          <w:p w14:paraId="7B2BD7EA" w14:textId="77777777" w:rsidR="00BF6117" w:rsidRDefault="00000000" w:rsidP="007E03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Biological Process</w:t>
            </w:r>
          </w:p>
        </w:tc>
        <w:tc>
          <w:tcPr>
            <w:tcW w:w="6089" w:type="dxa"/>
            <w:vAlign w:val="center"/>
          </w:tcPr>
          <w:p w14:paraId="5C071BB9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series of events or molecular functions with a defined beginning and end, contributing to a broader biological objective (e.g., apoptosis, proliferation).</w:t>
            </w:r>
          </w:p>
        </w:tc>
      </w:tr>
      <w:tr w:rsidR="00BF6117" w14:paraId="27CC5BCF" w14:textId="77777777" w:rsidTr="007E03F2">
        <w:trPr>
          <w:cantSplit/>
          <w:trHeight w:val="1588"/>
        </w:trPr>
        <w:tc>
          <w:tcPr>
            <w:tcW w:w="2268" w:type="dxa"/>
            <w:vAlign w:val="center"/>
          </w:tcPr>
          <w:p w14:paraId="28E40133" w14:textId="77777777" w:rsidR="00BF6117" w:rsidRDefault="00000000" w:rsidP="007E03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Therapy</w:t>
            </w:r>
          </w:p>
        </w:tc>
        <w:tc>
          <w:tcPr>
            <w:tcW w:w="6089" w:type="dxa"/>
            <w:vAlign w:val="center"/>
          </w:tcPr>
          <w:p w14:paraId="4E0EC5F0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medical intervention or treatment strategy designed to alleviate or cure disease, including drugs, gene therapies, or surgical procedures.</w:t>
            </w:r>
          </w:p>
        </w:tc>
      </w:tr>
      <w:tr w:rsidR="00BF6117" w14:paraId="57C79CE8" w14:textId="77777777" w:rsidTr="007E03F2">
        <w:trPr>
          <w:cantSplit/>
          <w:trHeight w:val="1588"/>
        </w:trPr>
        <w:tc>
          <w:tcPr>
            <w:tcW w:w="2268" w:type="dxa"/>
            <w:vAlign w:val="center"/>
          </w:tcPr>
          <w:p w14:paraId="65EAE2F2" w14:textId="77777777" w:rsidR="00BF6117" w:rsidRDefault="00000000" w:rsidP="007E03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Axis</w:t>
            </w:r>
          </w:p>
        </w:tc>
        <w:tc>
          <w:tcPr>
            <w:tcW w:w="6089" w:type="dxa"/>
            <w:vAlign w:val="center"/>
          </w:tcPr>
          <w:p w14:paraId="7F115A71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regulatory axis comprising multiple interacting biological components (e.g., miRNA–gene–pathway) that collectively influence a specific biological effect.</w:t>
            </w:r>
          </w:p>
        </w:tc>
      </w:tr>
    </w:tbl>
    <w:p w14:paraId="1FDB53DD" w14:textId="77777777" w:rsidR="00BF6117" w:rsidRDefault="00BF6117" w:rsidP="007E03F2">
      <w:pPr>
        <w:spacing w:line="480" w:lineRule="auto"/>
        <w:rPr>
          <w:rFonts w:ascii="Times New Roman" w:eastAsia="微软雅黑" w:hAnsi="Times New Roman" w:cs="Times New Roman"/>
          <w:b/>
          <w:bCs/>
          <w:sz w:val="24"/>
        </w:rPr>
      </w:pPr>
    </w:p>
    <w:p w14:paraId="3C2D081F" w14:textId="77777777" w:rsidR="00BF6117" w:rsidRDefault="00000000">
      <w:pPr>
        <w:spacing w:line="360" w:lineRule="auto"/>
        <w:rPr>
          <w:rFonts w:ascii="Times New Roman" w:eastAsia="微软雅黑" w:hAnsi="Times New Roman" w:cs="Times New Roman"/>
          <w:b/>
          <w:bCs/>
          <w:sz w:val="24"/>
        </w:rPr>
      </w:pPr>
      <w:r>
        <w:rPr>
          <w:rFonts w:ascii="Times New Roman" w:eastAsia="微软雅黑" w:hAnsi="Times New Roman" w:cs="Times New Roman"/>
          <w:b/>
          <w:bCs/>
          <w:sz w:val="24"/>
        </w:rPr>
        <w:t xml:space="preserve">Table </w:t>
      </w:r>
      <w:r>
        <w:rPr>
          <w:rFonts w:ascii="Times New Roman" w:eastAsia="微软雅黑" w:hAnsi="Times New Roman" w:cs="Times New Roman" w:hint="eastAsia"/>
          <w:b/>
          <w:bCs/>
          <w:sz w:val="24"/>
        </w:rPr>
        <w:t>S</w:t>
      </w:r>
      <w:r>
        <w:rPr>
          <w:rFonts w:ascii="Times New Roman" w:eastAsia="微软雅黑" w:hAnsi="Times New Roman" w:cs="Times New Roman"/>
          <w:b/>
          <w:bCs/>
          <w:sz w:val="24"/>
        </w:rPr>
        <w:t>2. Definitions of Relation Types</w:t>
      </w:r>
    </w:p>
    <w:tbl>
      <w:tblPr>
        <w:tblW w:w="8276" w:type="dxa"/>
        <w:tblBorders>
          <w:top w:val="single" w:sz="12" w:space="0" w:color="auto"/>
          <w:left w:val="none" w:sz="4" w:space="0" w:color="auto"/>
          <w:bottom w:val="single" w:sz="12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6001"/>
      </w:tblGrid>
      <w:tr w:rsidR="00BF6117" w14:paraId="763BA8F9" w14:textId="77777777" w:rsidTr="004E720F">
        <w:trPr>
          <w:cantSplit/>
          <w:trHeight w:val="567"/>
        </w:trPr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269D6800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9363433"/>
            <w:r>
              <w:rPr>
                <w:rFonts w:ascii="Times New Roman" w:hAnsi="Times New Roman" w:cs="Times New Roman"/>
                <w:sz w:val="24"/>
                <w:szCs w:val="24"/>
              </w:rPr>
              <w:t>Relation Type</w:t>
            </w:r>
          </w:p>
        </w:tc>
        <w:tc>
          <w:tcPr>
            <w:tcW w:w="5983" w:type="dxa"/>
            <w:tcBorders>
              <w:bottom w:val="single" w:sz="6" w:space="0" w:color="auto"/>
            </w:tcBorders>
            <w:vAlign w:val="center"/>
          </w:tcPr>
          <w:p w14:paraId="7FABA090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Definition</w:t>
            </w:r>
          </w:p>
        </w:tc>
      </w:tr>
      <w:tr w:rsidR="00BF6117" w14:paraId="358BECB7" w14:textId="77777777" w:rsidTr="007E03F2">
        <w:trPr>
          <w:cantSplit/>
          <w:trHeight w:val="1134"/>
        </w:trPr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69CE519D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Upregulate</w:t>
            </w:r>
          </w:p>
        </w:tc>
        <w:tc>
          <w:tcPr>
            <w:tcW w:w="5983" w:type="dxa"/>
            <w:tcBorders>
              <w:top w:val="single" w:sz="6" w:space="0" w:color="auto"/>
            </w:tcBorders>
            <w:vAlign w:val="center"/>
          </w:tcPr>
          <w:p w14:paraId="2B1DE94D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Indicates that the source entity increases the expression level or activity of the target entity.</w:t>
            </w:r>
          </w:p>
        </w:tc>
      </w:tr>
      <w:tr w:rsidR="00BF6117" w14:paraId="77726B9F" w14:textId="77777777" w:rsidTr="00971448">
        <w:trPr>
          <w:cantSplit/>
          <w:trHeight w:val="1021"/>
        </w:trPr>
        <w:tc>
          <w:tcPr>
            <w:tcW w:w="2268" w:type="dxa"/>
            <w:vAlign w:val="center"/>
          </w:tcPr>
          <w:p w14:paraId="5404F5BB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Downregulate</w:t>
            </w:r>
          </w:p>
        </w:tc>
        <w:tc>
          <w:tcPr>
            <w:tcW w:w="5983" w:type="dxa"/>
            <w:vAlign w:val="center"/>
          </w:tcPr>
          <w:p w14:paraId="5D53EB30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Indicates that the source entity decreases the expression level or activity of the target entity.</w:t>
            </w:r>
          </w:p>
        </w:tc>
      </w:tr>
      <w:tr w:rsidR="00BF6117" w14:paraId="36536AB6" w14:textId="77777777" w:rsidTr="00971448">
        <w:trPr>
          <w:cantSplit/>
          <w:trHeight w:val="1021"/>
        </w:trPr>
        <w:tc>
          <w:tcPr>
            <w:tcW w:w="2268" w:type="dxa"/>
            <w:vAlign w:val="center"/>
          </w:tcPr>
          <w:p w14:paraId="7B97B522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</w:t>
            </w:r>
          </w:p>
        </w:tc>
        <w:tc>
          <w:tcPr>
            <w:tcW w:w="5983" w:type="dxa"/>
            <w:vAlign w:val="center"/>
          </w:tcPr>
          <w:p w14:paraId="060CDBA8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Denotes a general connection or co-occurrence between two entities without specifying direction or causality.</w:t>
            </w:r>
          </w:p>
        </w:tc>
      </w:tr>
      <w:tr w:rsidR="00BF6117" w14:paraId="41FDEC2A" w14:textId="77777777" w:rsidTr="00971448">
        <w:trPr>
          <w:cantSplit/>
          <w:trHeight w:val="1474"/>
        </w:trPr>
        <w:tc>
          <w:tcPr>
            <w:tcW w:w="2268" w:type="dxa"/>
            <w:vAlign w:val="center"/>
          </w:tcPr>
          <w:p w14:paraId="3931A82D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Biomarker</w:t>
            </w:r>
          </w:p>
        </w:tc>
        <w:tc>
          <w:tcPr>
            <w:tcW w:w="5983" w:type="dxa"/>
            <w:vAlign w:val="center"/>
          </w:tcPr>
          <w:p w14:paraId="410D9AF1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Indicates that the source entity serves as a measurable indicator (biomarker) for the presence, progression, or treatment response of a disease.</w:t>
            </w:r>
          </w:p>
        </w:tc>
      </w:tr>
      <w:tr w:rsidR="00BF6117" w14:paraId="05EC820F" w14:textId="77777777" w:rsidTr="00971448">
        <w:trPr>
          <w:cantSplit/>
          <w:trHeight w:val="1021"/>
        </w:trPr>
        <w:tc>
          <w:tcPr>
            <w:tcW w:w="2268" w:type="dxa"/>
            <w:vAlign w:val="center"/>
          </w:tcPr>
          <w:p w14:paraId="4559CE37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Dysregulate</w:t>
            </w:r>
          </w:p>
        </w:tc>
        <w:tc>
          <w:tcPr>
            <w:tcW w:w="5983" w:type="dxa"/>
            <w:vAlign w:val="center"/>
          </w:tcPr>
          <w:p w14:paraId="2148EE59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Refers to abnormal or disrupted regulation of the target entity by the source entity.</w:t>
            </w:r>
          </w:p>
        </w:tc>
      </w:tr>
      <w:tr w:rsidR="00BF6117" w14:paraId="2633D8BA" w14:textId="77777777" w:rsidTr="00971448">
        <w:trPr>
          <w:cantSplit/>
          <w:trHeight w:val="1474"/>
        </w:trPr>
        <w:tc>
          <w:tcPr>
            <w:tcW w:w="2268" w:type="dxa"/>
            <w:vAlign w:val="center"/>
          </w:tcPr>
          <w:p w14:paraId="5D4635FD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Negatively correlate</w:t>
            </w:r>
          </w:p>
        </w:tc>
        <w:tc>
          <w:tcPr>
            <w:tcW w:w="5983" w:type="dxa"/>
            <w:vAlign w:val="center"/>
          </w:tcPr>
          <w:p w14:paraId="6992221E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Indicates that an increase in the source entity is associated with a decrease in the target entity, or vice versa, without implying causation.</w:t>
            </w:r>
          </w:p>
        </w:tc>
      </w:tr>
      <w:tr w:rsidR="00BF6117" w14:paraId="2EBD3818" w14:textId="77777777" w:rsidTr="00971448">
        <w:trPr>
          <w:cantSplit/>
          <w:trHeight w:val="1474"/>
        </w:trPr>
        <w:tc>
          <w:tcPr>
            <w:tcW w:w="2268" w:type="dxa"/>
            <w:vAlign w:val="center"/>
          </w:tcPr>
          <w:p w14:paraId="2E0E2CC4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Negatively regulate</w:t>
            </w:r>
          </w:p>
        </w:tc>
        <w:tc>
          <w:tcPr>
            <w:tcW w:w="5983" w:type="dxa"/>
            <w:vAlign w:val="center"/>
          </w:tcPr>
          <w:p w14:paraId="70D822D5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Indicates that the source entity reduces, suppresses, or inhibits the biological activity, expression, or function of the target entity through a regulatory mechanism.</w:t>
            </w:r>
          </w:p>
        </w:tc>
      </w:tr>
      <w:tr w:rsidR="00BF6117" w14:paraId="10A904E8" w14:textId="77777777" w:rsidTr="00971448">
        <w:trPr>
          <w:cantSplit/>
          <w:trHeight w:val="1474"/>
        </w:trPr>
        <w:tc>
          <w:tcPr>
            <w:tcW w:w="2268" w:type="dxa"/>
            <w:vAlign w:val="center"/>
          </w:tcPr>
          <w:p w14:paraId="2C1DCE28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Positively correlate</w:t>
            </w:r>
          </w:p>
        </w:tc>
        <w:tc>
          <w:tcPr>
            <w:tcW w:w="5983" w:type="dxa"/>
            <w:vAlign w:val="center"/>
          </w:tcPr>
          <w:p w14:paraId="0E7A9B6B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Indicates that an increase in the source entity is associated with an increase in the target entity, or both decrease together.</w:t>
            </w:r>
          </w:p>
        </w:tc>
      </w:tr>
      <w:tr w:rsidR="00BF6117" w14:paraId="25100AE7" w14:textId="77777777" w:rsidTr="007E03F2">
        <w:trPr>
          <w:cantSplit/>
          <w:trHeight w:val="1588"/>
        </w:trPr>
        <w:tc>
          <w:tcPr>
            <w:tcW w:w="2268" w:type="dxa"/>
            <w:vAlign w:val="center"/>
          </w:tcPr>
          <w:p w14:paraId="3F2DF220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Promote</w:t>
            </w:r>
          </w:p>
        </w:tc>
        <w:tc>
          <w:tcPr>
            <w:tcW w:w="5983" w:type="dxa"/>
            <w:vAlign w:val="center"/>
          </w:tcPr>
          <w:p w14:paraId="60AE9827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Indicates that the source entity enhances, activates, or facilitates the expression, activity, or biological function of the target entity.</w:t>
            </w:r>
          </w:p>
        </w:tc>
      </w:tr>
      <w:tr w:rsidR="00BF6117" w14:paraId="1DD1E6A8" w14:textId="77777777" w:rsidTr="007E03F2">
        <w:trPr>
          <w:cantSplit/>
          <w:trHeight w:val="1588"/>
        </w:trPr>
        <w:tc>
          <w:tcPr>
            <w:tcW w:w="2268" w:type="dxa"/>
            <w:vAlign w:val="center"/>
          </w:tcPr>
          <w:p w14:paraId="737F079F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Regulate</w:t>
            </w:r>
          </w:p>
        </w:tc>
        <w:tc>
          <w:tcPr>
            <w:tcW w:w="5983" w:type="dxa"/>
            <w:vAlign w:val="center"/>
          </w:tcPr>
          <w:p w14:paraId="6B545871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general term indicating that the source entity influences the activity or expression of the target entity (direction unspecified).</w:t>
            </w:r>
          </w:p>
        </w:tc>
      </w:tr>
      <w:tr w:rsidR="00BF6117" w14:paraId="62687023" w14:textId="77777777" w:rsidTr="007E03F2">
        <w:trPr>
          <w:cantSplit/>
          <w:trHeight w:val="1588"/>
        </w:trPr>
        <w:tc>
          <w:tcPr>
            <w:tcW w:w="2268" w:type="dxa"/>
            <w:vAlign w:val="center"/>
          </w:tcPr>
          <w:p w14:paraId="188A7B66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Sponging</w:t>
            </w:r>
          </w:p>
        </w:tc>
        <w:tc>
          <w:tcPr>
            <w:tcW w:w="5983" w:type="dxa"/>
            <w:vAlign w:val="center"/>
          </w:tcPr>
          <w:p w14:paraId="13ACACA8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Describes a mechanism in which the source entity (typically a non-coding RNA) binds to and inhibits a miRNA, preventing it from acting on targets.</w:t>
            </w:r>
          </w:p>
        </w:tc>
      </w:tr>
      <w:tr w:rsidR="00BF6117" w14:paraId="01BCAF45" w14:textId="77777777" w:rsidTr="007E03F2">
        <w:trPr>
          <w:cantSplit/>
          <w:trHeight w:val="1588"/>
        </w:trPr>
        <w:tc>
          <w:tcPr>
            <w:tcW w:w="2268" w:type="dxa"/>
            <w:vAlign w:val="center"/>
          </w:tcPr>
          <w:p w14:paraId="5BA2D703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</w:t>
            </w:r>
          </w:p>
        </w:tc>
        <w:tc>
          <w:tcPr>
            <w:tcW w:w="5983" w:type="dxa"/>
            <w:vAlign w:val="center"/>
          </w:tcPr>
          <w:p w14:paraId="111F884D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Indicates that the source miRNA directly binds to the target gene or RNA, typically at the 3'-UTR, to regulate its expression.</w:t>
            </w:r>
          </w:p>
        </w:tc>
      </w:tr>
      <w:tr w:rsidR="00BF6117" w14:paraId="31F4706A" w14:textId="77777777" w:rsidTr="007E03F2">
        <w:trPr>
          <w:cantSplit/>
          <w:trHeight w:val="1588"/>
        </w:trPr>
        <w:tc>
          <w:tcPr>
            <w:tcW w:w="2268" w:type="dxa"/>
            <w:vAlign w:val="center"/>
          </w:tcPr>
          <w:p w14:paraId="3E9C8D82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5983" w:type="dxa"/>
            <w:vAlign w:val="center"/>
          </w:tcPr>
          <w:p w14:paraId="16ED8AD9" w14:textId="77777777" w:rsidR="00BF6117" w:rsidRDefault="000000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Indicates that the source miRNA directly binds to the target gene or RNA, typically at the 3'-UTR, to regulate its expression.</w:t>
            </w:r>
          </w:p>
        </w:tc>
      </w:tr>
      <w:bookmarkEnd w:id="0"/>
    </w:tbl>
    <w:p w14:paraId="09895439" w14:textId="77777777" w:rsidR="00BF6117" w:rsidRDefault="00BF6117">
      <w:pPr>
        <w:spacing w:line="360" w:lineRule="auto"/>
        <w:rPr>
          <w:rFonts w:ascii="Times New Roman" w:eastAsia="微软雅黑" w:hAnsi="Times New Roman" w:cs="Times New Roman"/>
          <w:sz w:val="24"/>
        </w:rPr>
      </w:pPr>
    </w:p>
    <w:p w14:paraId="33347F44" w14:textId="77777777" w:rsidR="00BF6117" w:rsidRDefault="00BF6117">
      <w:pPr>
        <w:rPr>
          <w:rFonts w:hint="eastAsia"/>
        </w:rPr>
      </w:pPr>
    </w:p>
    <w:sectPr w:rsidR="00BF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70"/>
    <w:rsid w:val="004E720F"/>
    <w:rsid w:val="0055423D"/>
    <w:rsid w:val="007D1D4C"/>
    <w:rsid w:val="007E03F2"/>
    <w:rsid w:val="00971448"/>
    <w:rsid w:val="009D258C"/>
    <w:rsid w:val="00BF6117"/>
    <w:rsid w:val="00CD6558"/>
    <w:rsid w:val="00EA160E"/>
    <w:rsid w:val="00ED0970"/>
    <w:rsid w:val="1FEF0BC6"/>
    <w:rsid w:val="20F879A7"/>
    <w:rsid w:val="3FBD3436"/>
    <w:rsid w:val="6DBD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C64FA3-06A1-4D34-B798-0D5E155A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503</Words>
  <Characters>3035</Characters>
  <Application>Microsoft Office Word</Application>
  <DocSecurity>0</DocSecurity>
  <Lines>97</Lines>
  <Paragraphs>60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莉军 王</dc:creator>
  <cp:lastModifiedBy>志强 焦</cp:lastModifiedBy>
  <cp:revision>7</cp:revision>
  <dcterms:created xsi:type="dcterms:W3CDTF">2025-08-08T03:17:00Z</dcterms:created>
  <dcterms:modified xsi:type="dcterms:W3CDTF">2025-08-08T03:20:00Z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EBC9DB79984742D2B78111844571566B_13</vt:lpwstr>
  </property>
  <property fmtid="{D5CDD505-2E9C-101B-9397-08002B2CF9AE}" pid="4" name="KSOTemplateDocerSaveRecord">
    <vt:lpwstr>eyJoZGlkIjoiMzIyZTM3ZTA1MDVjZDU3NTYzZTExZTdmMTMwYWY1ODQifQ==</vt:lpwstr>
  </property>
</Properties>
</file>