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B3D94" w14:textId="77777777" w:rsidR="00402BC8" w:rsidRPr="00080345" w:rsidRDefault="00402BC8" w:rsidP="00402BC8">
      <w:pPr>
        <w:rPr>
          <w:rFonts w:ascii="Times New Roman" w:hAnsi="Times New Roman" w:cs="Times New Roman"/>
          <w:b/>
          <w:bCs/>
        </w:rPr>
      </w:pPr>
      <w:r w:rsidRPr="00080345">
        <w:rPr>
          <w:rFonts w:ascii="Times New Roman" w:hAnsi="Times New Roman" w:cs="Times New Roman"/>
          <w:b/>
          <w:bCs/>
        </w:rPr>
        <w:t xml:space="preserve">Appendix </w:t>
      </w:r>
    </w:p>
    <w:p w14:paraId="0646552C" w14:textId="77777777" w:rsidR="00402BC8" w:rsidRPr="00080345" w:rsidRDefault="00402BC8" w:rsidP="00402BC8">
      <w:pPr>
        <w:jc w:val="both"/>
        <w:rPr>
          <w:rFonts w:ascii="Times New Roman" w:hAnsi="Times New Roman" w:cs="Times New Roman"/>
        </w:rPr>
      </w:pPr>
      <w:r w:rsidRPr="00080345">
        <w:rPr>
          <w:rFonts w:ascii="Times New Roman" w:hAnsi="Times New Roman" w:cs="Times New Roman"/>
          <w:b/>
          <w:bCs/>
        </w:rPr>
        <w:t xml:space="preserve">Table A1: </w:t>
      </w:r>
      <w:r w:rsidRPr="00080345">
        <w:rPr>
          <w:rFonts w:ascii="Times New Roman" w:hAnsi="Times New Roman" w:cs="Times New Roman"/>
        </w:rPr>
        <w:t>Node-level budget allocation comparison ($)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732"/>
        <w:gridCol w:w="992"/>
        <w:gridCol w:w="567"/>
        <w:gridCol w:w="2217"/>
      </w:tblGrid>
      <w:tr w:rsidR="00402BC8" w:rsidRPr="00080345" w14:paraId="6C86A607" w14:textId="77777777" w:rsidTr="00FE347D">
        <w:trPr>
          <w:cantSplit/>
          <w:trHeight w:val="1373"/>
        </w:trPr>
        <w:tc>
          <w:tcPr>
            <w:tcW w:w="1127" w:type="dxa"/>
            <w:textDirection w:val="btLr"/>
            <w:vAlign w:val="center"/>
          </w:tcPr>
          <w:p w14:paraId="533E3CF2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  <w:b/>
                <w:bCs/>
              </w:rPr>
              <w:t>Node ID</w:t>
            </w:r>
          </w:p>
        </w:tc>
        <w:tc>
          <w:tcPr>
            <w:tcW w:w="1127" w:type="dxa"/>
            <w:textDirection w:val="btLr"/>
            <w:vAlign w:val="center"/>
          </w:tcPr>
          <w:p w14:paraId="15B4E017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1127" w:type="dxa"/>
            <w:textDirection w:val="btLr"/>
            <w:vAlign w:val="center"/>
          </w:tcPr>
          <w:p w14:paraId="57059378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  <w:b/>
                <w:bCs/>
              </w:rPr>
              <w:t>Initial Budget</w:t>
            </w:r>
          </w:p>
        </w:tc>
        <w:tc>
          <w:tcPr>
            <w:tcW w:w="1127" w:type="dxa"/>
            <w:textDirection w:val="btLr"/>
            <w:vAlign w:val="center"/>
          </w:tcPr>
          <w:p w14:paraId="0BF73684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  <w:b/>
                <w:bCs/>
              </w:rPr>
              <w:t>GA Optimized</w:t>
            </w:r>
          </w:p>
        </w:tc>
        <w:tc>
          <w:tcPr>
            <w:tcW w:w="732" w:type="dxa"/>
            <w:textDirection w:val="btLr"/>
            <w:vAlign w:val="center"/>
          </w:tcPr>
          <w:p w14:paraId="25F32A37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  <w:b/>
                <w:bCs/>
              </w:rPr>
              <w:t>GA Δ%</w:t>
            </w:r>
          </w:p>
        </w:tc>
        <w:tc>
          <w:tcPr>
            <w:tcW w:w="992" w:type="dxa"/>
            <w:textDirection w:val="btLr"/>
            <w:vAlign w:val="center"/>
          </w:tcPr>
          <w:p w14:paraId="7CA745A9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  <w:b/>
                <w:bCs/>
              </w:rPr>
              <w:t>TRC Optimized</w:t>
            </w:r>
          </w:p>
        </w:tc>
        <w:tc>
          <w:tcPr>
            <w:tcW w:w="567" w:type="dxa"/>
            <w:textDirection w:val="btLr"/>
            <w:vAlign w:val="center"/>
          </w:tcPr>
          <w:p w14:paraId="382861C0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  <w:b/>
                <w:bCs/>
              </w:rPr>
              <w:t>TRC Δ%</w:t>
            </w:r>
          </w:p>
        </w:tc>
        <w:tc>
          <w:tcPr>
            <w:tcW w:w="2217" w:type="dxa"/>
            <w:textDirection w:val="btLr"/>
            <w:vAlign w:val="center"/>
          </w:tcPr>
          <w:p w14:paraId="003AD83F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  <w:b/>
                <w:bCs/>
              </w:rPr>
              <w:t>Budget Strategy Difference</w:t>
            </w:r>
          </w:p>
        </w:tc>
      </w:tr>
      <w:tr w:rsidR="00402BC8" w:rsidRPr="00080345" w14:paraId="04CED364" w14:textId="77777777" w:rsidTr="00FE347D">
        <w:trPr>
          <w:cantSplit/>
          <w:trHeight w:val="1266"/>
        </w:trPr>
        <w:tc>
          <w:tcPr>
            <w:tcW w:w="1127" w:type="dxa"/>
            <w:textDirection w:val="btLr"/>
            <w:vAlign w:val="center"/>
          </w:tcPr>
          <w:p w14:paraId="049C3CC8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Bank_A</w:t>
            </w:r>
          </w:p>
        </w:tc>
        <w:tc>
          <w:tcPr>
            <w:tcW w:w="1127" w:type="dxa"/>
            <w:textDirection w:val="btLr"/>
            <w:vAlign w:val="center"/>
          </w:tcPr>
          <w:p w14:paraId="78D4653F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27" w:type="dxa"/>
            <w:textDirection w:val="btLr"/>
            <w:vAlign w:val="center"/>
          </w:tcPr>
          <w:p w14:paraId="073D229E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2,550,000</w:t>
            </w:r>
          </w:p>
        </w:tc>
        <w:tc>
          <w:tcPr>
            <w:tcW w:w="1127" w:type="dxa"/>
            <w:textDirection w:val="btLr"/>
            <w:vAlign w:val="center"/>
          </w:tcPr>
          <w:p w14:paraId="4F65BD45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3,618,004</w:t>
            </w:r>
          </w:p>
        </w:tc>
        <w:tc>
          <w:tcPr>
            <w:tcW w:w="732" w:type="dxa"/>
            <w:textDirection w:val="btLr"/>
            <w:vAlign w:val="center"/>
          </w:tcPr>
          <w:p w14:paraId="0D1AF0E9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+41.88%</w:t>
            </w:r>
          </w:p>
        </w:tc>
        <w:tc>
          <w:tcPr>
            <w:tcW w:w="992" w:type="dxa"/>
            <w:textDirection w:val="btLr"/>
            <w:vAlign w:val="center"/>
          </w:tcPr>
          <w:p w14:paraId="5D98E340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2,550,000</w:t>
            </w:r>
          </w:p>
        </w:tc>
        <w:tc>
          <w:tcPr>
            <w:tcW w:w="567" w:type="dxa"/>
            <w:textDirection w:val="btLr"/>
            <w:vAlign w:val="center"/>
          </w:tcPr>
          <w:p w14:paraId="4D52E877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217" w:type="dxa"/>
            <w:textDirection w:val="btLr"/>
            <w:vAlign w:val="center"/>
          </w:tcPr>
          <w:p w14:paraId="00ACEB63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GA: Significant increase for critical assets</w:t>
            </w:r>
          </w:p>
        </w:tc>
      </w:tr>
      <w:tr w:rsidR="00402BC8" w:rsidRPr="00080345" w14:paraId="7E808BF5" w14:textId="77777777" w:rsidTr="00FE347D">
        <w:trPr>
          <w:cantSplit/>
          <w:trHeight w:val="1412"/>
        </w:trPr>
        <w:tc>
          <w:tcPr>
            <w:tcW w:w="1127" w:type="dxa"/>
            <w:textDirection w:val="btLr"/>
            <w:vAlign w:val="center"/>
          </w:tcPr>
          <w:p w14:paraId="0D904D11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Fintech_B</w:t>
            </w:r>
          </w:p>
        </w:tc>
        <w:tc>
          <w:tcPr>
            <w:tcW w:w="1127" w:type="dxa"/>
            <w:textDirection w:val="btLr"/>
            <w:vAlign w:val="center"/>
          </w:tcPr>
          <w:p w14:paraId="73E94AD0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Fintech</w:t>
            </w:r>
          </w:p>
        </w:tc>
        <w:tc>
          <w:tcPr>
            <w:tcW w:w="1127" w:type="dxa"/>
            <w:textDirection w:val="btLr"/>
            <w:vAlign w:val="center"/>
          </w:tcPr>
          <w:p w14:paraId="57E812FD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800,000</w:t>
            </w:r>
          </w:p>
        </w:tc>
        <w:tc>
          <w:tcPr>
            <w:tcW w:w="1127" w:type="dxa"/>
            <w:textDirection w:val="btLr"/>
            <w:vAlign w:val="center"/>
          </w:tcPr>
          <w:p w14:paraId="7D2D68DF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1,912,778</w:t>
            </w:r>
          </w:p>
        </w:tc>
        <w:tc>
          <w:tcPr>
            <w:tcW w:w="732" w:type="dxa"/>
            <w:textDirection w:val="btLr"/>
            <w:vAlign w:val="center"/>
          </w:tcPr>
          <w:p w14:paraId="521D219B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+139.10%</w:t>
            </w:r>
          </w:p>
        </w:tc>
        <w:tc>
          <w:tcPr>
            <w:tcW w:w="992" w:type="dxa"/>
            <w:textDirection w:val="btLr"/>
            <w:vAlign w:val="center"/>
          </w:tcPr>
          <w:p w14:paraId="429F150B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800,001</w:t>
            </w:r>
          </w:p>
        </w:tc>
        <w:tc>
          <w:tcPr>
            <w:tcW w:w="567" w:type="dxa"/>
            <w:textDirection w:val="btLr"/>
            <w:vAlign w:val="center"/>
          </w:tcPr>
          <w:p w14:paraId="6BF729C0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217" w:type="dxa"/>
            <w:textDirection w:val="btLr"/>
            <w:vAlign w:val="center"/>
          </w:tcPr>
          <w:p w14:paraId="04099407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GA: Major boost for high-risk fintechs</w:t>
            </w:r>
          </w:p>
        </w:tc>
      </w:tr>
      <w:tr w:rsidR="00402BC8" w:rsidRPr="00080345" w14:paraId="67412D40" w14:textId="77777777" w:rsidTr="00FE347D">
        <w:trPr>
          <w:cantSplit/>
          <w:trHeight w:val="1134"/>
        </w:trPr>
        <w:tc>
          <w:tcPr>
            <w:tcW w:w="1127" w:type="dxa"/>
            <w:textDirection w:val="btLr"/>
            <w:vAlign w:val="center"/>
          </w:tcPr>
          <w:p w14:paraId="248637C8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Vendor_C</w:t>
            </w:r>
          </w:p>
        </w:tc>
        <w:tc>
          <w:tcPr>
            <w:tcW w:w="1127" w:type="dxa"/>
            <w:textDirection w:val="btLr"/>
            <w:vAlign w:val="center"/>
          </w:tcPr>
          <w:p w14:paraId="4C16BE36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Vendor</w:t>
            </w:r>
          </w:p>
        </w:tc>
        <w:tc>
          <w:tcPr>
            <w:tcW w:w="1127" w:type="dxa"/>
            <w:textDirection w:val="btLr"/>
            <w:vAlign w:val="center"/>
          </w:tcPr>
          <w:p w14:paraId="1F8BED31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127" w:type="dxa"/>
            <w:textDirection w:val="btLr"/>
            <w:vAlign w:val="center"/>
          </w:tcPr>
          <w:p w14:paraId="561746E4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511,561</w:t>
            </w:r>
          </w:p>
        </w:tc>
        <w:tc>
          <w:tcPr>
            <w:tcW w:w="732" w:type="dxa"/>
            <w:textDirection w:val="btLr"/>
            <w:vAlign w:val="center"/>
          </w:tcPr>
          <w:p w14:paraId="56078DB7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+155.78%</w:t>
            </w:r>
          </w:p>
        </w:tc>
        <w:tc>
          <w:tcPr>
            <w:tcW w:w="992" w:type="dxa"/>
            <w:textDirection w:val="btLr"/>
            <w:vAlign w:val="center"/>
          </w:tcPr>
          <w:p w14:paraId="7AD48D1A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200,001</w:t>
            </w:r>
          </w:p>
        </w:tc>
        <w:tc>
          <w:tcPr>
            <w:tcW w:w="567" w:type="dxa"/>
            <w:textDirection w:val="btLr"/>
            <w:vAlign w:val="center"/>
          </w:tcPr>
          <w:p w14:paraId="473626AA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217" w:type="dxa"/>
            <w:textDirection w:val="btLr"/>
            <w:vAlign w:val="center"/>
          </w:tcPr>
          <w:p w14:paraId="03762A4B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GA: Prioritizes vulnerable vendors</w:t>
            </w:r>
          </w:p>
        </w:tc>
      </w:tr>
      <w:tr w:rsidR="00402BC8" w:rsidRPr="00080345" w14:paraId="7F17A24D" w14:textId="77777777" w:rsidTr="00FE347D">
        <w:trPr>
          <w:cantSplit/>
          <w:trHeight w:val="1249"/>
        </w:trPr>
        <w:tc>
          <w:tcPr>
            <w:tcW w:w="1127" w:type="dxa"/>
            <w:textDirection w:val="btLr"/>
            <w:vAlign w:val="center"/>
          </w:tcPr>
          <w:p w14:paraId="4A71DE52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Payment_Gateway_D</w:t>
            </w:r>
          </w:p>
        </w:tc>
        <w:tc>
          <w:tcPr>
            <w:tcW w:w="1127" w:type="dxa"/>
            <w:textDirection w:val="btLr"/>
            <w:vAlign w:val="center"/>
          </w:tcPr>
          <w:p w14:paraId="0D6AC31D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Payment Gateway</w:t>
            </w:r>
          </w:p>
        </w:tc>
        <w:tc>
          <w:tcPr>
            <w:tcW w:w="1127" w:type="dxa"/>
            <w:textDirection w:val="btLr"/>
            <w:vAlign w:val="center"/>
          </w:tcPr>
          <w:p w14:paraId="53CBE269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1,200,000</w:t>
            </w:r>
          </w:p>
        </w:tc>
        <w:tc>
          <w:tcPr>
            <w:tcW w:w="1127" w:type="dxa"/>
            <w:textDirection w:val="btLr"/>
            <w:vAlign w:val="center"/>
          </w:tcPr>
          <w:p w14:paraId="4FB9BCCC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4,132,627</w:t>
            </w:r>
          </w:p>
        </w:tc>
        <w:tc>
          <w:tcPr>
            <w:tcW w:w="732" w:type="dxa"/>
            <w:textDirection w:val="btLr"/>
            <w:vAlign w:val="center"/>
          </w:tcPr>
          <w:p w14:paraId="238CB21B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+244.39%</w:t>
            </w:r>
          </w:p>
        </w:tc>
        <w:tc>
          <w:tcPr>
            <w:tcW w:w="992" w:type="dxa"/>
            <w:textDirection w:val="btLr"/>
            <w:vAlign w:val="center"/>
          </w:tcPr>
          <w:p w14:paraId="67998109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1,200,000</w:t>
            </w:r>
          </w:p>
        </w:tc>
        <w:tc>
          <w:tcPr>
            <w:tcW w:w="567" w:type="dxa"/>
            <w:textDirection w:val="btLr"/>
            <w:vAlign w:val="center"/>
          </w:tcPr>
          <w:p w14:paraId="06F81E33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217" w:type="dxa"/>
            <w:textDirection w:val="btLr"/>
            <w:vAlign w:val="center"/>
          </w:tcPr>
          <w:p w14:paraId="77AB3B87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GA: Heavy investment in gateways</w:t>
            </w:r>
          </w:p>
        </w:tc>
      </w:tr>
      <w:tr w:rsidR="00402BC8" w:rsidRPr="00080345" w14:paraId="5B20C5D7" w14:textId="77777777" w:rsidTr="00FE347D">
        <w:trPr>
          <w:cantSplit/>
          <w:trHeight w:val="1267"/>
        </w:trPr>
        <w:tc>
          <w:tcPr>
            <w:tcW w:w="1127" w:type="dxa"/>
            <w:textDirection w:val="btLr"/>
            <w:vAlign w:val="center"/>
          </w:tcPr>
          <w:p w14:paraId="48BA5258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Data_Center_E</w:t>
            </w:r>
          </w:p>
        </w:tc>
        <w:tc>
          <w:tcPr>
            <w:tcW w:w="1127" w:type="dxa"/>
            <w:textDirection w:val="btLr"/>
            <w:vAlign w:val="center"/>
          </w:tcPr>
          <w:p w14:paraId="2EF5C2E0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Data Center</w:t>
            </w:r>
          </w:p>
        </w:tc>
        <w:tc>
          <w:tcPr>
            <w:tcW w:w="1127" w:type="dxa"/>
            <w:textDirection w:val="btLr"/>
            <w:vAlign w:val="center"/>
          </w:tcPr>
          <w:p w14:paraId="2541DB1A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3,000,000</w:t>
            </w:r>
          </w:p>
        </w:tc>
        <w:tc>
          <w:tcPr>
            <w:tcW w:w="1127" w:type="dxa"/>
            <w:textDirection w:val="btLr"/>
            <w:vAlign w:val="center"/>
          </w:tcPr>
          <w:p w14:paraId="6A7F321C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2,444,904</w:t>
            </w:r>
          </w:p>
        </w:tc>
        <w:tc>
          <w:tcPr>
            <w:tcW w:w="732" w:type="dxa"/>
            <w:textDirection w:val="btLr"/>
            <w:vAlign w:val="center"/>
          </w:tcPr>
          <w:p w14:paraId="2CB248D2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-18.50%</w:t>
            </w:r>
          </w:p>
        </w:tc>
        <w:tc>
          <w:tcPr>
            <w:tcW w:w="992" w:type="dxa"/>
            <w:textDirection w:val="btLr"/>
            <w:vAlign w:val="center"/>
          </w:tcPr>
          <w:p w14:paraId="4EA0624D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3,000,000</w:t>
            </w:r>
          </w:p>
        </w:tc>
        <w:tc>
          <w:tcPr>
            <w:tcW w:w="567" w:type="dxa"/>
            <w:textDirection w:val="btLr"/>
            <w:vAlign w:val="center"/>
          </w:tcPr>
          <w:p w14:paraId="79E7FEC8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217" w:type="dxa"/>
            <w:textDirection w:val="btLr"/>
            <w:vAlign w:val="center"/>
          </w:tcPr>
          <w:p w14:paraId="5426448D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GA: Reduces spend on secured DCs</w:t>
            </w:r>
          </w:p>
        </w:tc>
      </w:tr>
      <w:tr w:rsidR="00402BC8" w:rsidRPr="00080345" w14:paraId="1256802A" w14:textId="77777777" w:rsidTr="00FE347D">
        <w:trPr>
          <w:cantSplit/>
          <w:trHeight w:val="1271"/>
        </w:trPr>
        <w:tc>
          <w:tcPr>
            <w:tcW w:w="1127" w:type="dxa"/>
            <w:textDirection w:val="btLr"/>
            <w:vAlign w:val="center"/>
          </w:tcPr>
          <w:p w14:paraId="1352A32C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Bank_F</w:t>
            </w:r>
          </w:p>
        </w:tc>
        <w:tc>
          <w:tcPr>
            <w:tcW w:w="1127" w:type="dxa"/>
            <w:textDirection w:val="btLr"/>
            <w:vAlign w:val="center"/>
          </w:tcPr>
          <w:p w14:paraId="644A8F32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Bank</w:t>
            </w:r>
          </w:p>
        </w:tc>
        <w:tc>
          <w:tcPr>
            <w:tcW w:w="1127" w:type="dxa"/>
            <w:textDirection w:val="btLr"/>
            <w:vAlign w:val="center"/>
          </w:tcPr>
          <w:p w14:paraId="1B64648E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2,340,000</w:t>
            </w:r>
          </w:p>
        </w:tc>
        <w:tc>
          <w:tcPr>
            <w:tcW w:w="1127" w:type="dxa"/>
            <w:textDirection w:val="btLr"/>
            <w:vAlign w:val="center"/>
          </w:tcPr>
          <w:p w14:paraId="75726AEF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2,643,144</w:t>
            </w:r>
          </w:p>
        </w:tc>
        <w:tc>
          <w:tcPr>
            <w:tcW w:w="732" w:type="dxa"/>
            <w:textDirection w:val="btLr"/>
            <w:vAlign w:val="center"/>
          </w:tcPr>
          <w:p w14:paraId="417D3A60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+12.96%</w:t>
            </w:r>
          </w:p>
        </w:tc>
        <w:tc>
          <w:tcPr>
            <w:tcW w:w="992" w:type="dxa"/>
            <w:textDirection w:val="btLr"/>
            <w:vAlign w:val="center"/>
          </w:tcPr>
          <w:p w14:paraId="7C354FE9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2,340,000</w:t>
            </w:r>
          </w:p>
        </w:tc>
        <w:tc>
          <w:tcPr>
            <w:tcW w:w="567" w:type="dxa"/>
            <w:textDirection w:val="btLr"/>
            <w:vAlign w:val="center"/>
          </w:tcPr>
          <w:p w14:paraId="24479216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217" w:type="dxa"/>
            <w:textDirection w:val="btLr"/>
            <w:vAlign w:val="center"/>
          </w:tcPr>
          <w:p w14:paraId="68BC13F5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80345">
              <w:rPr>
                <w:rFonts w:ascii="Times New Roman" w:hAnsi="Times New Roman" w:cs="Times New Roman"/>
              </w:rPr>
              <w:t>GA: Moderate increase for banks</w:t>
            </w:r>
          </w:p>
        </w:tc>
      </w:tr>
      <w:tr w:rsidR="00402BC8" w:rsidRPr="00080345" w14:paraId="2617A1CA" w14:textId="77777777" w:rsidTr="00FE347D">
        <w:trPr>
          <w:cantSplit/>
          <w:trHeight w:val="1134"/>
        </w:trPr>
        <w:tc>
          <w:tcPr>
            <w:tcW w:w="1127" w:type="dxa"/>
            <w:textDirection w:val="btLr"/>
            <w:vAlign w:val="center"/>
          </w:tcPr>
          <w:p w14:paraId="1B7F7CCA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</w:rPr>
            </w:pPr>
            <w:r w:rsidRPr="00080345">
              <w:rPr>
                <w:rFonts w:ascii="Times New Roman" w:hAnsi="Times New Roman" w:cs="Times New Roman"/>
              </w:rPr>
              <w:t>Network-Level Trend</w:t>
            </w:r>
          </w:p>
        </w:tc>
        <w:tc>
          <w:tcPr>
            <w:tcW w:w="1127" w:type="dxa"/>
            <w:textDirection w:val="btLr"/>
            <w:vAlign w:val="center"/>
          </w:tcPr>
          <w:p w14:paraId="04E30756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extDirection w:val="btLr"/>
            <w:vAlign w:val="center"/>
          </w:tcPr>
          <w:p w14:paraId="149D1954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extDirection w:val="btLr"/>
            <w:vAlign w:val="center"/>
          </w:tcPr>
          <w:p w14:paraId="69E16FFF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extDirection w:val="btLr"/>
            <w:vAlign w:val="center"/>
          </w:tcPr>
          <w:p w14:paraId="08928A98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</w:rPr>
            </w:pPr>
            <w:r w:rsidRPr="00080345">
              <w:rPr>
                <w:rFonts w:ascii="Times New Roman" w:hAnsi="Times New Roman" w:cs="Times New Roman"/>
              </w:rPr>
              <w:t>+99.83%</w:t>
            </w:r>
          </w:p>
        </w:tc>
        <w:tc>
          <w:tcPr>
            <w:tcW w:w="992" w:type="dxa"/>
            <w:textDirection w:val="btLr"/>
            <w:vAlign w:val="center"/>
          </w:tcPr>
          <w:p w14:paraId="78DB8D7B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19CFA497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</w:rPr>
            </w:pPr>
            <w:r w:rsidRPr="00080345">
              <w:rPr>
                <w:rFonts w:ascii="Times New Roman" w:hAnsi="Times New Roman" w:cs="Times New Roman"/>
              </w:rPr>
              <w:t>+1.60%</w:t>
            </w:r>
          </w:p>
        </w:tc>
        <w:tc>
          <w:tcPr>
            <w:tcW w:w="2217" w:type="dxa"/>
            <w:textDirection w:val="btLr"/>
            <w:vAlign w:val="center"/>
          </w:tcPr>
          <w:p w14:paraId="4DEA06E7" w14:textId="77777777" w:rsidR="00402BC8" w:rsidRPr="00080345" w:rsidRDefault="00402BC8" w:rsidP="00FE347D">
            <w:pPr>
              <w:ind w:left="113" w:right="113"/>
              <w:rPr>
                <w:rFonts w:ascii="Times New Roman" w:hAnsi="Times New Roman" w:cs="Times New Roman"/>
              </w:rPr>
            </w:pPr>
            <w:r w:rsidRPr="00080345">
              <w:rPr>
                <w:rFonts w:ascii="Times New Roman" w:hAnsi="Times New Roman" w:cs="Times New Roman"/>
              </w:rPr>
              <w:t>GA adapts to risk, TRC maintains the status quo</w:t>
            </w:r>
          </w:p>
        </w:tc>
      </w:tr>
    </w:tbl>
    <w:p w14:paraId="5D50AA97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C8"/>
    <w:rsid w:val="00402BC8"/>
    <w:rsid w:val="00427F32"/>
    <w:rsid w:val="005C0D39"/>
    <w:rsid w:val="0070406C"/>
    <w:rsid w:val="00724754"/>
    <w:rsid w:val="00C321FA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F49F8"/>
  <w15:chartTrackingRefBased/>
  <w15:docId w15:val="{B3E7262A-ED1D-4FE5-9900-FE41B396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BC8"/>
  </w:style>
  <w:style w:type="paragraph" w:styleId="Heading1">
    <w:name w:val="heading 1"/>
    <w:basedOn w:val="Normal"/>
    <w:next w:val="Normal"/>
    <w:link w:val="Heading1Char"/>
    <w:uiPriority w:val="9"/>
    <w:qFormat/>
    <w:rsid w:val="0040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B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2025-08-20T07:29:00Z</dcterms:created>
  <dcterms:modified xsi:type="dcterms:W3CDTF">2025-08-20T07:29:00Z</dcterms:modified>
</cp:coreProperties>
</file>