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781019" w14:textId="2D2DA971" w:rsidR="00B9102B" w:rsidRPr="004D1818" w:rsidRDefault="00B9102B" w:rsidP="00D31873">
      <w:pPr>
        <w:pStyle w:val="1"/>
        <w:rPr>
          <w:rFonts w:eastAsiaTheme="minorEastAsia"/>
          <w:sz w:val="28"/>
          <w:szCs w:val="28"/>
        </w:rPr>
      </w:pPr>
      <w:bookmarkStart w:id="0" w:name="OLE_LINK1"/>
      <w:r w:rsidRPr="004D1818">
        <w:rPr>
          <w:rFonts w:eastAsiaTheme="minorEastAsia"/>
          <w:b w:val="0"/>
          <w:bCs w:val="0"/>
          <w:sz w:val="28"/>
          <w:szCs w:val="28"/>
        </w:rPr>
        <w:t xml:space="preserve">Supplementary </w:t>
      </w:r>
      <w:r w:rsidR="00D31873" w:rsidRPr="004D1818">
        <w:rPr>
          <w:rFonts w:eastAsiaTheme="minorEastAsia"/>
          <w:b w:val="0"/>
          <w:bCs w:val="0"/>
          <w:sz w:val="28"/>
          <w:szCs w:val="28"/>
        </w:rPr>
        <w:t>Materials for</w:t>
      </w:r>
      <w:r w:rsidR="00D31873" w:rsidRPr="004D1818">
        <w:rPr>
          <w:rFonts w:eastAsiaTheme="minorEastAsia"/>
          <w:b w:val="0"/>
          <w:bCs w:val="0"/>
        </w:rPr>
        <w:t xml:space="preserve"> </w:t>
      </w:r>
      <w:r w:rsidR="00DE2309" w:rsidRPr="00DE2309">
        <w:rPr>
          <w:rFonts w:eastAsiaTheme="minorEastAsia"/>
          <w:sz w:val="28"/>
          <w:szCs w:val="28"/>
        </w:rPr>
        <w:t>Exploratory analysis of HLA variants and occult HBV infection: a multicenter case-control study in Chinese blood donors</w:t>
      </w:r>
    </w:p>
    <w:p w14:paraId="2F504C38" w14:textId="6C13D1D4" w:rsidR="00D31873" w:rsidRPr="004D1818" w:rsidRDefault="00D31873" w:rsidP="00D31873">
      <w:pPr>
        <w:pStyle w:val="my"/>
        <w:spacing w:before="156"/>
        <w:jc w:val="center"/>
        <w:rPr>
          <w:rFonts w:eastAsiaTheme="minorEastAsia"/>
          <w:i/>
          <w:iCs/>
          <w:sz w:val="24"/>
          <w:szCs w:val="24"/>
        </w:rPr>
      </w:pPr>
      <w:r w:rsidRPr="004D1818">
        <w:rPr>
          <w:sz w:val="24"/>
          <w:szCs w:val="24"/>
        </w:rPr>
        <w:t xml:space="preserve">Lin Zhou </w:t>
      </w:r>
      <w:r w:rsidRPr="004D1818">
        <w:rPr>
          <w:i/>
          <w:iCs/>
          <w:sz w:val="24"/>
          <w:szCs w:val="24"/>
        </w:rPr>
        <w:t>et al.</w:t>
      </w:r>
    </w:p>
    <w:p w14:paraId="2C49F51C" w14:textId="694DE54A" w:rsidR="00D31873" w:rsidRPr="004D1818" w:rsidRDefault="00D31873" w:rsidP="00D31873">
      <w:pPr>
        <w:pStyle w:val="my"/>
        <w:spacing w:before="156"/>
        <w:jc w:val="center"/>
        <w:rPr>
          <w:rFonts w:eastAsiaTheme="minorEastAsia"/>
          <w:sz w:val="24"/>
          <w:szCs w:val="24"/>
        </w:rPr>
      </w:pPr>
      <w:r w:rsidRPr="004D1818">
        <w:rPr>
          <w:rFonts w:eastAsiaTheme="minorEastAsia"/>
          <w:sz w:val="24"/>
          <w:szCs w:val="24"/>
        </w:rPr>
        <w:t>*Corresponding author. Email: lunan99@163.com</w:t>
      </w:r>
    </w:p>
    <w:p w14:paraId="740CF9EF" w14:textId="77777777" w:rsidR="002D6FE1" w:rsidRPr="004D1818" w:rsidRDefault="002D6FE1" w:rsidP="003C0B83">
      <w:pPr>
        <w:pStyle w:val="my"/>
        <w:spacing w:before="156"/>
        <w:ind w:firstLine="210"/>
        <w:rPr>
          <w:rFonts w:eastAsiaTheme="minorEastAsia"/>
        </w:rPr>
      </w:pPr>
    </w:p>
    <w:p w14:paraId="79945036" w14:textId="7AE9E254" w:rsidR="005B52D9" w:rsidRPr="004D1818" w:rsidRDefault="005B52D9" w:rsidP="005B52D9">
      <w:pPr>
        <w:pStyle w:val="1"/>
      </w:pPr>
      <w:bookmarkStart w:id="1" w:name="_Hlk197278176"/>
      <w:bookmarkEnd w:id="0"/>
      <w:r w:rsidRPr="004D1818">
        <w:t>Supplementary Methods</w:t>
      </w:r>
    </w:p>
    <w:p w14:paraId="7206E736" w14:textId="19C773D0" w:rsidR="00B6338F" w:rsidRPr="004D1818" w:rsidRDefault="003E61B9" w:rsidP="00B6338F">
      <w:pPr>
        <w:pStyle w:val="2"/>
        <w:rPr>
          <w:rFonts w:cs="Times New Roman"/>
        </w:rPr>
      </w:pPr>
      <w:r w:rsidRPr="004D1818">
        <w:rPr>
          <w:rFonts w:cs="Times New Roman"/>
        </w:rPr>
        <w:t>Sample processing and</w:t>
      </w:r>
      <w:r w:rsidR="00B6338F" w:rsidRPr="004D1818">
        <w:rPr>
          <w:rFonts w:cs="Times New Roman"/>
        </w:rPr>
        <w:t xml:space="preserve"> sequencing</w:t>
      </w:r>
    </w:p>
    <w:p w14:paraId="5C8E6F63" w14:textId="1F1AA267" w:rsidR="00B6338F" w:rsidRPr="004D1818" w:rsidRDefault="00216372" w:rsidP="003E61B9">
      <w:r w:rsidRPr="004D1818">
        <w:t xml:space="preserve">Peripheral blood samples (5 mL per EDTA-coated tube, 5 tubes total) were processed for plasma separation and cellular component isolation. All aliquots were stored at -80°C until analysis. After centrifugation at 1,200 × g for 10 min at 4°C, genomic DNA was extracted using the </w:t>
      </w:r>
      <w:proofErr w:type="spellStart"/>
      <w:r w:rsidRPr="004D1818">
        <w:t>QIAamp</w:t>
      </w:r>
      <w:proofErr w:type="spellEnd"/>
      <w:r w:rsidRPr="004D1818">
        <w:t xml:space="preserve"> DNA Blood Mini Kit according to the manufacturer's protocol. DNA quality was assessed using an Agilent 5400 Fragment Analyzer, with the following inclusion criteria: uncontaminated genomic DNA with ≥0.3 </w:t>
      </w:r>
      <w:proofErr w:type="spellStart"/>
      <w:r w:rsidRPr="004D1818">
        <w:t>μg</w:t>
      </w:r>
      <w:proofErr w:type="spellEnd"/>
      <w:r w:rsidRPr="004D1818">
        <w:t xml:space="preserve"> input and predominant fragment sizes &gt;3,000 bp. Sequencing libraries were prepared using the Agilent </w:t>
      </w:r>
      <w:proofErr w:type="spellStart"/>
      <w:r w:rsidRPr="004D1818">
        <w:t>SureSelect</w:t>
      </w:r>
      <w:proofErr w:type="spellEnd"/>
      <w:r w:rsidRPr="004D1818">
        <w:t xml:space="preserve"> Human All Exon V6 kit and sequenced on an Illumina </w:t>
      </w:r>
      <w:proofErr w:type="spellStart"/>
      <w:r w:rsidRPr="004D1818">
        <w:t>NovaSeq</w:t>
      </w:r>
      <w:proofErr w:type="spellEnd"/>
      <w:r w:rsidRPr="004D1818">
        <w:t xml:space="preserve"> 6000 platform (150 bp paired-end reads).</w:t>
      </w:r>
    </w:p>
    <w:p w14:paraId="55AE3E84" w14:textId="091965D5" w:rsidR="00025636" w:rsidRPr="004D1818" w:rsidRDefault="00025636" w:rsidP="00025636">
      <w:pPr>
        <w:pStyle w:val="2"/>
        <w:rPr>
          <w:rFonts w:cs="Times New Roman"/>
        </w:rPr>
      </w:pPr>
      <w:r>
        <w:rPr>
          <w:rFonts w:cs="Times New Roman" w:hint="eastAsia"/>
        </w:rPr>
        <w:t>HBV detection methods</w:t>
      </w:r>
    </w:p>
    <w:p w14:paraId="1BC772E9" w14:textId="160CF305" w:rsidR="00025636" w:rsidRPr="00025636" w:rsidRDefault="004D6A63" w:rsidP="00B105F5">
      <w:r w:rsidRPr="004D6A63">
        <w:t xml:space="preserve">All HBV serological testing was performed using ARCHITECT immunoassays (Abbott Diagnostics), including the HBsAg Qualitative II assay (limit of detection [LOD]: 0.05 IU/mL) with confirmatory testing for samples showing reactive results (signal-to-cutoff [S/CO] ratios 0.8-5.0). Additional serological markers (anti-HBs, </w:t>
      </w:r>
      <w:proofErr w:type="spellStart"/>
      <w:r w:rsidRPr="004D6A63">
        <w:t>HBeAg</w:t>
      </w:r>
      <w:proofErr w:type="spellEnd"/>
      <w:r w:rsidRPr="004D6A63">
        <w:t>, anti-</w:t>
      </w:r>
      <w:proofErr w:type="spellStart"/>
      <w:r w:rsidRPr="004D6A63">
        <w:t>HBe</w:t>
      </w:r>
      <w:proofErr w:type="spellEnd"/>
      <w:r w:rsidRPr="004D6A63">
        <w:t xml:space="preserve">, anti-HBc) were similarly analyzed using ARCHITECT platforms from Abbott Diagnostics (Ireland and Germany). Nucleic acid detection employed Roche Molecular Systems assays: qualitative screening used the Cobas </w:t>
      </w:r>
      <w:proofErr w:type="spellStart"/>
      <w:r w:rsidRPr="004D6A63">
        <w:t>TaqScreen</w:t>
      </w:r>
      <w:proofErr w:type="spellEnd"/>
      <w:r w:rsidRPr="004D6A63">
        <w:t xml:space="preserve"> MPX Test v2.0 (LOD: 2.3 IU/mL), while viral load quantification utilized the </w:t>
      </w:r>
      <w:proofErr w:type="spellStart"/>
      <w:r w:rsidRPr="004D6A63">
        <w:t>AmpliPrep</w:t>
      </w:r>
      <w:proofErr w:type="spellEnd"/>
      <w:r w:rsidRPr="004D6A63">
        <w:t xml:space="preserve">/COBAS </w:t>
      </w:r>
      <w:proofErr w:type="spellStart"/>
      <w:r w:rsidRPr="004D6A63">
        <w:t>Taqman</w:t>
      </w:r>
      <w:proofErr w:type="spellEnd"/>
      <w:r w:rsidRPr="004D6A63">
        <w:t xml:space="preserve"> HBV Test v2.0 (LOD: 9 IU/mL). All procedures followed manufacturers' protocols with appropriate quality controls.</w:t>
      </w:r>
    </w:p>
    <w:p w14:paraId="64BF9C4A" w14:textId="6194928F" w:rsidR="00845373" w:rsidRPr="004D1818" w:rsidRDefault="00845373" w:rsidP="00845373">
      <w:pPr>
        <w:pStyle w:val="2"/>
        <w:rPr>
          <w:rFonts w:cs="Times New Roman"/>
        </w:rPr>
      </w:pPr>
      <w:r w:rsidRPr="004D1818">
        <w:rPr>
          <w:rFonts w:cs="Times New Roman"/>
        </w:rPr>
        <w:t>Allele-</w:t>
      </w:r>
      <w:r w:rsidR="00434319" w:rsidRPr="004D1818">
        <w:rPr>
          <w:rFonts w:cs="Times New Roman"/>
        </w:rPr>
        <w:t>s</w:t>
      </w:r>
      <w:r w:rsidRPr="004D1818">
        <w:rPr>
          <w:rFonts w:cs="Times New Roman"/>
        </w:rPr>
        <w:t xml:space="preserve">pecific </w:t>
      </w:r>
      <w:r w:rsidR="00434319" w:rsidRPr="004D1818">
        <w:rPr>
          <w:rFonts w:cs="Times New Roman"/>
        </w:rPr>
        <w:t>a</w:t>
      </w:r>
      <w:r w:rsidRPr="004D1818">
        <w:rPr>
          <w:rFonts w:cs="Times New Roman"/>
        </w:rPr>
        <w:t>nalysis</w:t>
      </w:r>
      <w:r w:rsidR="00434319" w:rsidRPr="004D1818">
        <w:rPr>
          <w:rFonts w:cs="Times New Roman"/>
        </w:rPr>
        <w:t xml:space="preserve"> for HLA variants</w:t>
      </w:r>
    </w:p>
    <w:p w14:paraId="150D04DD" w14:textId="2A1B77E2" w:rsidR="008C746E" w:rsidRPr="004D1818" w:rsidRDefault="00845373" w:rsidP="003E13FF">
      <w:r w:rsidRPr="004D1818">
        <w:t>The allele-specific analysis was conducted through a three-stage approach to ensure comprehensive evaluation of HLA variants. For alleles with population frequencies exceeding 5%, we performed: (1) direct comparison against all other alleles combined, (2) pairwise comparisons between specific allele combinations, and (3) dominant/recessive model assessments. This multi-faceted approach accounted for the complex genetic architecture of HLA polymorphisms while maintaining statistical power. The pipeline incorporated specific quality checks for multiallelic sites, including strand bias verification and Hardy-Weinberg equilibrium testing (</w:t>
      </w:r>
      <w:r w:rsidR="0000161B">
        <w:rPr>
          <w:rFonts w:hint="eastAsia"/>
        </w:rPr>
        <w:t>P</w:t>
      </w:r>
      <w:r w:rsidRPr="004D1818">
        <w:t>&gt;0.01 threshold).</w:t>
      </w:r>
    </w:p>
    <w:p w14:paraId="266BCD69" w14:textId="6831C2CB" w:rsidR="00BE2FC6" w:rsidRPr="004D1818" w:rsidRDefault="00D3028B" w:rsidP="00BE2FC6">
      <w:pPr>
        <w:pStyle w:val="2"/>
        <w:rPr>
          <w:rFonts w:cs="Times New Roman"/>
        </w:rPr>
      </w:pPr>
      <w:r w:rsidRPr="004D1818">
        <w:rPr>
          <w:rFonts w:cs="Times New Roman"/>
        </w:rPr>
        <w:lastRenderedPageBreak/>
        <w:t>Functional and structural</w:t>
      </w:r>
      <w:r w:rsidR="00BE2FC6" w:rsidRPr="004D1818">
        <w:rPr>
          <w:rFonts w:cs="Times New Roman"/>
        </w:rPr>
        <w:t xml:space="preserve"> </w:t>
      </w:r>
      <w:r w:rsidR="00D063D4" w:rsidRPr="004D1818">
        <w:rPr>
          <w:rFonts w:cs="Times New Roman"/>
        </w:rPr>
        <w:t>c</w:t>
      </w:r>
      <w:r w:rsidR="00BE2FC6" w:rsidRPr="004D1818">
        <w:rPr>
          <w:rFonts w:cs="Times New Roman"/>
        </w:rPr>
        <w:t>haracterization​</w:t>
      </w:r>
      <w:r w:rsidRPr="004D1818">
        <w:rPr>
          <w:rFonts w:cs="Times New Roman"/>
        </w:rPr>
        <w:t xml:space="preserve"> of HLA variants</w:t>
      </w:r>
    </w:p>
    <w:p w14:paraId="5DC7E5BD" w14:textId="21822D5D" w:rsidR="00AB3CB8" w:rsidRPr="004D1818" w:rsidRDefault="00AB3CB8" w:rsidP="00BE2FC6">
      <w:pPr>
        <w:spacing w:beforeLines="25" w:before="78" w:afterLines="25" w:after="78"/>
        <w:rPr>
          <w:rFonts w:eastAsiaTheme="minorEastAsia"/>
          <w:sz w:val="22"/>
        </w:rPr>
      </w:pPr>
      <w:r w:rsidRPr="004D1818">
        <w:rPr>
          <w:rFonts w:eastAsiaTheme="minorEastAsia"/>
          <w:sz w:val="22"/>
        </w:rPr>
        <w:t xml:space="preserve">We performed comprehensive functional annotation of HLA missense variants using </w:t>
      </w:r>
      <w:proofErr w:type="spellStart"/>
      <w:r w:rsidRPr="004D1818">
        <w:rPr>
          <w:rFonts w:eastAsiaTheme="minorEastAsia"/>
          <w:sz w:val="22"/>
        </w:rPr>
        <w:t>ProtVar</w:t>
      </w:r>
      <w:proofErr w:type="spellEnd"/>
      <w:r w:rsidRPr="004D1818">
        <w:rPr>
          <w:rFonts w:eastAsiaTheme="minorEastAsia"/>
          <w:sz w:val="22"/>
        </w:rPr>
        <w:t xml:space="preserve"> (v1.4) to obtain evolutionary conservation scores and predicted stability changes. Structural analyses were conducted using experimentally determined crystal structures of HLA-A</w:t>
      </w:r>
      <w:r w:rsidR="00203BAA" w:rsidRPr="004D1818">
        <w:rPr>
          <w:rFonts w:eastAsiaTheme="minorEastAsia"/>
          <w:sz w:val="22"/>
        </w:rPr>
        <w:t>*</w:t>
      </w:r>
      <w:r w:rsidRPr="004D1818">
        <w:rPr>
          <w:rFonts w:eastAsiaTheme="minorEastAsia"/>
          <w:sz w:val="22"/>
        </w:rPr>
        <w:t>02:01 (PDB: 6Q3K)</w:t>
      </w:r>
      <w:r w:rsidR="00F61151" w:rsidRPr="004D1818">
        <w:rPr>
          <w:rFonts w:eastAsiaTheme="minorEastAsia"/>
          <w:sz w:val="22"/>
        </w:rPr>
        <w:t>,</w:t>
      </w:r>
      <w:r w:rsidRPr="004D1818">
        <w:rPr>
          <w:rFonts w:eastAsiaTheme="minorEastAsia"/>
          <w:sz w:val="22"/>
        </w:rPr>
        <w:t xml:space="preserve"> HLA-C</w:t>
      </w:r>
      <w:r w:rsidR="00203BAA" w:rsidRPr="004D1818">
        <w:rPr>
          <w:rFonts w:eastAsiaTheme="minorEastAsia"/>
          <w:sz w:val="22"/>
        </w:rPr>
        <w:t>*</w:t>
      </w:r>
      <w:r w:rsidRPr="004D1818">
        <w:rPr>
          <w:rFonts w:eastAsiaTheme="minorEastAsia"/>
          <w:sz w:val="22"/>
        </w:rPr>
        <w:t>04:01 (PDB: 5W67)</w:t>
      </w:r>
      <w:r w:rsidR="00F61151" w:rsidRPr="004D1818">
        <w:rPr>
          <w:rFonts w:eastAsiaTheme="minorEastAsia"/>
          <w:sz w:val="22"/>
        </w:rPr>
        <w:t xml:space="preserve"> and HLA-DQA1*05-DQB1*02 (DQ2; PDB:1S9V)</w:t>
      </w:r>
      <w:r w:rsidRPr="004D1818">
        <w:rPr>
          <w:rFonts w:eastAsiaTheme="minorEastAsia"/>
          <w:sz w:val="22"/>
        </w:rPr>
        <w:t xml:space="preserve"> as reference templates. The HLA-A </w:t>
      </w:r>
      <w:proofErr w:type="gramStart"/>
      <w:r w:rsidRPr="004D1818">
        <w:rPr>
          <w:rFonts w:eastAsiaTheme="minorEastAsia"/>
          <w:sz w:val="22"/>
        </w:rPr>
        <w:t>p.Ala</w:t>
      </w:r>
      <w:proofErr w:type="gramEnd"/>
      <w:r w:rsidRPr="004D1818">
        <w:rPr>
          <w:rFonts w:eastAsiaTheme="minorEastAsia"/>
          <w:sz w:val="22"/>
        </w:rPr>
        <w:t xml:space="preserve">114Asp variant structure was generated through in silico mutagenesis in </w:t>
      </w:r>
      <w:proofErr w:type="spellStart"/>
      <w:r w:rsidRPr="004D1818">
        <w:rPr>
          <w:rFonts w:eastAsiaTheme="minorEastAsia"/>
          <w:sz w:val="22"/>
        </w:rPr>
        <w:t>PyMOL</w:t>
      </w:r>
      <w:proofErr w:type="spellEnd"/>
      <w:r w:rsidRPr="004D1818">
        <w:rPr>
          <w:rFonts w:eastAsiaTheme="minorEastAsia"/>
          <w:sz w:val="22"/>
        </w:rPr>
        <w:t xml:space="preserve"> (v2.5), with particular focus on conformational changes in the antigen-binding groove. Comparative structural analysis included electrostatic potential mapping (APBS plugin, 0.15M ionic strength, 298K temperature), hydrophobicity analysis using </w:t>
      </w:r>
      <w:proofErr w:type="spellStart"/>
      <w:r w:rsidRPr="004D1818">
        <w:rPr>
          <w:rFonts w:eastAsiaTheme="minorEastAsia"/>
          <w:sz w:val="22"/>
        </w:rPr>
        <w:t>PyMOL's</w:t>
      </w:r>
      <w:proofErr w:type="spellEnd"/>
      <w:r w:rsidRPr="004D1818">
        <w:rPr>
          <w:rFonts w:eastAsiaTheme="minorEastAsia"/>
          <w:sz w:val="22"/>
        </w:rPr>
        <w:t xml:space="preserve"> hydrophobicity scale, and surface property visualization with standardized rendering parameters. For the HLA-DQA1 </w:t>
      </w:r>
      <w:proofErr w:type="gramStart"/>
      <w:r w:rsidRPr="004D1818">
        <w:rPr>
          <w:rFonts w:eastAsiaTheme="minorEastAsia"/>
          <w:sz w:val="22"/>
        </w:rPr>
        <w:t>p.Gln</w:t>
      </w:r>
      <w:proofErr w:type="gramEnd"/>
      <w:r w:rsidRPr="004D1818">
        <w:rPr>
          <w:rFonts w:eastAsiaTheme="minorEastAsia"/>
          <w:sz w:val="22"/>
        </w:rPr>
        <w:t>57Glu variant, we retrieved and compared the 2D chemical structures of glutamine (Gln, PubChem CID: 5961) and glutamate (Glu, PubChem CID: 33032) to analyze the functional impact of this substitution. All paired figures were rendered with consistent lighting and perspective parameters to enable direct visual comparison.</w:t>
      </w:r>
    </w:p>
    <w:p w14:paraId="2F1D1F6A" w14:textId="63E1F42C" w:rsidR="003E13FF" w:rsidRPr="004D1818" w:rsidRDefault="00BE2FC6" w:rsidP="009405AA">
      <w:pPr>
        <w:pStyle w:val="2"/>
        <w:rPr>
          <w:rFonts w:cs="Times New Roman"/>
        </w:rPr>
      </w:pPr>
      <w:r w:rsidRPr="004D1818">
        <w:rPr>
          <w:rFonts w:cs="Times New Roman"/>
        </w:rPr>
        <w:t>​</w:t>
      </w:r>
      <w:r w:rsidR="003E13FF" w:rsidRPr="004D1818">
        <w:rPr>
          <w:rFonts w:cs="Times New Roman"/>
        </w:rPr>
        <w:t>Binding affinity prediction</w:t>
      </w:r>
    </w:p>
    <w:p w14:paraId="267E63D4" w14:textId="27589916" w:rsidR="006A35DF" w:rsidRPr="004D1818" w:rsidRDefault="006A35DF" w:rsidP="00035C61">
      <w:pPr>
        <w:spacing w:beforeLines="25" w:before="78" w:afterLines="25" w:after="78"/>
        <w:rPr>
          <w:rFonts w:eastAsiaTheme="minorEastAsia"/>
          <w:sz w:val="22"/>
        </w:rPr>
      </w:pPr>
      <w:r w:rsidRPr="004D1818">
        <w:rPr>
          <w:rFonts w:eastAsiaTheme="minorEastAsia"/>
          <w:sz w:val="22"/>
        </w:rPr>
        <w:t>Known HBV surface antigen (HBsAg) epitopes</w:t>
      </w:r>
      <w:r w:rsidR="0047772E" w:rsidRPr="004D1818">
        <w:rPr>
          <w:rFonts w:eastAsiaTheme="minorEastAsia"/>
          <w:sz w:val="22"/>
        </w:rPr>
        <w:t xml:space="preserve"> (HBV-B and -C included)</w:t>
      </w:r>
      <w:r w:rsidRPr="004D1818">
        <w:rPr>
          <w:rFonts w:eastAsiaTheme="minorEastAsia"/>
          <w:sz w:val="22"/>
        </w:rPr>
        <w:t xml:space="preserve"> were extracted from the Immune Epitope Database (IEDB, http://www.iedb.org) using the following parameters: (1) Organism: Hepatitis B virus (HBV), (2) Antigen: "Surface antigen" or "HBsAg," (3) Epitope type: Linear peptides (excluding discontinuous/conformational epitopes), (4) Host: Homo sapiens, and (5) Assay criteria: Positive binding (IC50 ≤ 500 </w:t>
      </w:r>
      <w:proofErr w:type="spellStart"/>
      <w:r w:rsidRPr="004D1818">
        <w:rPr>
          <w:rFonts w:eastAsiaTheme="minorEastAsia"/>
          <w:sz w:val="22"/>
        </w:rPr>
        <w:t>nM</w:t>
      </w:r>
      <w:proofErr w:type="spellEnd"/>
      <w:r w:rsidRPr="004D1818">
        <w:rPr>
          <w:rFonts w:eastAsiaTheme="minorEastAsia"/>
          <w:sz w:val="22"/>
        </w:rPr>
        <w:t xml:space="preserve">) to HLA class I/II molecules. For class I epitopes, we prioritized 8-12mer peptides. For class II epitopes, we prioritized 15-20mer peptides. </w:t>
      </w:r>
      <w:proofErr w:type="spellStart"/>
      <w:r w:rsidRPr="004D1818">
        <w:rPr>
          <w:rFonts w:eastAsiaTheme="minorEastAsia"/>
          <w:sz w:val="22"/>
        </w:rPr>
        <w:t>NetMHCpan</w:t>
      </w:r>
      <w:proofErr w:type="spellEnd"/>
      <w:r w:rsidR="009703F2" w:rsidRPr="004D1818">
        <w:rPr>
          <w:rFonts w:eastAsiaTheme="minorEastAsia"/>
          <w:sz w:val="22"/>
        </w:rPr>
        <w:t xml:space="preserve"> (v</w:t>
      </w:r>
      <w:r w:rsidRPr="004D1818">
        <w:rPr>
          <w:rFonts w:eastAsiaTheme="minorEastAsia"/>
          <w:sz w:val="22"/>
        </w:rPr>
        <w:t>4.1</w:t>
      </w:r>
      <w:r w:rsidR="009703F2" w:rsidRPr="004D1818">
        <w:rPr>
          <w:rFonts w:eastAsiaTheme="minorEastAsia"/>
          <w:sz w:val="22"/>
        </w:rPr>
        <w:t>)</w:t>
      </w:r>
      <w:r w:rsidRPr="004D1818">
        <w:rPr>
          <w:rFonts w:eastAsiaTheme="minorEastAsia"/>
          <w:sz w:val="22"/>
        </w:rPr>
        <w:t xml:space="preserve"> and </w:t>
      </w:r>
      <w:proofErr w:type="spellStart"/>
      <w:r w:rsidRPr="004D1818">
        <w:rPr>
          <w:rFonts w:eastAsiaTheme="minorEastAsia"/>
          <w:sz w:val="22"/>
        </w:rPr>
        <w:t>NetMHCstabpan</w:t>
      </w:r>
      <w:proofErr w:type="spellEnd"/>
      <w:r w:rsidR="009703F2" w:rsidRPr="004D1818">
        <w:rPr>
          <w:rFonts w:eastAsiaTheme="minorEastAsia"/>
          <w:sz w:val="22"/>
        </w:rPr>
        <w:t xml:space="preserve"> (v</w:t>
      </w:r>
      <w:r w:rsidRPr="004D1818">
        <w:rPr>
          <w:rFonts w:eastAsiaTheme="minorEastAsia"/>
          <w:sz w:val="22"/>
        </w:rPr>
        <w:t>1.0</w:t>
      </w:r>
      <w:r w:rsidR="009703F2" w:rsidRPr="004D1818">
        <w:rPr>
          <w:rFonts w:eastAsiaTheme="minorEastAsia"/>
          <w:sz w:val="22"/>
        </w:rPr>
        <w:t>)</w:t>
      </w:r>
      <w:r w:rsidRPr="004D1818">
        <w:rPr>
          <w:rFonts w:eastAsiaTheme="minorEastAsia"/>
          <w:sz w:val="22"/>
        </w:rPr>
        <w:t xml:space="preserve"> were used for peptide-HLA I binding affinity and stability assessments, and </w:t>
      </w:r>
      <w:proofErr w:type="spellStart"/>
      <w:r w:rsidRPr="004D1818">
        <w:rPr>
          <w:rFonts w:eastAsiaTheme="minorEastAsia"/>
          <w:sz w:val="22"/>
        </w:rPr>
        <w:t>NetMHCIIpan</w:t>
      </w:r>
      <w:proofErr w:type="spellEnd"/>
      <w:r w:rsidR="009703F2" w:rsidRPr="004D1818">
        <w:rPr>
          <w:rFonts w:eastAsiaTheme="minorEastAsia"/>
          <w:sz w:val="22"/>
        </w:rPr>
        <w:t xml:space="preserve"> (v</w:t>
      </w:r>
      <w:r w:rsidRPr="004D1818">
        <w:rPr>
          <w:rFonts w:eastAsiaTheme="minorEastAsia"/>
          <w:sz w:val="22"/>
        </w:rPr>
        <w:t>4.3</w:t>
      </w:r>
      <w:r w:rsidR="009703F2" w:rsidRPr="004D1818">
        <w:rPr>
          <w:rFonts w:eastAsiaTheme="minorEastAsia"/>
          <w:sz w:val="22"/>
        </w:rPr>
        <w:t>)</w:t>
      </w:r>
      <w:r w:rsidRPr="004D1818">
        <w:rPr>
          <w:rFonts w:eastAsiaTheme="minorEastAsia"/>
          <w:sz w:val="22"/>
        </w:rPr>
        <w:t xml:space="preserve"> for peptide-HLA II binding affinity. </w:t>
      </w:r>
      <w:proofErr w:type="spellStart"/>
      <w:r w:rsidR="00FB5BA3" w:rsidRPr="004D1818">
        <w:rPr>
          <w:rFonts w:eastAsiaTheme="minorEastAsia"/>
          <w:sz w:val="22"/>
        </w:rPr>
        <w:t>MHCflurry</w:t>
      </w:r>
      <w:proofErr w:type="spellEnd"/>
      <w:r w:rsidR="009703F2" w:rsidRPr="004D1818">
        <w:rPr>
          <w:rFonts w:eastAsiaTheme="minorEastAsia"/>
          <w:sz w:val="22"/>
        </w:rPr>
        <w:t xml:space="preserve"> </w:t>
      </w:r>
      <w:r w:rsidR="00FB5BA3" w:rsidRPr="004D1818">
        <w:rPr>
          <w:rFonts w:eastAsiaTheme="minorEastAsia"/>
          <w:sz w:val="22"/>
        </w:rPr>
        <w:t xml:space="preserve">(v2.0) was also used for HLA class I binding affinity predictions, complementing </w:t>
      </w:r>
      <w:proofErr w:type="spellStart"/>
      <w:r w:rsidR="00FB5BA3" w:rsidRPr="004D1818">
        <w:rPr>
          <w:rFonts w:eastAsiaTheme="minorEastAsia"/>
          <w:sz w:val="22"/>
        </w:rPr>
        <w:t>NetMHCpan</w:t>
      </w:r>
      <w:proofErr w:type="spellEnd"/>
      <w:r w:rsidR="00FB5BA3" w:rsidRPr="004D1818">
        <w:rPr>
          <w:rFonts w:eastAsiaTheme="minorEastAsia"/>
          <w:sz w:val="22"/>
        </w:rPr>
        <w:t xml:space="preserve"> results with an alternative neural network-based approach.</w:t>
      </w:r>
    </w:p>
    <w:p w14:paraId="0920C6C5" w14:textId="131A12F1" w:rsidR="003E13FF" w:rsidRPr="004D1818" w:rsidRDefault="003E13FF" w:rsidP="009405AA">
      <w:pPr>
        <w:pStyle w:val="2"/>
        <w:rPr>
          <w:rFonts w:cs="Times New Roman"/>
        </w:rPr>
      </w:pPr>
      <w:r w:rsidRPr="004D1818">
        <w:rPr>
          <w:rFonts w:cs="Times New Roman"/>
        </w:rPr>
        <w:t>HLA typing by HLA-HD</w:t>
      </w:r>
    </w:p>
    <w:p w14:paraId="7026068C" w14:textId="37B7139F" w:rsidR="003E13FF" w:rsidRPr="004D1818" w:rsidRDefault="00A12C95" w:rsidP="00B61D33">
      <w:pPr>
        <w:spacing w:beforeLines="25" w:before="78" w:afterLines="25" w:after="78"/>
        <w:rPr>
          <w:rFonts w:eastAsia="等线"/>
          <w:sz w:val="22"/>
        </w:rPr>
      </w:pPr>
      <w:r w:rsidRPr="004D1818">
        <w:rPr>
          <w:rFonts w:eastAsia="等线"/>
          <w:sz w:val="22"/>
        </w:rPr>
        <w:t>HLA-DRB4 typing was performed using HLA-HD software (v</w:t>
      </w:r>
      <w:r w:rsidR="00B34B97" w:rsidRPr="004D1818">
        <w:rPr>
          <w:rFonts w:eastAsia="等线"/>
          <w:sz w:val="22"/>
        </w:rPr>
        <w:t>1</w:t>
      </w:r>
      <w:r w:rsidRPr="004D1818">
        <w:rPr>
          <w:rFonts w:eastAsia="等线"/>
          <w:sz w:val="22"/>
        </w:rPr>
        <w:t>.</w:t>
      </w:r>
      <w:r w:rsidR="00B34B97" w:rsidRPr="004D1818">
        <w:rPr>
          <w:rFonts w:eastAsia="等线"/>
          <w:sz w:val="22"/>
        </w:rPr>
        <w:t>7.0</w:t>
      </w:r>
      <w:r w:rsidRPr="004D1818">
        <w:rPr>
          <w:rFonts w:eastAsia="等线"/>
          <w:sz w:val="22"/>
        </w:rPr>
        <w:t>)</w:t>
      </w:r>
      <w:r w:rsidR="00B34B97" w:rsidRPr="004D1818">
        <w:rPr>
          <w:rFonts w:eastAsia="等线"/>
          <w:sz w:val="22"/>
        </w:rPr>
        <w:t xml:space="preserve"> on the WES data with default parameters</w:t>
      </w:r>
      <w:r w:rsidRPr="004D1818">
        <w:rPr>
          <w:rFonts w:eastAsia="等线"/>
          <w:sz w:val="22"/>
        </w:rPr>
        <w:t>.</w:t>
      </w:r>
      <w:r w:rsidR="00B34B97" w:rsidRPr="004D1818">
        <w:rPr>
          <w:rFonts w:eastAsia="等线"/>
          <w:sz w:val="22"/>
        </w:rPr>
        <w:t xml:space="preserve"> HLA-HD aligns qualified sequencing reads to the IPD-IMGT/HLA database (release 3.52.0) and employs a Bayesian statistical framework to assign HLA alleles at 6-digit resolution.</w:t>
      </w:r>
    </w:p>
    <w:p w14:paraId="4DE84C8F" w14:textId="0B7E888D" w:rsidR="00BE2FC6" w:rsidRPr="004D1818" w:rsidRDefault="00BE2FC6" w:rsidP="009405AA">
      <w:pPr>
        <w:pStyle w:val="2"/>
        <w:rPr>
          <w:rFonts w:cs="Times New Roman"/>
        </w:rPr>
      </w:pPr>
      <w:r w:rsidRPr="004D1818">
        <w:rPr>
          <w:rFonts w:cs="Times New Roman"/>
        </w:rPr>
        <w:t xml:space="preserve">Statistical </w:t>
      </w:r>
      <w:r w:rsidR="003E13FF" w:rsidRPr="004D1818">
        <w:rPr>
          <w:rFonts w:cs="Times New Roman"/>
        </w:rPr>
        <w:t>a</w:t>
      </w:r>
      <w:r w:rsidRPr="004D1818">
        <w:rPr>
          <w:rFonts w:cs="Times New Roman"/>
        </w:rPr>
        <w:t xml:space="preserve">nalysis of HLA </w:t>
      </w:r>
      <w:r w:rsidR="003E13FF" w:rsidRPr="004D1818">
        <w:rPr>
          <w:rFonts w:cs="Times New Roman"/>
        </w:rPr>
        <w:t>v</w:t>
      </w:r>
      <w:r w:rsidRPr="004D1818">
        <w:rPr>
          <w:rFonts w:cs="Times New Roman"/>
        </w:rPr>
        <w:t xml:space="preserve">ariant </w:t>
      </w:r>
      <w:r w:rsidR="003E13FF" w:rsidRPr="004D1818">
        <w:rPr>
          <w:rFonts w:cs="Times New Roman"/>
        </w:rPr>
        <w:t>e</w:t>
      </w:r>
      <w:r w:rsidRPr="004D1818">
        <w:rPr>
          <w:rFonts w:cs="Times New Roman"/>
        </w:rPr>
        <w:t>ffects​</w:t>
      </w:r>
      <w:r w:rsidR="003E13FF" w:rsidRPr="004D1818">
        <w:rPr>
          <w:rFonts w:cs="Times New Roman"/>
        </w:rPr>
        <w:t xml:space="preserve"> on OBI </w:t>
      </w:r>
      <w:r w:rsidR="00DF7236">
        <w:rPr>
          <w:rFonts w:cs="Times New Roman"/>
        </w:rPr>
        <w:t>susceptibility</w:t>
      </w:r>
    </w:p>
    <w:p w14:paraId="394B9315" w14:textId="31495FF3" w:rsidR="00A0196F" w:rsidRPr="004D1818" w:rsidRDefault="00D60ACE" w:rsidP="00BE2FC6">
      <w:pPr>
        <w:spacing w:beforeLines="25" w:before="78" w:afterLines="25" w:after="78"/>
        <w:rPr>
          <w:rFonts w:eastAsiaTheme="minorEastAsia"/>
          <w:sz w:val="22"/>
        </w:rPr>
      </w:pPr>
      <w:r w:rsidRPr="004D1818">
        <w:rPr>
          <w:rFonts w:eastAsiaTheme="minorEastAsia"/>
          <w:sz w:val="22"/>
        </w:rPr>
        <w:t>The predictive performance of the HLA-enhanced models was assessed through a multi-step analytical approach. Model discrimination was evaluated using receiver operating characteristic (ROC) curve analysis, with 1000 bootstrap replicates performed to estimate the mean area under the curve (AUC), standard deviation, and 95% confidence intervals. The DeLong test for correlated ROC curves was applied to compare nested models (</w:t>
      </w:r>
      <w:r w:rsidR="00DF7236">
        <w:rPr>
          <w:rFonts w:eastAsiaTheme="minorEastAsia" w:hint="eastAsia"/>
          <w:sz w:val="22"/>
        </w:rPr>
        <w:t>S</w:t>
      </w:r>
      <w:r w:rsidRPr="004D1818">
        <w:rPr>
          <w:rFonts w:eastAsiaTheme="minorEastAsia"/>
          <w:sz w:val="22"/>
        </w:rPr>
        <w:t xml:space="preserve">-G vs. </w:t>
      </w:r>
      <w:r w:rsidR="00DF7236">
        <w:rPr>
          <w:rFonts w:eastAsiaTheme="minorEastAsia" w:hint="eastAsia"/>
          <w:sz w:val="22"/>
        </w:rPr>
        <w:t>S</w:t>
      </w:r>
      <w:r w:rsidR="00DF7236" w:rsidRPr="004D1818">
        <w:rPr>
          <w:rFonts w:eastAsiaTheme="minorEastAsia"/>
          <w:sz w:val="22"/>
        </w:rPr>
        <w:t xml:space="preserve"> </w:t>
      </w:r>
      <w:r w:rsidRPr="004D1818">
        <w:rPr>
          <w:rFonts w:eastAsiaTheme="minorEastAsia"/>
          <w:sz w:val="22"/>
        </w:rPr>
        <w:t xml:space="preserve">and </w:t>
      </w:r>
      <w:r w:rsidRPr="004D1818">
        <w:rPr>
          <w:rFonts w:eastAsiaTheme="minorEastAsia"/>
          <w:sz w:val="22"/>
        </w:rPr>
        <w:lastRenderedPageBreak/>
        <w:t xml:space="preserve">B-G vs. B), with statistical significance determined through 1000 permutations. Reclassification analysis was conducted to quantify improvements in risk stratification, calculating net reclassification improvement (NRI) and integrated discrimination improvement (IDI) metrics. Continuous NRI was derived by comparing predicted probabilities between models, while categorical NRI assessed movement across predefined risk thresholds (low, intermediate, high). Reclassification tables were generated to document shifts in individual risk classifications between baseline and HLA-enhanced models. All statistical analyses were performed in R version 4.3.1 using the </w:t>
      </w:r>
      <w:proofErr w:type="spellStart"/>
      <w:r w:rsidRPr="004D1818">
        <w:rPr>
          <w:rFonts w:eastAsiaTheme="minorEastAsia"/>
          <w:sz w:val="22"/>
        </w:rPr>
        <w:t>pROC</w:t>
      </w:r>
      <w:proofErr w:type="spellEnd"/>
      <w:r w:rsidRPr="004D1818">
        <w:rPr>
          <w:rFonts w:eastAsiaTheme="minorEastAsia"/>
          <w:sz w:val="22"/>
        </w:rPr>
        <w:t xml:space="preserve">, </w:t>
      </w:r>
      <w:proofErr w:type="spellStart"/>
      <w:r w:rsidRPr="004D1818">
        <w:rPr>
          <w:rFonts w:eastAsiaTheme="minorEastAsia"/>
          <w:sz w:val="22"/>
        </w:rPr>
        <w:t>PredictABEL</w:t>
      </w:r>
      <w:proofErr w:type="spellEnd"/>
      <w:r w:rsidRPr="004D1818">
        <w:rPr>
          <w:rFonts w:eastAsiaTheme="minorEastAsia"/>
          <w:sz w:val="22"/>
        </w:rPr>
        <w:t>, and rms packages, with a 7:3 random split for training and validation subsets maintained across all comparisons to ensure consistency.</w:t>
      </w:r>
      <w:r w:rsidR="00754363" w:rsidRPr="004D1818">
        <w:rPr>
          <w:rFonts w:eastAsiaTheme="minorEastAsia"/>
          <w:b/>
          <w:color w:val="000000" w:themeColor="text1"/>
          <w:kern w:val="24"/>
          <w:sz w:val="16"/>
          <w:szCs w:val="16"/>
        </w:rPr>
        <w:t xml:space="preserve"> </w:t>
      </w:r>
    </w:p>
    <w:bookmarkEnd w:id="1"/>
    <w:p w14:paraId="731902C9" w14:textId="77777777" w:rsidR="001C2BB7" w:rsidRDefault="001C2BB7" w:rsidP="008C411D">
      <w:pPr>
        <w:pStyle w:val="1"/>
      </w:pPr>
      <w:r>
        <w:br w:type="page"/>
      </w:r>
    </w:p>
    <w:p w14:paraId="473FAF31" w14:textId="63B00768" w:rsidR="004333C3" w:rsidRPr="008C411D" w:rsidRDefault="004333C3" w:rsidP="008C411D">
      <w:pPr>
        <w:pStyle w:val="1"/>
        <w:rPr>
          <w:rFonts w:eastAsiaTheme="minorEastAsia"/>
        </w:rPr>
      </w:pPr>
      <w:r w:rsidRPr="004D1818">
        <w:lastRenderedPageBreak/>
        <w:t>Supplementary Figures</w:t>
      </w:r>
    </w:p>
    <w:p w14:paraId="06009EE8" w14:textId="22D37512" w:rsidR="00641E0B" w:rsidRPr="008C411D" w:rsidRDefault="00641E0B" w:rsidP="004333C3">
      <w:pPr>
        <w:pStyle w:val="my"/>
        <w:spacing w:before="156" w:after="60"/>
        <w:jc w:val="center"/>
        <w:rPr>
          <w:rFonts w:eastAsiaTheme="minorEastAsia"/>
          <w:sz w:val="20"/>
          <w:szCs w:val="20"/>
        </w:rPr>
      </w:pPr>
      <w:r>
        <w:rPr>
          <w:b/>
          <w:bCs/>
          <w:noProof/>
        </w:rPr>
        <w:drawing>
          <wp:inline distT="0" distB="0" distL="0" distR="0" wp14:anchorId="253EFBD9" wp14:editId="6BFD8C5D">
            <wp:extent cx="4865762" cy="3842415"/>
            <wp:effectExtent l="0" t="0" r="0" b="5715"/>
            <wp:docPr id="111329024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70219" cy="3845935"/>
                    </a:xfrm>
                    <a:prstGeom prst="rect">
                      <a:avLst/>
                    </a:prstGeom>
                    <a:noFill/>
                  </pic:spPr>
                </pic:pic>
              </a:graphicData>
            </a:graphic>
          </wp:inline>
        </w:drawing>
      </w:r>
    </w:p>
    <w:p w14:paraId="7130D14D" w14:textId="12377AFE" w:rsidR="004333C3" w:rsidRDefault="004333C3" w:rsidP="004333C3">
      <w:pPr>
        <w:pStyle w:val="afc"/>
      </w:pPr>
      <w:r w:rsidRPr="004D1818">
        <w:rPr>
          <w:b/>
          <w:bCs/>
        </w:rPr>
        <w:t xml:space="preserve">Figure S1. </w:t>
      </w:r>
      <w:r w:rsidR="008C411D">
        <w:rPr>
          <w:rFonts w:hint="eastAsia"/>
          <w:b/>
          <w:bCs/>
        </w:rPr>
        <w:t>Flow chart of multi-center</w:t>
      </w:r>
      <w:r w:rsidRPr="004D1818">
        <w:rPr>
          <w:b/>
          <w:bCs/>
        </w:rPr>
        <w:t xml:space="preserve"> cohort selection and</w:t>
      </w:r>
      <w:r w:rsidR="008C411D">
        <w:rPr>
          <w:rFonts w:hint="eastAsia"/>
          <w:b/>
          <w:bCs/>
        </w:rPr>
        <w:t xml:space="preserve"> longitudinal</w:t>
      </w:r>
      <w:r w:rsidRPr="004D1818">
        <w:rPr>
          <w:b/>
          <w:bCs/>
        </w:rPr>
        <w:t xml:space="preserve"> follow-up workflow for </w:t>
      </w:r>
      <w:r w:rsidR="008C411D">
        <w:rPr>
          <w:rFonts w:hint="eastAsia"/>
          <w:b/>
          <w:bCs/>
        </w:rPr>
        <w:t xml:space="preserve">OBI identification </w:t>
      </w:r>
      <w:r w:rsidRPr="004D1818">
        <w:rPr>
          <w:b/>
          <w:bCs/>
        </w:rPr>
        <w:t>in Chinese blood donors.</w:t>
      </w:r>
      <w:r w:rsidRPr="004D1818">
        <w:t xml:space="preserve"> Initial HBV screen was conducted in 21 blood establishments in China during March 2020 to January 2021. 2690 blood donors were tested positive for HBsAg or HBV DNA. HBV confirmatory test was conducted by National Center for Clinical Laboratories (NCCL). 2315/2690 donors were confirmed. 218/2315 donors agreed and participated in a two-year follow-up visit. After two years’ follow up, 190/218 participants exhibited consistent CHB infection state. 147/190 participants provided qualified DNA samples for WES including 74 occult and 73 overt HBV infection.</w:t>
      </w:r>
    </w:p>
    <w:p w14:paraId="66DB7DAB" w14:textId="22A31DF1" w:rsidR="00933CC3" w:rsidRPr="00F222E4" w:rsidRDefault="00F222E4" w:rsidP="004333C3">
      <w:pPr>
        <w:pStyle w:val="afc"/>
      </w:pPr>
      <w:r w:rsidRPr="009C26DF">
        <w:rPr>
          <w:b/>
          <w:bCs/>
          <w:i/>
          <w:iCs/>
        </w:rPr>
        <w:t>α.</w:t>
      </w:r>
      <w:r w:rsidRPr="009C26DF">
        <w:rPr>
          <w:rFonts w:hint="eastAsia"/>
          <w:b/>
          <w:bCs/>
          <w:i/>
          <w:iCs/>
        </w:rPr>
        <w:t xml:space="preserve"> </w:t>
      </w:r>
      <w:r>
        <w:t>C</w:t>
      </w:r>
      <w:r>
        <w:rPr>
          <w:rFonts w:hint="eastAsia"/>
        </w:rPr>
        <w:t xml:space="preserve">hronic HBsAg+ carriers </w:t>
      </w:r>
      <w:r w:rsidR="00933CC3">
        <w:rPr>
          <w:rFonts w:hint="eastAsia"/>
        </w:rPr>
        <w:t>were defined as those who maintain</w:t>
      </w:r>
      <w:r>
        <w:rPr>
          <w:rFonts w:hint="eastAsia"/>
        </w:rPr>
        <w:t xml:space="preserve"> </w:t>
      </w:r>
      <w:r w:rsidR="00933CC3">
        <w:rPr>
          <w:rFonts w:hint="eastAsia"/>
        </w:rPr>
        <w:t>persistent HBsAg+ from initial screening, confirmatary test to semi-anual follow-up visits (1-6 times).</w:t>
      </w:r>
    </w:p>
    <w:p w14:paraId="78DA6364" w14:textId="4DC76406" w:rsidR="004333C3" w:rsidRPr="00933CC3" w:rsidRDefault="00F222E4" w:rsidP="00933CC3">
      <w:pPr>
        <w:pStyle w:val="afc"/>
      </w:pPr>
      <w:r w:rsidRPr="009C26DF">
        <w:rPr>
          <w:b/>
          <w:bCs/>
          <w:i/>
          <w:iCs/>
        </w:rPr>
        <w:t>β.</w:t>
      </w:r>
      <w:r w:rsidR="00933CC3" w:rsidRPr="009C26DF">
        <w:rPr>
          <w:rFonts w:hint="eastAsia"/>
          <w:i/>
          <w:iCs/>
        </w:rPr>
        <w:t xml:space="preserve"> </w:t>
      </w:r>
      <w:r w:rsidR="00933CC3">
        <w:rPr>
          <w:rFonts w:hint="eastAsia"/>
        </w:rPr>
        <w:t>OBI were defined as those who maintain persistent HBsAg- with detectable HBV DNA&lt;200 IU/mL from initial screening, confirmatary test to semi-anual follow-up visits (1-6 times).</w:t>
      </w:r>
    </w:p>
    <w:p w14:paraId="3D3A4BC9" w14:textId="77777777" w:rsidR="004333C3" w:rsidRPr="004D1818" w:rsidRDefault="004333C3" w:rsidP="004333C3">
      <w:pPr>
        <w:pStyle w:val="afc"/>
        <w:rPr>
          <w:rFonts w:eastAsiaTheme="minorEastAsia"/>
          <w:b/>
          <w:bCs/>
        </w:rPr>
      </w:pPr>
      <w:r w:rsidRPr="004D1818">
        <w:rPr>
          <w:rFonts w:eastAsiaTheme="minorEastAsia"/>
          <w:b/>
          <w:bCs/>
        </w:rPr>
        <w:lastRenderedPageBreak/>
        <w:drawing>
          <wp:inline distT="0" distB="0" distL="0" distR="0" wp14:anchorId="24A8524B" wp14:editId="6869DFBC">
            <wp:extent cx="5245256" cy="4932619"/>
            <wp:effectExtent l="0" t="0" r="0" b="0"/>
            <wp:docPr id="14695804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0294" cy="4956165"/>
                    </a:xfrm>
                    <a:prstGeom prst="rect">
                      <a:avLst/>
                    </a:prstGeom>
                    <a:noFill/>
                  </pic:spPr>
                </pic:pic>
              </a:graphicData>
            </a:graphic>
          </wp:inline>
        </w:drawing>
      </w:r>
    </w:p>
    <w:p w14:paraId="6B75E7D3" w14:textId="531F585A" w:rsidR="004333C3" w:rsidRPr="004D1818" w:rsidRDefault="004333C3" w:rsidP="004333C3">
      <w:pPr>
        <w:pStyle w:val="afc"/>
        <w:rPr>
          <w:rFonts w:eastAsiaTheme="minorEastAsia"/>
        </w:rPr>
      </w:pPr>
      <w:r w:rsidRPr="004D1818">
        <w:rPr>
          <w:b/>
          <w:bCs/>
        </w:rPr>
        <w:t>Figure S</w:t>
      </w:r>
      <w:r w:rsidR="00C0201C">
        <w:rPr>
          <w:rFonts w:hint="eastAsia"/>
          <w:b/>
          <w:bCs/>
        </w:rPr>
        <w:t>2</w:t>
      </w:r>
      <w:r w:rsidRPr="004D1818">
        <w:rPr>
          <w:b/>
          <w:bCs/>
        </w:rPr>
        <w:t xml:space="preserve">. </w:t>
      </w:r>
      <w:r w:rsidRPr="004D1818">
        <w:rPr>
          <w:rFonts w:eastAsiaTheme="minorEastAsia"/>
          <w:b/>
          <w:bCs/>
        </w:rPr>
        <w:t>Comparative analysis of HLA-A Ala114 vs. Asp114 on HBsAg binding stability, affinity and anti-HBs antibody response</w:t>
      </w:r>
      <w:r w:rsidRPr="004D1818">
        <w:rPr>
          <w:b/>
          <w:bCs/>
        </w:rPr>
        <w:t>.</w:t>
      </w:r>
      <w:r w:rsidRPr="004D1818">
        <w:t xml:space="preserve"> </w:t>
      </w:r>
      <w:r w:rsidRPr="004D1818">
        <w:rPr>
          <w:b/>
          <w:bCs/>
        </w:rPr>
        <w:t>(A)</w:t>
      </w:r>
      <w:r w:rsidRPr="004D1818">
        <w:t xml:space="preserve"> Hydrophobicity shift analysis comparing Ala114</w:t>
      </w:r>
      <w:r w:rsidRPr="004D1818">
        <w:rPr>
          <w:rFonts w:eastAsiaTheme="minorEastAsia"/>
        </w:rPr>
        <w:t xml:space="preserve"> variant</w:t>
      </w:r>
      <w:r w:rsidRPr="004D1818">
        <w:t xml:space="preserve"> (hydrophobic, yellow</w:t>
      </w:r>
      <w:r w:rsidR="00DF7236">
        <w:rPr>
          <w:rFonts w:hint="eastAsia"/>
        </w:rPr>
        <w:t xml:space="preserve">; associated </w:t>
      </w:r>
      <w:r w:rsidR="00DF7236">
        <w:t>with</w:t>
      </w:r>
      <w:r w:rsidR="00DF7236">
        <w:rPr>
          <w:rFonts w:hint="eastAsia"/>
        </w:rPr>
        <w:t xml:space="preserve"> high OBI susceptibility</w:t>
      </w:r>
      <w:r w:rsidRPr="004D1818">
        <w:t>) and Asp114</w:t>
      </w:r>
      <w:r w:rsidRPr="004D1818">
        <w:rPr>
          <w:rFonts w:eastAsiaTheme="minorEastAsia"/>
        </w:rPr>
        <w:t xml:space="preserve"> variant</w:t>
      </w:r>
      <w:r w:rsidRPr="004D1818">
        <w:t xml:space="preserve"> (hydrophilic, blue) in the HLA-A P4 pocket.</w:t>
      </w:r>
      <w:r w:rsidRPr="004D1818">
        <w:rPr>
          <w:rFonts w:eastAsiaTheme="minorEastAsia"/>
        </w:rPr>
        <w:t xml:space="preserve"> </w:t>
      </w:r>
      <w:r w:rsidRPr="004D1818">
        <w:rPr>
          <w:b/>
          <w:bCs/>
        </w:rPr>
        <w:t>(</w:t>
      </w:r>
      <w:r w:rsidRPr="004D1818">
        <w:rPr>
          <w:rFonts w:eastAsiaTheme="minorEastAsia"/>
          <w:b/>
          <w:bCs/>
        </w:rPr>
        <w:t>B</w:t>
      </w:r>
      <w:r w:rsidRPr="004D1818">
        <w:rPr>
          <w:b/>
          <w:bCs/>
        </w:rPr>
        <w:t>-</w:t>
      </w:r>
      <w:r w:rsidRPr="004D1818">
        <w:rPr>
          <w:rFonts w:eastAsiaTheme="minorEastAsia"/>
          <w:b/>
          <w:bCs/>
        </w:rPr>
        <w:t>C</w:t>
      </w:r>
      <w:r w:rsidRPr="004D1818">
        <w:rPr>
          <w:b/>
          <w:bCs/>
        </w:rPr>
        <w:t>)</w:t>
      </w:r>
      <w:r w:rsidRPr="004D1818">
        <w:t xml:space="preserve"> Impaired HBsAg binding capacity of</w:t>
      </w:r>
      <w:r w:rsidRPr="004D1818">
        <w:rPr>
          <w:rFonts w:eastAsiaTheme="minorEastAsia"/>
        </w:rPr>
        <w:t xml:space="preserve"> HLA-A</w:t>
      </w:r>
      <w:r w:rsidRPr="004D1818">
        <w:t xml:space="preserve"> Asp114 variant (A*66:01) vs. Ala114 (A</w:t>
      </w:r>
      <w:r w:rsidRPr="004D1818">
        <w:rPr>
          <w:rFonts w:eastAsiaTheme="minorEastAsia"/>
        </w:rPr>
        <w:t>*</w:t>
      </w:r>
      <w:r w:rsidRPr="004D1818">
        <w:t>69:01).</w:t>
      </w:r>
      <w:r w:rsidRPr="004D1818">
        <w:rPr>
          <w:rFonts w:eastAsiaTheme="minorEastAsia"/>
        </w:rPr>
        <w:t xml:space="preserve"> </w:t>
      </w:r>
      <w:r w:rsidRPr="004D1818">
        <w:rPr>
          <w:b/>
          <w:bCs/>
        </w:rPr>
        <w:t>(</w:t>
      </w:r>
      <w:r w:rsidRPr="004D1818">
        <w:rPr>
          <w:rFonts w:eastAsiaTheme="minorEastAsia"/>
          <w:b/>
          <w:bCs/>
        </w:rPr>
        <w:t>B</w:t>
      </w:r>
      <w:r w:rsidRPr="004D1818">
        <w:rPr>
          <w:b/>
          <w:bCs/>
        </w:rPr>
        <w:t>)</w:t>
      </w:r>
      <w:r w:rsidRPr="004D1818">
        <w:t xml:space="preserve"> </w:t>
      </w:r>
      <w:r w:rsidRPr="004D1818">
        <w:rPr>
          <w:rFonts w:eastAsiaTheme="minorEastAsia"/>
        </w:rPr>
        <w:t>Scatter plot showing reduced complex</w:t>
      </w:r>
      <w:r w:rsidRPr="004D1818">
        <w:t xml:space="preserve"> half-life</w:t>
      </w:r>
      <w:r w:rsidRPr="004D1818">
        <w:rPr>
          <w:rFonts w:eastAsiaTheme="minorEastAsia"/>
        </w:rPr>
        <w:t xml:space="preserve"> (Thalf) for A*66:01 compared to A*69:01</w:t>
      </w:r>
      <w:r w:rsidRPr="004D1818">
        <w:t xml:space="preserve"> (</w:t>
      </w:r>
      <w:r w:rsidRPr="004D1818">
        <w:rPr>
          <w:rFonts w:eastAsiaTheme="minorEastAsia"/>
        </w:rPr>
        <w:t xml:space="preserve">t=-8.61, </w:t>
      </w:r>
      <w:r w:rsidRPr="004D1818">
        <w:t>P&lt;0.001, NetMHCstabpan</w:t>
      </w:r>
      <w:r w:rsidRPr="004D1818">
        <w:rPr>
          <w:rFonts w:eastAsiaTheme="minorEastAsia"/>
        </w:rPr>
        <w:t xml:space="preserve"> prediction</w:t>
      </w:r>
      <w:r w:rsidRPr="004D1818">
        <w:t>).</w:t>
      </w:r>
      <w:r w:rsidRPr="004D1818">
        <w:rPr>
          <w:rFonts w:eastAsiaTheme="minorEastAsia"/>
        </w:rPr>
        <w:t xml:space="preserve"> Each dot represents an IEDB-curated HBsAg epitope (8-12 aa) from HBV genotype B/C, colored by epitope length.</w:t>
      </w:r>
      <w:r w:rsidRPr="004D1818">
        <w:t xml:space="preserve"> </w:t>
      </w:r>
      <w:r w:rsidRPr="004D1818">
        <w:rPr>
          <w:b/>
          <w:bCs/>
        </w:rPr>
        <w:t>(</w:t>
      </w:r>
      <w:r w:rsidRPr="004D1818">
        <w:rPr>
          <w:rFonts w:eastAsiaTheme="minorEastAsia"/>
          <w:b/>
          <w:bCs/>
        </w:rPr>
        <w:t>C</w:t>
      </w:r>
      <w:r w:rsidRPr="004D1818">
        <w:rPr>
          <w:b/>
          <w:bCs/>
        </w:rPr>
        <w:t>)</w:t>
      </w:r>
      <w:r w:rsidRPr="004D1818">
        <w:t xml:space="preserve"> </w:t>
      </w:r>
      <w:r w:rsidRPr="004D1818">
        <w:rPr>
          <w:rFonts w:eastAsiaTheme="minorEastAsia"/>
        </w:rPr>
        <w:t>A*66:01 showing d</w:t>
      </w:r>
      <w:r w:rsidRPr="004D1818">
        <w:t>ecreased binding affinity (</w:t>
      </w:r>
      <w:r w:rsidRPr="004D1818">
        <w:rPr>
          <w:rFonts w:eastAsiaTheme="minorEastAsia"/>
        </w:rPr>
        <w:t xml:space="preserve">t=-7.62, </w:t>
      </w:r>
      <w:r w:rsidRPr="004D1818">
        <w:t>P&lt;0.001, NetMHCpa</w:t>
      </w:r>
      <w:r w:rsidRPr="004D1818">
        <w:rPr>
          <w:rFonts w:eastAsiaTheme="minorEastAsia"/>
        </w:rPr>
        <w:t>n</w:t>
      </w:r>
      <w:r w:rsidRPr="004D1818">
        <w:t xml:space="preserve">). </w:t>
      </w:r>
      <w:r w:rsidRPr="004D1818">
        <w:rPr>
          <w:b/>
          <w:bCs/>
        </w:rPr>
        <w:t>(</w:t>
      </w:r>
      <w:r w:rsidRPr="004D1818">
        <w:rPr>
          <w:rFonts w:eastAsiaTheme="minorEastAsia"/>
          <w:b/>
          <w:bCs/>
        </w:rPr>
        <w:t>D</w:t>
      </w:r>
      <w:r w:rsidRPr="004D1818">
        <w:rPr>
          <w:b/>
          <w:bCs/>
        </w:rPr>
        <w:t>)</w:t>
      </w:r>
      <w:r w:rsidRPr="004D1818">
        <w:t>​​ Significant</w:t>
      </w:r>
      <w:r w:rsidRPr="004D1818">
        <w:rPr>
          <w:rFonts w:eastAsiaTheme="minorEastAsia"/>
        </w:rPr>
        <w:t xml:space="preserve"> lower</w:t>
      </w:r>
      <w:r w:rsidRPr="004D1818">
        <w:t xml:space="preserve"> </w:t>
      </w:r>
      <w:r w:rsidRPr="004D1818">
        <w:rPr>
          <w:rFonts w:eastAsiaTheme="minorEastAsia"/>
        </w:rPr>
        <w:t>peptide-MHC affinity (MHCflurry)</w:t>
      </w:r>
      <w:r w:rsidRPr="004D1818">
        <w:t xml:space="preserve"> for Asp114</w:t>
      </w:r>
      <w:r w:rsidRPr="004D1818">
        <w:rPr>
          <w:rFonts w:eastAsiaTheme="minorEastAsia"/>
        </w:rPr>
        <w:t xml:space="preserve"> variant</w:t>
      </w:r>
      <w:r w:rsidRPr="004D1818">
        <w:t xml:space="preserve"> </w:t>
      </w:r>
      <w:r w:rsidRPr="004D1818">
        <w:rPr>
          <w:rFonts w:eastAsiaTheme="minorEastAsia"/>
        </w:rPr>
        <w:t>(</w:t>
      </w:r>
      <w:r w:rsidRPr="004D1818">
        <w:t>A*66:01</w:t>
      </w:r>
      <w:r w:rsidRPr="004D1818">
        <w:rPr>
          <w:rFonts w:eastAsiaTheme="minorEastAsia"/>
        </w:rPr>
        <w:t>) vs. Ala114 variant (</w:t>
      </w:r>
      <w:r w:rsidRPr="004D1818">
        <w:t>A*68:01</w:t>
      </w:r>
      <w:r w:rsidRPr="004D1818">
        <w:rPr>
          <w:rFonts w:eastAsiaTheme="minorEastAsia"/>
        </w:rPr>
        <w:t>)</w:t>
      </w:r>
      <w:r w:rsidRPr="004D1818">
        <w:t xml:space="preserve"> </w:t>
      </w:r>
      <w:r w:rsidRPr="004D1818">
        <w:rPr>
          <w:rFonts w:eastAsiaTheme="minorEastAsia"/>
        </w:rPr>
        <w:t xml:space="preserve">for HBsAg epitopes with A*68:01 BA score&gt;0.25 </w:t>
      </w:r>
      <w:r w:rsidRPr="004D1818">
        <w:t>(paired Wilcoxon signed-rank test</w:t>
      </w:r>
      <w:r w:rsidRPr="004D1818">
        <w:rPr>
          <w:rFonts w:eastAsiaTheme="minorEastAsia"/>
        </w:rPr>
        <w:t xml:space="preserve">, V=349, </w:t>
      </w:r>
      <w:r w:rsidRPr="004D1818">
        <w:t>P&lt;0.001)</w:t>
      </w:r>
      <w:r w:rsidRPr="004D1818">
        <w:rPr>
          <w:rFonts w:eastAsiaTheme="minorEastAsia"/>
        </w:rPr>
        <w:t>. Boxplots with paired points (log10 nM).</w:t>
      </w:r>
      <w:r w:rsidRPr="004D1818">
        <w:rPr>
          <w:b/>
          <w:bCs/>
        </w:rPr>
        <w:t xml:space="preserve"> (</w:t>
      </w:r>
      <w:r w:rsidRPr="004D1818">
        <w:rPr>
          <w:rFonts w:eastAsiaTheme="minorEastAsia"/>
          <w:b/>
          <w:bCs/>
        </w:rPr>
        <w:t>E</w:t>
      </w:r>
      <w:r w:rsidRPr="004D1818">
        <w:rPr>
          <w:b/>
          <w:bCs/>
        </w:rPr>
        <w:t>-</w:t>
      </w:r>
      <w:r w:rsidRPr="004D1818">
        <w:rPr>
          <w:rFonts w:eastAsiaTheme="minorEastAsia"/>
          <w:b/>
          <w:bCs/>
        </w:rPr>
        <w:t>F</w:t>
      </w:r>
      <w:r w:rsidRPr="004D1818">
        <w:rPr>
          <w:b/>
          <w:bCs/>
        </w:rPr>
        <w:t>)</w:t>
      </w:r>
      <w:r w:rsidRPr="004D1818">
        <w:t xml:space="preserve"> MHCflurry evaluation for HBsAg epitopes (BA score&gt;0.25 for A*69:01). </w:t>
      </w:r>
      <w:r w:rsidRPr="004D1818">
        <w:rPr>
          <w:b/>
          <w:bCs/>
        </w:rPr>
        <w:t>(</w:t>
      </w:r>
      <w:r w:rsidRPr="004D1818">
        <w:rPr>
          <w:rFonts w:eastAsiaTheme="minorEastAsia"/>
          <w:b/>
          <w:bCs/>
        </w:rPr>
        <w:t>E</w:t>
      </w:r>
      <w:r w:rsidRPr="004D1818">
        <w:rPr>
          <w:b/>
          <w:bCs/>
        </w:rPr>
        <w:t>)</w:t>
      </w:r>
      <w:r w:rsidRPr="004D1818">
        <w:t xml:space="preserve"> Heatmap</w:t>
      </w:r>
      <w:r w:rsidRPr="004D1818">
        <w:rPr>
          <w:rFonts w:eastAsiaTheme="minorEastAsia"/>
        </w:rPr>
        <w:t xml:space="preserve"> of HBsAg epitopes (</w:t>
      </w:r>
      <w:r w:rsidRPr="004D1818">
        <w:t>BA score&gt;0.25 for A*6</w:t>
      </w:r>
      <w:r w:rsidRPr="004D1818">
        <w:rPr>
          <w:rFonts w:eastAsiaTheme="minorEastAsia"/>
        </w:rPr>
        <w:t>9</w:t>
      </w:r>
      <w:r w:rsidRPr="004D1818">
        <w:t>:01</w:t>
      </w:r>
      <w:r w:rsidRPr="004D1818">
        <w:rPr>
          <w:rFonts w:eastAsiaTheme="minorEastAsia"/>
        </w:rPr>
        <w:t>)</w:t>
      </w:r>
      <w:r w:rsidRPr="004D1818">
        <w:t xml:space="preserve"> </w:t>
      </w:r>
      <w:r w:rsidRPr="004D1818">
        <w:rPr>
          <w:rFonts w:eastAsiaTheme="minorEastAsia"/>
        </w:rPr>
        <w:t xml:space="preserve">with </w:t>
      </w:r>
      <w:r w:rsidRPr="004D1818">
        <w:t>color intensity representing MHCflurry affinity value (nM) and numerical values showing NetMHCpan BA scores.</w:t>
      </w:r>
      <w:r w:rsidRPr="004D1818">
        <w:rPr>
          <w:b/>
          <w:bCs/>
        </w:rPr>
        <w:t xml:space="preserve"> (</w:t>
      </w:r>
      <w:r w:rsidRPr="004D1818">
        <w:rPr>
          <w:rFonts w:eastAsiaTheme="minorEastAsia"/>
          <w:b/>
          <w:bCs/>
        </w:rPr>
        <w:t>F</w:t>
      </w:r>
      <w:r w:rsidRPr="004D1818">
        <w:rPr>
          <w:b/>
          <w:bCs/>
        </w:rPr>
        <w:t>)</w:t>
      </w:r>
      <w:r w:rsidRPr="004D1818">
        <w:t xml:space="preserve"> </w:t>
      </w:r>
      <w:bookmarkStart w:id="2" w:name="_Hlk198126992"/>
      <w:r w:rsidRPr="004D1818">
        <w:t>Significant affinity reduction for A*66:01 (paired Wilcoxon signed-rank test</w:t>
      </w:r>
      <w:r w:rsidRPr="004D1818">
        <w:rPr>
          <w:rFonts w:eastAsiaTheme="minorEastAsia"/>
        </w:rPr>
        <w:t xml:space="preserve">, V=1,464, </w:t>
      </w:r>
      <w:r w:rsidRPr="004D1818">
        <w:t>P&lt;0.001</w:t>
      </w:r>
      <w:r w:rsidRPr="004D1818">
        <w:rPr>
          <w:rFonts w:eastAsiaTheme="minorEastAsia"/>
        </w:rPr>
        <w:t>, MHCflurry</w:t>
      </w:r>
      <w:r w:rsidRPr="004D1818">
        <w:t>)</w:t>
      </w:r>
      <w:bookmarkEnd w:id="2"/>
      <w:r w:rsidRPr="004D1818">
        <w:t xml:space="preserve">. </w:t>
      </w:r>
      <w:r w:rsidRPr="004D1818">
        <w:rPr>
          <w:b/>
          <w:bCs/>
        </w:rPr>
        <w:t>(G)</w:t>
      </w:r>
      <w:r w:rsidRPr="004D1818">
        <w:t xml:space="preserve">​​ </w:t>
      </w:r>
      <w:r w:rsidRPr="004D1818">
        <w:rPr>
          <w:rFonts w:eastAsiaTheme="minorEastAsia"/>
        </w:rPr>
        <w:t xml:space="preserve">For anti-HBs&lt;100 mIU/mL, no significant difference in anti-HBs levels was observed between C allele carriers </w:t>
      </w:r>
      <w:r w:rsidRPr="004D1818">
        <w:t>(n=57, median</w:t>
      </w:r>
      <w:r w:rsidRPr="004D1818">
        <w:rPr>
          <w:rFonts w:eastAsiaTheme="minorEastAsia"/>
        </w:rPr>
        <w:t>=</w:t>
      </w:r>
      <w:r w:rsidRPr="004D1818">
        <w:t>7.99 mIU/mL</w:t>
      </w:r>
      <w:r w:rsidR="00DF7236">
        <w:rPr>
          <w:rFonts w:hint="eastAsia"/>
        </w:rPr>
        <w:t>; associated with high OBI susceptibility</w:t>
      </w:r>
      <w:r w:rsidRPr="004D1818">
        <w:t>)</w:t>
      </w:r>
      <w:r w:rsidRPr="004D1818">
        <w:rPr>
          <w:rFonts w:eastAsiaTheme="minorEastAsia"/>
        </w:rPr>
        <w:t xml:space="preserve"> and</w:t>
      </w:r>
      <w:r w:rsidRPr="004D1818">
        <w:t xml:space="preserve"> AA </w:t>
      </w:r>
      <w:r w:rsidRPr="004D1818">
        <w:rPr>
          <w:rFonts w:eastAsiaTheme="minorEastAsia"/>
        </w:rPr>
        <w:t xml:space="preserve">homozygotes </w:t>
      </w:r>
      <w:r w:rsidRPr="004D1818">
        <w:t>(n=8, median</w:t>
      </w:r>
      <w:r w:rsidRPr="004D1818">
        <w:rPr>
          <w:rFonts w:eastAsiaTheme="minorEastAsia"/>
        </w:rPr>
        <w:t>=</w:t>
      </w:r>
      <w:r w:rsidRPr="004D1818">
        <w:t>9.83 mIU/mL)</w:t>
      </w:r>
      <w:r w:rsidRPr="004D1818">
        <w:rPr>
          <w:rFonts w:eastAsiaTheme="minorEastAsia"/>
        </w:rPr>
        <w:t xml:space="preserve"> among OBI cases</w:t>
      </w:r>
      <w:r w:rsidRPr="004D1818">
        <w:t xml:space="preserve"> (U=234, P=0.91</w:t>
      </w:r>
      <w:r w:rsidRPr="004D1818">
        <w:rPr>
          <w:rFonts w:eastAsiaTheme="minorEastAsia"/>
        </w:rPr>
        <w:t>)</w:t>
      </w:r>
      <w:r w:rsidRPr="004D1818">
        <w:t xml:space="preserve">. </w:t>
      </w:r>
      <w:r w:rsidRPr="004D1818">
        <w:rPr>
          <w:b/>
          <w:bCs/>
        </w:rPr>
        <w:t>(H)</w:t>
      </w:r>
      <w:r w:rsidRPr="004D1818">
        <w:t xml:space="preserve">​​ </w:t>
      </w:r>
      <w:r w:rsidRPr="004D1818">
        <w:rPr>
          <w:rFonts w:eastAsiaTheme="minorEastAsia"/>
        </w:rPr>
        <w:t>For</w:t>
      </w:r>
      <w:r w:rsidRPr="004D1818">
        <w:t xml:space="preserve"> anti-HBs</w:t>
      </w:r>
      <w:r w:rsidRPr="004D1818">
        <w:rPr>
          <w:rFonts w:eastAsiaTheme="minorEastAsia"/>
        </w:rPr>
        <w:t xml:space="preserve"> </w:t>
      </w:r>
      <w:r w:rsidRPr="004D1818">
        <w:t>≥100 mIU/mL</w:t>
      </w:r>
      <w:r w:rsidRPr="004D1818">
        <w:rPr>
          <w:rFonts w:eastAsiaTheme="minorEastAsia"/>
        </w:rPr>
        <w:t>, neither AA</w:t>
      </w:r>
      <w:r w:rsidRPr="004D1818">
        <w:t xml:space="preserve"> homozygote (n=5, median=216.0 mIU/mL) </w:t>
      </w:r>
      <w:r w:rsidRPr="004D1818">
        <w:rPr>
          <w:rFonts w:eastAsiaTheme="minorEastAsia"/>
        </w:rPr>
        <w:t>nor</w:t>
      </w:r>
      <w:r w:rsidRPr="004D1818">
        <w:t xml:space="preserve"> C</w:t>
      </w:r>
      <w:r w:rsidRPr="004D1818">
        <w:rPr>
          <w:rFonts w:eastAsiaTheme="minorEastAsia"/>
        </w:rPr>
        <w:t xml:space="preserve"> allele carriers</w:t>
      </w:r>
      <w:r w:rsidRPr="004D1818">
        <w:t xml:space="preserve"> (</w:t>
      </w:r>
      <w:r w:rsidRPr="004D1818">
        <w:rPr>
          <w:rFonts w:eastAsiaTheme="minorEastAsia"/>
        </w:rPr>
        <w:t>n=5, median=285.7 mIU/mL</w:t>
      </w:r>
      <w:r w:rsidRPr="004D1818">
        <w:t>)</w:t>
      </w:r>
      <w:r w:rsidRPr="004D1818">
        <w:rPr>
          <w:rFonts w:eastAsiaTheme="minorEastAsia"/>
        </w:rPr>
        <w:t xml:space="preserve"> showed a significant difference (U=12, P=1).</w:t>
      </w:r>
    </w:p>
    <w:p w14:paraId="254B7D58" w14:textId="77777777" w:rsidR="004333C3" w:rsidRPr="004D1818" w:rsidRDefault="004333C3" w:rsidP="004333C3">
      <w:pPr>
        <w:widowControl/>
        <w:spacing w:after="0" w:line="240" w:lineRule="auto"/>
        <w:jc w:val="center"/>
        <w:rPr>
          <w:noProof/>
          <w:sz w:val="20"/>
        </w:rPr>
      </w:pPr>
    </w:p>
    <w:p w14:paraId="5C14695E" w14:textId="77777777" w:rsidR="004333C3" w:rsidRPr="004D1818" w:rsidRDefault="004333C3" w:rsidP="004333C3">
      <w:pPr>
        <w:widowControl/>
        <w:spacing w:after="0" w:line="240" w:lineRule="auto"/>
        <w:jc w:val="center"/>
        <w:rPr>
          <w:noProof/>
          <w:sz w:val="20"/>
        </w:rPr>
      </w:pPr>
      <w:r w:rsidRPr="004D1818">
        <w:rPr>
          <w:noProof/>
          <w:sz w:val="20"/>
        </w:rPr>
        <w:lastRenderedPageBreak/>
        <w:drawing>
          <wp:inline distT="0" distB="0" distL="0" distR="0" wp14:anchorId="69DC2D61" wp14:editId="3EC5C704">
            <wp:extent cx="5224007" cy="2866692"/>
            <wp:effectExtent l="0" t="0" r="0" b="0"/>
            <wp:docPr id="123236867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38653" cy="2874729"/>
                    </a:xfrm>
                    <a:prstGeom prst="rect">
                      <a:avLst/>
                    </a:prstGeom>
                    <a:noFill/>
                  </pic:spPr>
                </pic:pic>
              </a:graphicData>
            </a:graphic>
          </wp:inline>
        </w:drawing>
      </w:r>
    </w:p>
    <w:p w14:paraId="161B112B" w14:textId="47268EDE" w:rsidR="004333C3" w:rsidRPr="004D1818" w:rsidRDefault="004333C3" w:rsidP="004333C3">
      <w:pPr>
        <w:pStyle w:val="afc"/>
        <w:rPr>
          <w:rFonts w:eastAsiaTheme="minorEastAsia"/>
        </w:rPr>
      </w:pPr>
      <w:r w:rsidRPr="004D1818">
        <w:rPr>
          <w:b/>
          <w:bCs/>
        </w:rPr>
        <w:t>Figure S</w:t>
      </w:r>
      <w:r w:rsidR="00C0201C">
        <w:rPr>
          <w:rFonts w:hint="eastAsia"/>
          <w:b/>
          <w:bCs/>
        </w:rPr>
        <w:t>3</w:t>
      </w:r>
      <w:r w:rsidRPr="004D1818">
        <w:rPr>
          <w:b/>
          <w:bCs/>
        </w:rPr>
        <w:t>. Functional impact of HLA-C Phe</w:t>
      </w:r>
      <w:r w:rsidRPr="004D1818">
        <w:rPr>
          <w:rFonts w:eastAsiaTheme="minorEastAsia"/>
          <w:b/>
          <w:bCs/>
        </w:rPr>
        <w:t>140</w:t>
      </w:r>
      <w:r w:rsidRPr="004D1818">
        <w:rPr>
          <w:b/>
          <w:bCs/>
        </w:rPr>
        <w:t xml:space="preserve"> varia</w:t>
      </w:r>
      <w:r w:rsidRPr="004D1818">
        <w:rPr>
          <w:rFonts w:eastAsiaTheme="minorEastAsia"/>
          <w:b/>
          <w:bCs/>
        </w:rPr>
        <w:t>nt (C*03:26)</w:t>
      </w:r>
      <w:r w:rsidRPr="004D1818">
        <w:rPr>
          <w:b/>
          <w:bCs/>
        </w:rPr>
        <w:t xml:space="preserve"> on HB</w:t>
      </w:r>
      <w:r w:rsidRPr="004D1818">
        <w:rPr>
          <w:rFonts w:eastAsiaTheme="minorEastAsia"/>
          <w:b/>
          <w:bCs/>
        </w:rPr>
        <w:t>sAg binding and anti-HBs antibody response</w:t>
      </w:r>
      <w:r w:rsidRPr="004D1818">
        <w:rPr>
          <w:b/>
          <w:bCs/>
        </w:rPr>
        <w:t>.​</w:t>
      </w:r>
      <w:r w:rsidRPr="004D1818">
        <w:t xml:space="preserve"> </w:t>
      </w:r>
      <w:r w:rsidRPr="004D1818">
        <w:rPr>
          <w:b/>
          <w:bCs/>
        </w:rPr>
        <w:t>(A</w:t>
      </w:r>
      <w:r w:rsidRPr="004D1818">
        <w:rPr>
          <w:rFonts w:eastAsiaTheme="minorEastAsia"/>
          <w:b/>
          <w:bCs/>
        </w:rPr>
        <w:t>-B</w:t>
      </w:r>
      <w:r w:rsidRPr="004D1818">
        <w:rPr>
          <w:b/>
          <w:bCs/>
        </w:rPr>
        <w:t>)</w:t>
      </w:r>
      <w:r w:rsidRPr="004D1818">
        <w:t xml:space="preserve"> </w:t>
      </w:r>
      <w:r w:rsidRPr="004D1818">
        <w:rPr>
          <w:rFonts w:eastAsiaTheme="minorEastAsia"/>
        </w:rPr>
        <w:t>Functional evaluation of HLA-C</w:t>
      </w:r>
      <w:r w:rsidRPr="004D1818">
        <w:t xml:space="preserve"> </w:t>
      </w:r>
      <w:r w:rsidRPr="004D1818">
        <w:rPr>
          <w:rFonts w:eastAsiaTheme="minorEastAsia"/>
        </w:rPr>
        <w:t>Phe</w:t>
      </w:r>
      <w:r w:rsidRPr="004D1818">
        <w:t>14</w:t>
      </w:r>
      <w:r w:rsidRPr="004D1818">
        <w:rPr>
          <w:rFonts w:eastAsiaTheme="minorEastAsia"/>
        </w:rPr>
        <w:t>0</w:t>
      </w:r>
      <w:r w:rsidRPr="004D1818">
        <w:t xml:space="preserve"> variant (</w:t>
      </w:r>
      <w:r w:rsidRPr="004D1818">
        <w:rPr>
          <w:rFonts w:eastAsiaTheme="minorEastAsia"/>
        </w:rPr>
        <w:t>C</w:t>
      </w:r>
      <w:r w:rsidRPr="004D1818">
        <w:t>*</w:t>
      </w:r>
      <w:r w:rsidRPr="004D1818">
        <w:rPr>
          <w:rFonts w:eastAsiaTheme="minorEastAsia"/>
        </w:rPr>
        <w:t>03</w:t>
      </w:r>
      <w:r w:rsidRPr="004D1818">
        <w:t>:</w:t>
      </w:r>
      <w:r w:rsidRPr="004D1818">
        <w:rPr>
          <w:rFonts w:eastAsiaTheme="minorEastAsia"/>
        </w:rPr>
        <w:t>26</w:t>
      </w:r>
      <w:r w:rsidR="0051551F">
        <w:rPr>
          <w:rFonts w:eastAsiaTheme="minorEastAsia" w:hint="eastAsia"/>
        </w:rPr>
        <w:t>; associated with low OBI susceptibility</w:t>
      </w:r>
      <w:r w:rsidRPr="004D1818">
        <w:t xml:space="preserve">) vs. </w:t>
      </w:r>
      <w:r w:rsidRPr="004D1818">
        <w:rPr>
          <w:rFonts w:eastAsiaTheme="minorEastAsia"/>
        </w:rPr>
        <w:t>Ser</w:t>
      </w:r>
      <w:r w:rsidRPr="004D1818">
        <w:t>14</w:t>
      </w:r>
      <w:r w:rsidRPr="004D1818">
        <w:rPr>
          <w:rFonts w:eastAsiaTheme="minorEastAsia"/>
        </w:rPr>
        <w:t>0</w:t>
      </w:r>
      <w:r w:rsidRPr="004D1818">
        <w:t xml:space="preserve"> (</w:t>
      </w:r>
      <w:r w:rsidRPr="004D1818">
        <w:rPr>
          <w:rFonts w:eastAsiaTheme="minorEastAsia"/>
        </w:rPr>
        <w:t>C*03</w:t>
      </w:r>
      <w:r w:rsidRPr="004D1818">
        <w:t>:</w:t>
      </w:r>
      <w:r w:rsidRPr="004D1818">
        <w:rPr>
          <w:rFonts w:eastAsiaTheme="minorEastAsia"/>
        </w:rPr>
        <w:t>40</w:t>
      </w:r>
      <w:r w:rsidRPr="004D1818">
        <w:t>)</w:t>
      </w:r>
      <w:r w:rsidRPr="004D1818">
        <w:rPr>
          <w:rFonts w:eastAsiaTheme="minorEastAsia"/>
        </w:rPr>
        <w:t xml:space="preserve">. </w:t>
      </w:r>
      <w:r w:rsidRPr="004D1818">
        <w:rPr>
          <w:b/>
          <w:bCs/>
        </w:rPr>
        <w:t>(</w:t>
      </w:r>
      <w:r w:rsidRPr="004D1818">
        <w:rPr>
          <w:rFonts w:eastAsiaTheme="minorEastAsia"/>
          <w:b/>
          <w:bCs/>
        </w:rPr>
        <w:t>A</w:t>
      </w:r>
      <w:r w:rsidRPr="004D1818">
        <w:rPr>
          <w:b/>
          <w:bCs/>
        </w:rPr>
        <w:t>)</w:t>
      </w:r>
      <w:r w:rsidRPr="004D1818">
        <w:rPr>
          <w:rFonts w:eastAsiaTheme="minorEastAsia"/>
        </w:rPr>
        <w:t xml:space="preserve"> Scatter plot showing d</w:t>
      </w:r>
      <w:r w:rsidRPr="004D1818">
        <w:t>ecreased binding affinity</w:t>
      </w:r>
      <w:r w:rsidRPr="004D1818">
        <w:rPr>
          <w:rFonts w:eastAsiaTheme="minorEastAsia"/>
        </w:rPr>
        <w:t xml:space="preserve"> for C*03:26 compared to C*03:40</w:t>
      </w:r>
      <w:r w:rsidRPr="004D1818">
        <w:t xml:space="preserve"> (</w:t>
      </w:r>
      <w:r w:rsidRPr="004D1818">
        <w:rPr>
          <w:rFonts w:eastAsiaTheme="minorEastAsia"/>
        </w:rPr>
        <w:t xml:space="preserve">t=-18.37, </w:t>
      </w:r>
      <w:r w:rsidRPr="004D1818">
        <w:t>P&lt;0.001, NetMHCpa</w:t>
      </w:r>
      <w:r w:rsidRPr="004D1818">
        <w:rPr>
          <w:rFonts w:eastAsiaTheme="minorEastAsia"/>
        </w:rPr>
        <w:t>n prediction</w:t>
      </w:r>
      <w:r w:rsidRPr="004D1818">
        <w:t>).</w:t>
      </w:r>
      <w:r w:rsidRPr="004D1818">
        <w:rPr>
          <w:rFonts w:eastAsiaTheme="minorEastAsia"/>
        </w:rPr>
        <w:t xml:space="preserve"> Each dot represents an IEDB-curated HBsAg epitope (8-12 aa) from HBV genotype B/C, colored by epitope length. </w:t>
      </w:r>
      <w:r w:rsidRPr="004D1818">
        <w:rPr>
          <w:b/>
          <w:bCs/>
        </w:rPr>
        <w:t>(B)</w:t>
      </w:r>
      <w:r w:rsidRPr="004D1818">
        <w:t xml:space="preserve"> </w:t>
      </w:r>
      <w:r w:rsidRPr="004D1818">
        <w:rPr>
          <w:rFonts w:eastAsiaTheme="minorEastAsia"/>
        </w:rPr>
        <w:t>For HBsAg epitopes with BA score&gt;0.25 for C*04:40, no significant difference in MHCflurry affinity values was observed between C*03:26 and C*03:40 (</w:t>
      </w:r>
      <w:r w:rsidRPr="004D1818">
        <w:t>paired Wilcoxon signed-rank test</w:t>
      </w:r>
      <w:r w:rsidRPr="004D1818">
        <w:rPr>
          <w:rFonts w:eastAsiaTheme="minorEastAsia"/>
        </w:rPr>
        <w:t xml:space="preserve">, V=1,134, </w:t>
      </w:r>
      <w:r w:rsidRPr="004D1818">
        <w:t>P</w:t>
      </w:r>
      <w:r w:rsidRPr="004D1818">
        <w:rPr>
          <w:rFonts w:eastAsiaTheme="minorEastAsia"/>
        </w:rPr>
        <w:t xml:space="preserve">=0.53). </w:t>
      </w:r>
      <w:r w:rsidRPr="004D1818">
        <w:rPr>
          <w:b/>
          <w:bCs/>
        </w:rPr>
        <w:t>(</w:t>
      </w:r>
      <w:r w:rsidRPr="004D1818">
        <w:rPr>
          <w:rFonts w:eastAsiaTheme="minorEastAsia"/>
          <w:b/>
          <w:bCs/>
        </w:rPr>
        <w:t>C-E</w:t>
      </w:r>
      <w:r w:rsidRPr="004D1818">
        <w:rPr>
          <w:b/>
          <w:bCs/>
        </w:rPr>
        <w:t>)</w:t>
      </w:r>
      <w:r w:rsidRPr="004D1818">
        <w:t xml:space="preserve"> </w:t>
      </w:r>
      <w:r w:rsidRPr="004D1818">
        <w:rPr>
          <w:rFonts w:eastAsiaTheme="minorEastAsia"/>
        </w:rPr>
        <w:t>Comparison of anti-HBs level between HLA-C Phe140 homozygotes (TT genotype</w:t>
      </w:r>
      <w:r w:rsidR="0051551F">
        <w:rPr>
          <w:rFonts w:eastAsiaTheme="minorEastAsia" w:hint="eastAsia"/>
        </w:rPr>
        <w:t>; associated with low OBI susceptibility</w:t>
      </w:r>
      <w:r w:rsidRPr="004D1818">
        <w:rPr>
          <w:rFonts w:eastAsiaTheme="minorEastAsia"/>
        </w:rPr>
        <w:t>) and CT/CC genotypes</w:t>
      </w:r>
      <w:r w:rsidRPr="004D1818">
        <w:t>.</w:t>
      </w:r>
      <w:r w:rsidRPr="004D1818">
        <w:rPr>
          <w:rFonts w:eastAsiaTheme="minorEastAsia"/>
        </w:rPr>
        <w:t xml:space="preserve"> </w:t>
      </w:r>
      <w:r w:rsidRPr="004D1818">
        <w:rPr>
          <w:rFonts w:eastAsiaTheme="minorEastAsia"/>
          <w:b/>
          <w:bCs/>
        </w:rPr>
        <w:t>(C)</w:t>
      </w:r>
      <w:r w:rsidRPr="004D1818">
        <w:rPr>
          <w:rFonts w:eastAsiaTheme="minorEastAsia"/>
        </w:rPr>
        <w:t xml:space="preserve"> For anti-HBs&lt;100 mIU/mL, no difference between CT/CC </w:t>
      </w:r>
      <w:r w:rsidRPr="004D1818">
        <w:t>(n=</w:t>
      </w:r>
      <w:r w:rsidRPr="004D1818">
        <w:rPr>
          <w:rFonts w:eastAsiaTheme="minorEastAsia"/>
        </w:rPr>
        <w:t>47</w:t>
      </w:r>
      <w:r w:rsidRPr="004D1818">
        <w:t>, median</w:t>
      </w:r>
      <w:r w:rsidRPr="004D1818">
        <w:rPr>
          <w:rFonts w:eastAsiaTheme="minorEastAsia"/>
        </w:rPr>
        <w:t>=1.27</w:t>
      </w:r>
      <w:r w:rsidRPr="004D1818">
        <w:t xml:space="preserve"> mIU/mL)</w:t>
      </w:r>
      <w:r w:rsidRPr="004D1818">
        <w:rPr>
          <w:rFonts w:eastAsiaTheme="minorEastAsia"/>
        </w:rPr>
        <w:t xml:space="preserve"> and</w:t>
      </w:r>
      <w:r w:rsidRPr="004D1818">
        <w:t xml:space="preserve"> </w:t>
      </w:r>
      <w:r w:rsidRPr="004D1818">
        <w:rPr>
          <w:rFonts w:eastAsiaTheme="minorEastAsia"/>
        </w:rPr>
        <w:t>TT</w:t>
      </w:r>
      <w:r w:rsidRPr="004D1818">
        <w:t xml:space="preserve"> (n=</w:t>
      </w:r>
      <w:r w:rsidRPr="004D1818">
        <w:rPr>
          <w:rFonts w:eastAsiaTheme="minorEastAsia"/>
        </w:rPr>
        <w:t>13</w:t>
      </w:r>
      <w:r w:rsidRPr="004D1818">
        <w:t>, median</w:t>
      </w:r>
      <w:r w:rsidRPr="004D1818">
        <w:rPr>
          <w:rFonts w:eastAsiaTheme="minorEastAsia"/>
        </w:rPr>
        <w:t>=0.78</w:t>
      </w:r>
      <w:r w:rsidRPr="004D1818">
        <w:t xml:space="preserve"> mIU/mL</w:t>
      </w:r>
      <w:r w:rsidRPr="004D1818">
        <w:rPr>
          <w:rFonts w:eastAsiaTheme="minorEastAsia"/>
        </w:rPr>
        <w:t>)</w:t>
      </w:r>
      <w:r w:rsidRPr="004D1818">
        <w:t xml:space="preserve"> </w:t>
      </w:r>
      <w:r w:rsidRPr="004D1818">
        <w:rPr>
          <w:rFonts w:eastAsiaTheme="minorEastAsia"/>
        </w:rPr>
        <w:t xml:space="preserve">(Mann-Whitney </w:t>
      </w:r>
      <w:r w:rsidRPr="004D1818">
        <w:t>U=</w:t>
      </w:r>
      <w:r w:rsidRPr="004D1818">
        <w:rPr>
          <w:rFonts w:eastAsiaTheme="minorEastAsia"/>
        </w:rPr>
        <w:t>275</w:t>
      </w:r>
      <w:r w:rsidRPr="004D1818">
        <w:t>, P=0.</w:t>
      </w:r>
      <w:r w:rsidRPr="004D1818">
        <w:rPr>
          <w:rFonts w:eastAsiaTheme="minorEastAsia"/>
        </w:rPr>
        <w:t>59)</w:t>
      </w:r>
      <w:r w:rsidRPr="004D1818">
        <w:t>.</w:t>
      </w:r>
      <w:r w:rsidRPr="004D1818">
        <w:rPr>
          <w:rFonts w:eastAsiaTheme="minorEastAsia"/>
        </w:rPr>
        <w:t xml:space="preserve"> </w:t>
      </w:r>
      <w:r w:rsidRPr="004D1818">
        <w:rPr>
          <w:rFonts w:eastAsiaTheme="minorEastAsia"/>
          <w:b/>
          <w:bCs/>
        </w:rPr>
        <w:t>(D)</w:t>
      </w:r>
      <w:r w:rsidRPr="004D1818">
        <w:rPr>
          <w:rFonts w:eastAsiaTheme="minorEastAsia"/>
        </w:rPr>
        <w:t xml:space="preserve"> Consistent null associations in both chornic HBsAg+ (P=0.33) and OBI groups (P=0.51). </w:t>
      </w:r>
      <w:r w:rsidRPr="004D1818">
        <w:rPr>
          <w:rFonts w:eastAsiaTheme="minorEastAsia"/>
          <w:b/>
          <w:bCs/>
        </w:rPr>
        <w:t>(E)</w:t>
      </w:r>
      <w:r w:rsidRPr="004D1818">
        <w:rPr>
          <w:rFonts w:eastAsiaTheme="minorEastAsia"/>
        </w:rPr>
        <w:t xml:space="preserve"> For anti-HBs&gt;100 mIU/mL, no statistical difference between CT/CC </w:t>
      </w:r>
      <w:r w:rsidRPr="004D1818">
        <w:t>(n=</w:t>
      </w:r>
      <w:r w:rsidRPr="004D1818">
        <w:rPr>
          <w:rFonts w:eastAsiaTheme="minorEastAsia"/>
        </w:rPr>
        <w:t>4</w:t>
      </w:r>
      <w:r w:rsidRPr="004D1818">
        <w:t>, median</w:t>
      </w:r>
      <w:r w:rsidRPr="004D1818">
        <w:rPr>
          <w:rFonts w:eastAsiaTheme="minorEastAsia"/>
        </w:rPr>
        <w:t>=216.25</w:t>
      </w:r>
      <w:r w:rsidRPr="004D1818">
        <w:t xml:space="preserve"> mIU/mL)</w:t>
      </w:r>
      <w:r w:rsidRPr="004D1818">
        <w:rPr>
          <w:rFonts w:eastAsiaTheme="minorEastAsia"/>
        </w:rPr>
        <w:t xml:space="preserve"> and</w:t>
      </w:r>
      <w:r w:rsidRPr="004D1818">
        <w:t xml:space="preserve"> </w:t>
      </w:r>
      <w:r w:rsidRPr="004D1818">
        <w:rPr>
          <w:rFonts w:eastAsiaTheme="minorEastAsia"/>
        </w:rPr>
        <w:t xml:space="preserve">TT </w:t>
      </w:r>
      <w:r w:rsidRPr="004D1818">
        <w:t>(n=</w:t>
      </w:r>
      <w:r w:rsidRPr="004D1818">
        <w:rPr>
          <w:rFonts w:eastAsiaTheme="minorEastAsia"/>
        </w:rPr>
        <w:t>2</w:t>
      </w:r>
      <w:r w:rsidRPr="004D1818">
        <w:t>, median</w:t>
      </w:r>
      <w:r w:rsidRPr="004D1818">
        <w:rPr>
          <w:rFonts w:eastAsiaTheme="minorEastAsia"/>
        </w:rPr>
        <w:t>=412.36</w:t>
      </w:r>
      <w:r w:rsidRPr="004D1818">
        <w:t xml:space="preserve"> mIU/mL</w:t>
      </w:r>
      <w:r w:rsidRPr="004D1818">
        <w:rPr>
          <w:rFonts w:eastAsiaTheme="minorEastAsia"/>
        </w:rPr>
        <w:t>)</w:t>
      </w:r>
      <w:r w:rsidRPr="004D1818">
        <w:t xml:space="preserve"> </w:t>
      </w:r>
      <w:r w:rsidRPr="004D1818">
        <w:rPr>
          <w:rFonts w:eastAsiaTheme="minorEastAsia"/>
        </w:rPr>
        <w:t>(</w:t>
      </w:r>
      <w:r w:rsidRPr="004D1818">
        <w:t>U=</w:t>
      </w:r>
      <w:r w:rsidRPr="004D1818">
        <w:rPr>
          <w:rFonts w:eastAsiaTheme="minorEastAsia"/>
        </w:rPr>
        <w:t>6</w:t>
      </w:r>
      <w:r w:rsidRPr="004D1818">
        <w:t>, P=0.</w:t>
      </w:r>
      <w:r w:rsidRPr="004D1818">
        <w:rPr>
          <w:rFonts w:eastAsiaTheme="minorEastAsia"/>
        </w:rPr>
        <w:t xml:space="preserve">53). </w:t>
      </w:r>
    </w:p>
    <w:p w14:paraId="276E662E" w14:textId="77777777" w:rsidR="004333C3" w:rsidRPr="004D1818" w:rsidRDefault="004333C3" w:rsidP="004333C3">
      <w:pPr>
        <w:pStyle w:val="afc"/>
        <w:rPr>
          <w:rFonts w:eastAsiaTheme="minorEastAsia"/>
          <w:b/>
          <w:bCs/>
        </w:rPr>
      </w:pPr>
    </w:p>
    <w:p w14:paraId="5152B818" w14:textId="77777777" w:rsidR="004333C3" w:rsidRPr="004D1818" w:rsidRDefault="004333C3" w:rsidP="004333C3">
      <w:pPr>
        <w:pStyle w:val="afc"/>
        <w:rPr>
          <w:rFonts w:eastAsiaTheme="minorEastAsia"/>
          <w:b/>
          <w:bCs/>
        </w:rPr>
      </w:pPr>
      <w:r w:rsidRPr="004D1818">
        <w:rPr>
          <w:rFonts w:eastAsiaTheme="minorEastAsia"/>
          <w:b/>
          <w:bCs/>
        </w:rPr>
        <w:lastRenderedPageBreak/>
        <w:drawing>
          <wp:inline distT="0" distB="0" distL="0" distR="0" wp14:anchorId="4470CA0E" wp14:editId="3604609D">
            <wp:extent cx="5245708" cy="4123746"/>
            <wp:effectExtent l="0" t="0" r="0" b="0"/>
            <wp:docPr id="211037819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7248" cy="4132818"/>
                    </a:xfrm>
                    <a:prstGeom prst="rect">
                      <a:avLst/>
                    </a:prstGeom>
                    <a:noFill/>
                  </pic:spPr>
                </pic:pic>
              </a:graphicData>
            </a:graphic>
          </wp:inline>
        </w:drawing>
      </w:r>
    </w:p>
    <w:p w14:paraId="6D6D5233" w14:textId="1B55B56D" w:rsidR="001C2BB7" w:rsidRDefault="004333C3" w:rsidP="004333C3">
      <w:pPr>
        <w:pStyle w:val="afc"/>
        <w:rPr>
          <w:rFonts w:eastAsiaTheme="minorEastAsia"/>
        </w:rPr>
      </w:pPr>
      <w:r w:rsidRPr="004D1818">
        <w:rPr>
          <w:b/>
          <w:bCs/>
        </w:rPr>
        <w:t>Figure S</w:t>
      </w:r>
      <w:r w:rsidR="00C0201C">
        <w:rPr>
          <w:rFonts w:hint="eastAsia"/>
          <w:b/>
          <w:bCs/>
        </w:rPr>
        <w:t>4</w:t>
      </w:r>
      <w:r w:rsidRPr="004D1818">
        <w:rPr>
          <w:b/>
          <w:bCs/>
        </w:rPr>
        <w:t xml:space="preserve">. HLA-DRB4 and HLA-DQ </w:t>
      </w:r>
      <w:r w:rsidRPr="004D1818">
        <w:rPr>
          <w:rFonts w:eastAsiaTheme="minorEastAsia"/>
          <w:b/>
          <w:bCs/>
        </w:rPr>
        <w:t>p</w:t>
      </w:r>
      <w:r w:rsidRPr="004D1818">
        <w:rPr>
          <w:b/>
          <w:bCs/>
        </w:rPr>
        <w:t xml:space="preserve">olymorphisms </w:t>
      </w:r>
      <w:r w:rsidRPr="004D1818">
        <w:rPr>
          <w:rFonts w:eastAsiaTheme="minorEastAsia"/>
          <w:b/>
          <w:bCs/>
        </w:rPr>
        <w:t>d</w:t>
      </w:r>
      <w:r w:rsidRPr="004D1818">
        <w:rPr>
          <w:b/>
          <w:bCs/>
        </w:rPr>
        <w:t xml:space="preserve">ifferentially </w:t>
      </w:r>
      <w:r w:rsidRPr="004D1818">
        <w:rPr>
          <w:rFonts w:eastAsiaTheme="minorEastAsia"/>
          <w:b/>
          <w:bCs/>
        </w:rPr>
        <w:t>r</w:t>
      </w:r>
      <w:r w:rsidRPr="004D1818">
        <w:rPr>
          <w:b/>
          <w:bCs/>
        </w:rPr>
        <w:t xml:space="preserve">egulate </w:t>
      </w:r>
      <w:r w:rsidRPr="004D1818">
        <w:rPr>
          <w:rFonts w:eastAsiaTheme="minorEastAsia"/>
          <w:b/>
          <w:bCs/>
        </w:rPr>
        <w:t>a</w:t>
      </w:r>
      <w:r w:rsidRPr="004D1818">
        <w:rPr>
          <w:b/>
          <w:bCs/>
        </w:rPr>
        <w:t xml:space="preserve">nti-HBs </w:t>
      </w:r>
      <w:r w:rsidRPr="004D1818">
        <w:rPr>
          <w:rFonts w:eastAsiaTheme="minorEastAsia"/>
          <w:b/>
          <w:bCs/>
        </w:rPr>
        <w:t>a</w:t>
      </w:r>
      <w:r w:rsidRPr="004D1818">
        <w:rPr>
          <w:b/>
          <w:bCs/>
        </w:rPr>
        <w:t xml:space="preserve">ntibody </w:t>
      </w:r>
      <w:r w:rsidRPr="004D1818">
        <w:rPr>
          <w:rFonts w:eastAsiaTheme="minorEastAsia"/>
          <w:b/>
          <w:bCs/>
        </w:rPr>
        <w:t>l</w:t>
      </w:r>
      <w:r w:rsidRPr="004D1818">
        <w:rPr>
          <w:b/>
          <w:bCs/>
        </w:rPr>
        <w:t xml:space="preserve">evels and HBsAg </w:t>
      </w:r>
      <w:r w:rsidRPr="004D1818">
        <w:rPr>
          <w:rFonts w:eastAsiaTheme="minorEastAsia"/>
          <w:b/>
          <w:bCs/>
        </w:rPr>
        <w:t>b</w:t>
      </w:r>
      <w:r w:rsidRPr="004D1818">
        <w:rPr>
          <w:b/>
          <w:bCs/>
        </w:rPr>
        <w:t xml:space="preserve">inding </w:t>
      </w:r>
      <w:r w:rsidRPr="004D1818">
        <w:rPr>
          <w:rFonts w:eastAsiaTheme="minorEastAsia"/>
          <w:b/>
          <w:bCs/>
        </w:rPr>
        <w:t>a</w:t>
      </w:r>
      <w:r w:rsidRPr="004D1818">
        <w:rPr>
          <w:b/>
          <w:bCs/>
        </w:rPr>
        <w:t>ffinity.</w:t>
      </w:r>
      <w:r w:rsidRPr="004D1818">
        <w:t xml:space="preserve"> </w:t>
      </w:r>
      <w:r w:rsidRPr="004D1818">
        <w:rPr>
          <w:b/>
          <w:bCs/>
        </w:rPr>
        <w:t>(</w:t>
      </w:r>
      <w:r w:rsidRPr="004D1818">
        <w:rPr>
          <w:rFonts w:eastAsiaTheme="minorEastAsia"/>
          <w:b/>
          <w:bCs/>
        </w:rPr>
        <w:t>A-C</w:t>
      </w:r>
      <w:r w:rsidRPr="004D1818">
        <w:rPr>
          <w:b/>
          <w:bCs/>
        </w:rPr>
        <w:t>)</w:t>
      </w:r>
      <w:r w:rsidRPr="004D1818">
        <w:t xml:space="preserve"> </w:t>
      </w:r>
      <w:r w:rsidRPr="004D1818">
        <w:rPr>
          <w:rFonts w:eastAsiaTheme="minorEastAsia"/>
        </w:rPr>
        <w:t>Comparison of anti-HBs level between HLA-DRB4 A allele carrier (GA/AA</w:t>
      </w:r>
      <w:r w:rsidR="0051551F">
        <w:rPr>
          <w:rFonts w:eastAsiaTheme="minorEastAsia" w:hint="eastAsia"/>
        </w:rPr>
        <w:t>; associated with lower OBI susceptibility</w:t>
      </w:r>
      <w:r w:rsidRPr="004D1818">
        <w:rPr>
          <w:rFonts w:eastAsiaTheme="minorEastAsia"/>
        </w:rPr>
        <w:t xml:space="preserve">) and GG homozygotes at </w:t>
      </w:r>
      <w:r w:rsidRPr="004D1818">
        <w:rPr>
          <w:rFonts w:eastAsiaTheme="minorEastAsia"/>
          <w:i/>
          <w:iCs/>
        </w:rPr>
        <w:t>rs1135085</w:t>
      </w:r>
      <w:r w:rsidRPr="004D1818">
        <w:t>.</w:t>
      </w:r>
      <w:r w:rsidRPr="004D1818">
        <w:rPr>
          <w:rFonts w:eastAsiaTheme="minorEastAsia"/>
        </w:rPr>
        <w:t xml:space="preserve"> </w:t>
      </w:r>
      <w:r w:rsidRPr="004D1818">
        <w:rPr>
          <w:rFonts w:eastAsiaTheme="minorEastAsia"/>
          <w:b/>
          <w:bCs/>
        </w:rPr>
        <w:t>(A)</w:t>
      </w:r>
      <w:r w:rsidRPr="004D1818">
        <w:rPr>
          <w:rFonts w:eastAsiaTheme="minorEastAsia"/>
        </w:rPr>
        <w:t xml:space="preserve"> For anti-HBs&lt;100 mIU/mL, GG homozygotes </w:t>
      </w:r>
      <w:r w:rsidRPr="004D1818">
        <w:t>(n=</w:t>
      </w:r>
      <w:r w:rsidRPr="004D1818">
        <w:rPr>
          <w:rFonts w:eastAsiaTheme="minorEastAsia"/>
        </w:rPr>
        <w:t>47</w:t>
      </w:r>
      <w:r w:rsidRPr="004D1818">
        <w:t>, median</w:t>
      </w:r>
      <w:r w:rsidRPr="004D1818">
        <w:rPr>
          <w:rFonts w:eastAsiaTheme="minorEastAsia"/>
        </w:rPr>
        <w:t>=4.01</w:t>
      </w:r>
      <w:r w:rsidRPr="004D1818">
        <w:t xml:space="preserve"> mIU/mL)</w:t>
      </w:r>
      <w:r w:rsidRPr="004D1818">
        <w:rPr>
          <w:rFonts w:eastAsiaTheme="minorEastAsia"/>
        </w:rPr>
        <w:t xml:space="preserve"> showing higher anti-HBs levels than A allele carriers</w:t>
      </w:r>
      <w:r w:rsidRPr="004D1818">
        <w:t xml:space="preserve"> (n=</w:t>
      </w:r>
      <w:r w:rsidRPr="004D1818">
        <w:rPr>
          <w:rFonts w:eastAsiaTheme="minorEastAsia"/>
        </w:rPr>
        <w:t>29</w:t>
      </w:r>
      <w:r w:rsidRPr="004D1818">
        <w:t>, median</w:t>
      </w:r>
      <w:r w:rsidRPr="004D1818">
        <w:rPr>
          <w:rFonts w:eastAsiaTheme="minorEastAsia"/>
        </w:rPr>
        <w:t>=0.76</w:t>
      </w:r>
      <w:r w:rsidRPr="004D1818">
        <w:t xml:space="preserve"> mIU/mL</w:t>
      </w:r>
      <w:r w:rsidRPr="004D1818">
        <w:rPr>
          <w:rFonts w:eastAsiaTheme="minorEastAsia"/>
        </w:rPr>
        <w:t>)</w:t>
      </w:r>
      <w:r w:rsidRPr="004D1818">
        <w:t xml:space="preserve"> </w:t>
      </w:r>
      <w:r w:rsidRPr="004D1818">
        <w:rPr>
          <w:rFonts w:eastAsiaTheme="minorEastAsia"/>
        </w:rPr>
        <w:t xml:space="preserve">(Mann-Whitney </w:t>
      </w:r>
      <w:r w:rsidRPr="004D1818">
        <w:t>U=</w:t>
      </w:r>
      <w:r w:rsidRPr="004D1818">
        <w:rPr>
          <w:rFonts w:eastAsiaTheme="minorEastAsia"/>
        </w:rPr>
        <w:t>340</w:t>
      </w:r>
      <w:r w:rsidRPr="004D1818">
        <w:t>, P=</w:t>
      </w:r>
      <w:r w:rsidRPr="004D1818">
        <w:rPr>
          <w:rFonts w:eastAsiaTheme="minorEastAsia"/>
        </w:rPr>
        <w:t>0.016)</w:t>
      </w:r>
      <w:r w:rsidRPr="004D1818">
        <w:t>.</w:t>
      </w:r>
      <w:r w:rsidRPr="004D1818">
        <w:rPr>
          <w:rFonts w:eastAsiaTheme="minorEastAsia"/>
        </w:rPr>
        <w:t xml:space="preserve"> </w:t>
      </w:r>
      <w:r w:rsidRPr="004D1818">
        <w:rPr>
          <w:rFonts w:eastAsiaTheme="minorEastAsia"/>
          <w:b/>
          <w:bCs/>
        </w:rPr>
        <w:t>(B)</w:t>
      </w:r>
      <w:r w:rsidRPr="004D1818">
        <w:rPr>
          <w:rFonts w:eastAsiaTheme="minorEastAsia"/>
        </w:rPr>
        <w:t xml:space="preserve"> For anti-HBs&gt;100 mIU/mL, no statistical difference between GG homozygotes </w:t>
      </w:r>
      <w:r w:rsidRPr="004D1818">
        <w:t>(n=</w:t>
      </w:r>
      <w:r w:rsidRPr="004D1818">
        <w:rPr>
          <w:rFonts w:eastAsiaTheme="minorEastAsia"/>
        </w:rPr>
        <w:t>3</w:t>
      </w:r>
      <w:r w:rsidRPr="004D1818">
        <w:t>, median</w:t>
      </w:r>
      <w:r w:rsidRPr="004D1818">
        <w:rPr>
          <w:rFonts w:eastAsiaTheme="minorEastAsia"/>
        </w:rPr>
        <w:t>=285.69</w:t>
      </w:r>
      <w:r w:rsidRPr="004D1818">
        <w:t xml:space="preserve"> mIU/mL)</w:t>
      </w:r>
      <w:r w:rsidRPr="004D1818">
        <w:rPr>
          <w:rFonts w:eastAsiaTheme="minorEastAsia"/>
        </w:rPr>
        <w:t xml:space="preserve"> and</w:t>
      </w:r>
      <w:r w:rsidRPr="004D1818">
        <w:t xml:space="preserve"> </w:t>
      </w:r>
      <w:r w:rsidRPr="004D1818">
        <w:rPr>
          <w:rFonts w:eastAsiaTheme="minorEastAsia"/>
        </w:rPr>
        <w:t xml:space="preserve">GA/AA </w:t>
      </w:r>
      <w:r w:rsidRPr="004D1818">
        <w:t>(n=</w:t>
      </w:r>
      <w:r w:rsidRPr="004D1818">
        <w:rPr>
          <w:rFonts w:eastAsiaTheme="minorEastAsia"/>
        </w:rPr>
        <w:t>3</w:t>
      </w:r>
      <w:r w:rsidRPr="004D1818">
        <w:t>, median</w:t>
      </w:r>
      <w:r w:rsidRPr="004D1818">
        <w:rPr>
          <w:rFonts w:eastAsiaTheme="minorEastAsia"/>
        </w:rPr>
        <w:t>=107.96</w:t>
      </w:r>
      <w:r w:rsidRPr="004D1818">
        <w:t xml:space="preserve"> mIU/mL</w:t>
      </w:r>
      <w:r w:rsidRPr="004D1818">
        <w:rPr>
          <w:rFonts w:eastAsiaTheme="minorEastAsia"/>
        </w:rPr>
        <w:t>)</w:t>
      </w:r>
      <w:r w:rsidRPr="004D1818">
        <w:t xml:space="preserve"> </w:t>
      </w:r>
      <w:r w:rsidRPr="004D1818">
        <w:rPr>
          <w:rFonts w:eastAsiaTheme="minorEastAsia"/>
        </w:rPr>
        <w:t>(</w:t>
      </w:r>
      <w:r w:rsidRPr="004D1818">
        <w:t>U=</w:t>
      </w:r>
      <w:r w:rsidRPr="004D1818">
        <w:rPr>
          <w:rFonts w:eastAsiaTheme="minorEastAsia"/>
        </w:rPr>
        <w:t>2</w:t>
      </w:r>
      <w:r w:rsidRPr="004D1818">
        <w:t>, P=0.</w:t>
      </w:r>
      <w:r w:rsidRPr="004D1818">
        <w:rPr>
          <w:rFonts w:eastAsiaTheme="minorEastAsia"/>
        </w:rPr>
        <w:t xml:space="preserve">4). </w:t>
      </w:r>
      <w:r w:rsidRPr="004D1818">
        <w:rPr>
          <w:rFonts w:eastAsiaTheme="minorEastAsia"/>
          <w:b/>
          <w:bCs/>
        </w:rPr>
        <w:t>(C)</w:t>
      </w:r>
      <w:r w:rsidRPr="004D1818">
        <w:rPr>
          <w:rFonts w:eastAsiaTheme="minorEastAsia"/>
        </w:rPr>
        <w:t xml:space="preserve"> For anti-HBs&lt;100 mIU/mL, comparable levels between GG and GA/AA in both chornic HBsAg+ (P=0.7) and OBI groups (P=0.94). </w:t>
      </w:r>
      <w:r w:rsidRPr="004D1818">
        <w:rPr>
          <w:b/>
          <w:bCs/>
        </w:rPr>
        <w:t>(</w:t>
      </w:r>
      <w:r w:rsidRPr="004D1818">
        <w:rPr>
          <w:rFonts w:eastAsiaTheme="minorEastAsia"/>
          <w:b/>
          <w:bCs/>
        </w:rPr>
        <w:t>D</w:t>
      </w:r>
      <w:r w:rsidRPr="004D1818">
        <w:rPr>
          <w:b/>
          <w:bCs/>
        </w:rPr>
        <w:t>-</w:t>
      </w:r>
      <w:r w:rsidRPr="004D1818">
        <w:rPr>
          <w:rFonts w:eastAsiaTheme="minorEastAsia"/>
          <w:b/>
          <w:bCs/>
        </w:rPr>
        <w:t>G</w:t>
      </w:r>
      <w:r w:rsidRPr="004D1818">
        <w:rPr>
          <w:b/>
          <w:bCs/>
        </w:rPr>
        <w:t>)</w:t>
      </w:r>
      <w:r w:rsidRPr="004D1818">
        <w:t xml:space="preserve"> Comparative binding analysis of DQA1 * 01:02 (Gln57) versus DQA1 * 01:01 (Glu57) paired with different DQB1 genotypes (DQB1*06:01, DQB1*06:02, DQB1*06:04 and DQB1*02:01, respectively, paired t-test</w:t>
      </w:r>
      <w:r w:rsidRPr="004D1818">
        <w:rPr>
          <w:rFonts w:eastAsiaTheme="minorEastAsia"/>
        </w:rPr>
        <w:t>,</w:t>
      </w:r>
      <w:r w:rsidRPr="004D1818">
        <w:t xml:space="preserve"> all P&lt;0.001).</w:t>
      </w:r>
      <w:r w:rsidRPr="004D1818">
        <w:rPr>
          <w:b/>
          <w:bCs/>
        </w:rPr>
        <w:t xml:space="preserve"> (</w:t>
      </w:r>
      <w:r w:rsidRPr="004D1818">
        <w:rPr>
          <w:rFonts w:eastAsiaTheme="minorEastAsia"/>
          <w:b/>
          <w:bCs/>
        </w:rPr>
        <w:t>H-J</w:t>
      </w:r>
      <w:r w:rsidRPr="004D1818">
        <w:rPr>
          <w:b/>
          <w:bCs/>
        </w:rPr>
        <w:t>)</w:t>
      </w:r>
      <w:r w:rsidRPr="004D1818">
        <w:t xml:space="preserve"> </w:t>
      </w:r>
      <w:r w:rsidRPr="004D1818">
        <w:rPr>
          <w:rFonts w:eastAsiaTheme="minorEastAsia"/>
        </w:rPr>
        <w:t>Comparison of anti-HBs level between HLA-DQA1 Glu57 homozygotes (GG genotype) and Gln57 carrier (CG/CC genotypes)</w:t>
      </w:r>
      <w:r w:rsidRPr="004D1818">
        <w:t>.</w:t>
      </w:r>
      <w:r w:rsidRPr="004D1818">
        <w:rPr>
          <w:rFonts w:eastAsiaTheme="minorEastAsia"/>
        </w:rPr>
        <w:t xml:space="preserve"> </w:t>
      </w:r>
      <w:r w:rsidRPr="004D1818">
        <w:rPr>
          <w:rFonts w:eastAsiaTheme="minorEastAsia"/>
          <w:b/>
          <w:bCs/>
        </w:rPr>
        <w:t>(H)</w:t>
      </w:r>
      <w:r w:rsidRPr="004D1818">
        <w:rPr>
          <w:rFonts w:eastAsiaTheme="minorEastAsia"/>
        </w:rPr>
        <w:t xml:space="preserve"> For anti-HBs&lt;100 mIU/mL, no difference between CG/CC </w:t>
      </w:r>
      <w:r w:rsidRPr="004D1818">
        <w:t>(n=</w:t>
      </w:r>
      <w:r w:rsidRPr="004D1818">
        <w:rPr>
          <w:rFonts w:eastAsiaTheme="minorEastAsia"/>
        </w:rPr>
        <w:t>47</w:t>
      </w:r>
      <w:r w:rsidRPr="004D1818">
        <w:t>, median</w:t>
      </w:r>
      <w:r w:rsidRPr="004D1818">
        <w:rPr>
          <w:rFonts w:eastAsiaTheme="minorEastAsia"/>
        </w:rPr>
        <w:t>=1.92</w:t>
      </w:r>
      <w:r w:rsidRPr="004D1818">
        <w:t xml:space="preserve"> mIU/mL)</w:t>
      </w:r>
      <w:r w:rsidRPr="004D1818">
        <w:rPr>
          <w:rFonts w:eastAsiaTheme="minorEastAsia"/>
        </w:rPr>
        <w:t xml:space="preserve"> and</w:t>
      </w:r>
      <w:r w:rsidRPr="004D1818">
        <w:t xml:space="preserve"> </w:t>
      </w:r>
      <w:r w:rsidRPr="004D1818">
        <w:rPr>
          <w:rFonts w:eastAsiaTheme="minorEastAsia"/>
        </w:rPr>
        <w:t>GG</w:t>
      </w:r>
      <w:r w:rsidRPr="004D1818">
        <w:t xml:space="preserve"> (n=</w:t>
      </w:r>
      <w:r w:rsidRPr="004D1818">
        <w:rPr>
          <w:rFonts w:eastAsiaTheme="minorEastAsia"/>
        </w:rPr>
        <w:t>13</w:t>
      </w:r>
      <w:r w:rsidRPr="004D1818">
        <w:t>, median</w:t>
      </w:r>
      <w:r w:rsidRPr="004D1818">
        <w:rPr>
          <w:rFonts w:eastAsiaTheme="minorEastAsia"/>
        </w:rPr>
        <w:t>=1.73</w:t>
      </w:r>
      <w:r w:rsidRPr="004D1818">
        <w:t xml:space="preserve"> mIU/mL</w:t>
      </w:r>
      <w:r w:rsidRPr="004D1818">
        <w:rPr>
          <w:rFonts w:eastAsiaTheme="minorEastAsia"/>
        </w:rPr>
        <w:t>)</w:t>
      </w:r>
      <w:r w:rsidRPr="004D1818">
        <w:t xml:space="preserve"> </w:t>
      </w:r>
      <w:r w:rsidRPr="004D1818">
        <w:rPr>
          <w:rFonts w:eastAsiaTheme="minorEastAsia"/>
        </w:rPr>
        <w:t xml:space="preserve">(Mann-Whitney </w:t>
      </w:r>
      <w:r w:rsidRPr="004D1818">
        <w:t>U=</w:t>
      </w:r>
      <w:r w:rsidRPr="004D1818">
        <w:rPr>
          <w:rFonts w:eastAsiaTheme="minorEastAsia"/>
        </w:rPr>
        <w:t>1,274</w:t>
      </w:r>
      <w:r w:rsidRPr="004D1818">
        <w:t>, P=0.</w:t>
      </w:r>
      <w:r w:rsidRPr="004D1818">
        <w:rPr>
          <w:rFonts w:eastAsiaTheme="minorEastAsia"/>
        </w:rPr>
        <w:t>6)</w:t>
      </w:r>
      <w:r w:rsidRPr="004D1818">
        <w:t>.</w:t>
      </w:r>
      <w:r w:rsidRPr="004D1818">
        <w:rPr>
          <w:rFonts w:eastAsiaTheme="minorEastAsia"/>
        </w:rPr>
        <w:t xml:space="preserve"> </w:t>
      </w:r>
      <w:r w:rsidRPr="004D1818">
        <w:rPr>
          <w:rFonts w:eastAsiaTheme="minorEastAsia"/>
          <w:b/>
          <w:bCs/>
        </w:rPr>
        <w:t>(I)</w:t>
      </w:r>
      <w:r w:rsidRPr="004D1818">
        <w:rPr>
          <w:rFonts w:eastAsiaTheme="minorEastAsia"/>
        </w:rPr>
        <w:t xml:space="preserve"> Consistent null associations in both chornic HBsAg+ (P=0.5) and OBI groups (P=0.31). </w:t>
      </w:r>
      <w:r w:rsidRPr="004D1818">
        <w:rPr>
          <w:rFonts w:eastAsiaTheme="minorEastAsia"/>
          <w:b/>
          <w:bCs/>
        </w:rPr>
        <w:t>(J)</w:t>
      </w:r>
      <w:r w:rsidRPr="004D1818">
        <w:rPr>
          <w:rFonts w:eastAsiaTheme="minorEastAsia"/>
        </w:rPr>
        <w:t xml:space="preserve"> Donors with anti-HBs&gt;100 mIU/mL exclusively carried the Gln57 variants (n=10, 4 CG amd 6 CC genotype at </w:t>
      </w:r>
      <w:r w:rsidRPr="004D1818">
        <w:rPr>
          <w:rFonts w:eastAsiaTheme="minorEastAsia"/>
          <w:i/>
          <w:iCs/>
        </w:rPr>
        <w:t>rs10093</w:t>
      </w:r>
      <w:r w:rsidRPr="004D1818">
        <w:rPr>
          <w:rFonts w:eastAsiaTheme="minorEastAsia"/>
        </w:rPr>
        <w:t>).</w:t>
      </w:r>
      <w:r w:rsidR="001C2BB7">
        <w:rPr>
          <w:rFonts w:eastAsiaTheme="minorEastAsia"/>
        </w:rPr>
        <w:br w:type="page"/>
      </w:r>
    </w:p>
    <w:p w14:paraId="421DD96F" w14:textId="77777777" w:rsidR="004333C3" w:rsidRPr="004D1818" w:rsidRDefault="004333C3" w:rsidP="004333C3">
      <w:pPr>
        <w:pStyle w:val="afc"/>
        <w:rPr>
          <w:rFonts w:eastAsiaTheme="minorEastAsia"/>
        </w:rPr>
      </w:pPr>
    </w:p>
    <w:p w14:paraId="15F7546F" w14:textId="77777777" w:rsidR="004333C3" w:rsidRPr="004D1818" w:rsidRDefault="004333C3" w:rsidP="004333C3">
      <w:pPr>
        <w:pStyle w:val="afc"/>
        <w:rPr>
          <w:rFonts w:eastAsiaTheme="minorEastAsia"/>
        </w:rPr>
      </w:pPr>
      <w:r w:rsidRPr="004D1818">
        <w:drawing>
          <wp:inline distT="0" distB="0" distL="0" distR="0" wp14:anchorId="60FB4598" wp14:editId="22A9BAE7">
            <wp:extent cx="5212715" cy="1676400"/>
            <wp:effectExtent l="0" t="0" r="6985" b="0"/>
            <wp:docPr id="13288853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12715" cy="1676400"/>
                    </a:xfrm>
                    <a:prstGeom prst="rect">
                      <a:avLst/>
                    </a:prstGeom>
                    <a:noFill/>
                  </pic:spPr>
                </pic:pic>
              </a:graphicData>
            </a:graphic>
          </wp:inline>
        </w:drawing>
      </w:r>
    </w:p>
    <w:p w14:paraId="4C6EDB00" w14:textId="3C4D1825" w:rsidR="004333C3" w:rsidRPr="004D1818" w:rsidRDefault="004333C3" w:rsidP="004333C3">
      <w:pPr>
        <w:pStyle w:val="afc"/>
        <w:rPr>
          <w:rFonts w:eastAsiaTheme="minorEastAsia"/>
        </w:rPr>
      </w:pPr>
      <w:r w:rsidRPr="004D1818">
        <w:rPr>
          <w:rFonts w:eastAsiaTheme="minorEastAsia"/>
          <w:b/>
          <w:bCs/>
        </w:rPr>
        <w:t>Figure S</w:t>
      </w:r>
      <w:r w:rsidR="00C0201C">
        <w:rPr>
          <w:rFonts w:eastAsiaTheme="minorEastAsia" w:hint="eastAsia"/>
          <w:b/>
          <w:bCs/>
        </w:rPr>
        <w:t>5</w:t>
      </w:r>
      <w:r w:rsidRPr="004D1818">
        <w:rPr>
          <w:rFonts w:eastAsiaTheme="minorEastAsia"/>
          <w:b/>
          <w:bCs/>
        </w:rPr>
        <w:t xml:space="preserve">. Age-stratified distribution of </w:t>
      </w:r>
      <w:r w:rsidRPr="004D1818">
        <w:rPr>
          <w:rFonts w:eastAsiaTheme="minorEastAsia"/>
          <w:b/>
          <w:bCs/>
          <w:i/>
          <w:iCs/>
        </w:rPr>
        <w:t>rs713032</w:t>
      </w:r>
      <w:r w:rsidRPr="004D1818">
        <w:rPr>
          <w:rFonts w:eastAsiaTheme="minorEastAsia"/>
          <w:b/>
          <w:bCs/>
        </w:rPr>
        <w:t xml:space="preserve"> (HLA-C p.Ser140Phe) genotypes in chronic HBsAg+ (yellow) and OBI (blue) groups. (A) </w:t>
      </w:r>
      <w:r w:rsidRPr="004D1818">
        <w:rPr>
          <w:rFonts w:eastAsiaTheme="minorEastAsia"/>
        </w:rPr>
        <w:t>CC genotype</w:t>
      </w:r>
      <w:bookmarkStart w:id="3" w:name="OLE_LINK25"/>
      <w:r w:rsidR="0051551F">
        <w:rPr>
          <w:rFonts w:eastAsiaTheme="minorEastAsia" w:hint="eastAsia"/>
        </w:rPr>
        <w:t xml:space="preserve"> (associated with high OBI susceptibility)</w:t>
      </w:r>
      <w:r w:rsidRPr="004D1818">
        <w:rPr>
          <w:rFonts w:eastAsiaTheme="minorEastAsia"/>
        </w:rPr>
        <w:t xml:space="preserve"> proprotion</w:t>
      </w:r>
      <w:bookmarkEnd w:id="3"/>
      <w:r w:rsidRPr="004D1818">
        <w:rPr>
          <w:rFonts w:eastAsiaTheme="minorEastAsia"/>
        </w:rPr>
        <w:t xml:space="preserve">, </w:t>
      </w:r>
      <w:r w:rsidRPr="004D1818">
        <w:rPr>
          <w:rFonts w:eastAsiaTheme="minorEastAsia"/>
          <w:b/>
          <w:bCs/>
        </w:rPr>
        <w:t xml:space="preserve">(B) </w:t>
      </w:r>
      <w:r w:rsidRPr="004D1818">
        <w:rPr>
          <w:rFonts w:eastAsiaTheme="minorEastAsia"/>
        </w:rPr>
        <w:t xml:space="preserve">Other genotypes proprotion. Error bars indicate 95% CIs. In the &lt;30y group, OBI showing higher CC genotype prevalence (60.0% [17.1-100], 3/5 cases) than HBsAg+ (18.2% [2.1-34.3%], 4/22 controls), though Fisher’s exact test showed marginal significance (P=0.091, OR=6.15 [0.53-97.90]). HBsAg+ CC proportions were consistently lower than OBI in &lt;30y, 30-40 (14.3% vs. 17.6%) and 40-50y (20.0% vs. 38.5%), but reversed in &gt;50y (30.0% vs. 23.1%). Note the exceptionallly wide CI for OBI &lt;30y group reflects limited sample size (n=5). </w:t>
      </w:r>
    </w:p>
    <w:p w14:paraId="4F8C5842" w14:textId="77777777" w:rsidR="00AB5E43" w:rsidRPr="004D1818" w:rsidRDefault="00AB5E43" w:rsidP="00ED19E2">
      <w:pPr>
        <w:widowControl/>
        <w:spacing w:after="0" w:line="240" w:lineRule="auto"/>
        <w:rPr>
          <w:noProof/>
          <w:sz w:val="20"/>
        </w:rPr>
      </w:pPr>
    </w:p>
    <w:sectPr w:rsidR="00AB5E43" w:rsidRPr="004D1818" w:rsidSect="009A0731">
      <w:headerReference w:type="even" r:id="rId12"/>
      <w:headerReference w:type="default" r:id="rId13"/>
      <w:footerReference w:type="even" r:id="rId14"/>
      <w:footerReference w:type="default" r:id="rId15"/>
      <w:headerReference w:type="first" r:id="rId16"/>
      <w:footerReference w:type="first" r:id="rId17"/>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769165" w14:textId="77777777" w:rsidR="00A87452" w:rsidRDefault="00A87452" w:rsidP="00121EF2">
      <w:pPr>
        <w:spacing w:after="0" w:line="240" w:lineRule="auto"/>
        <w:ind w:firstLine="420"/>
      </w:pPr>
      <w:r>
        <w:separator/>
      </w:r>
    </w:p>
  </w:endnote>
  <w:endnote w:type="continuationSeparator" w:id="0">
    <w:p w14:paraId="705358F7" w14:textId="77777777" w:rsidR="00A87452" w:rsidRDefault="00A87452" w:rsidP="00121EF2">
      <w:pPr>
        <w:spacing w:after="0"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B927F6" w14:textId="77777777" w:rsidR="00121EF2" w:rsidRDefault="00121EF2">
    <w:pPr>
      <w:pStyle w:val="ad"/>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FAE525" w14:textId="77777777" w:rsidR="00121EF2" w:rsidRDefault="00121EF2">
    <w:pPr>
      <w:pStyle w:val="ad"/>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09D7F3" w14:textId="77777777" w:rsidR="00121EF2" w:rsidRDefault="00121EF2">
    <w:pPr>
      <w:pStyle w:val="ad"/>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93F24B" w14:textId="77777777" w:rsidR="00A87452" w:rsidRDefault="00A87452" w:rsidP="00121EF2">
      <w:pPr>
        <w:spacing w:after="0" w:line="240" w:lineRule="auto"/>
        <w:ind w:firstLine="420"/>
      </w:pPr>
      <w:r>
        <w:separator/>
      </w:r>
    </w:p>
  </w:footnote>
  <w:footnote w:type="continuationSeparator" w:id="0">
    <w:p w14:paraId="374D0ED7" w14:textId="77777777" w:rsidR="00A87452" w:rsidRDefault="00A87452" w:rsidP="00121EF2">
      <w:pPr>
        <w:spacing w:after="0" w:line="240" w:lineRule="auto"/>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94F7D7" w14:textId="77777777" w:rsidR="00121EF2" w:rsidRDefault="00121EF2">
    <w:pPr>
      <w:pStyle w:val="ab"/>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976159" w14:textId="77777777" w:rsidR="00121EF2" w:rsidRDefault="00121EF2">
    <w:pPr>
      <w:pStyle w:val="ab"/>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1A9FBA" w14:textId="77777777" w:rsidR="00121EF2" w:rsidRDefault="00121EF2">
    <w:pPr>
      <w:pStyle w:val="ab"/>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CA7866"/>
    <w:multiLevelType w:val="hybridMultilevel"/>
    <w:tmpl w:val="48A8DE52"/>
    <w:lvl w:ilvl="0" w:tplc="04090011">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27EA6E1A"/>
    <w:multiLevelType w:val="hybridMultilevel"/>
    <w:tmpl w:val="69101B16"/>
    <w:lvl w:ilvl="0" w:tplc="0409000F">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3FE14EDC"/>
    <w:multiLevelType w:val="multilevel"/>
    <w:tmpl w:val="2E3AF1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398000C"/>
    <w:multiLevelType w:val="multilevel"/>
    <w:tmpl w:val="F508D7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4170D3B"/>
    <w:multiLevelType w:val="hybridMultilevel"/>
    <w:tmpl w:val="9976E754"/>
    <w:lvl w:ilvl="0" w:tplc="9E7434C4">
      <w:start w:val="1"/>
      <w:numFmt w:val="decimal"/>
      <w:lvlText w:val="%1)"/>
      <w:lvlJc w:val="left"/>
      <w:pPr>
        <w:ind w:left="440" w:hanging="440"/>
      </w:pPr>
    </w:lvl>
    <w:lvl w:ilvl="1" w:tplc="BAAC09FA" w:tentative="1">
      <w:start w:val="1"/>
      <w:numFmt w:val="lowerLetter"/>
      <w:lvlText w:val="%2)"/>
      <w:lvlJc w:val="left"/>
      <w:pPr>
        <w:ind w:left="880" w:hanging="440"/>
      </w:pPr>
    </w:lvl>
    <w:lvl w:ilvl="2" w:tplc="F676D402" w:tentative="1">
      <w:start w:val="1"/>
      <w:numFmt w:val="lowerRoman"/>
      <w:lvlText w:val="%3."/>
      <w:lvlJc w:val="right"/>
      <w:pPr>
        <w:ind w:left="1320" w:hanging="440"/>
      </w:pPr>
    </w:lvl>
    <w:lvl w:ilvl="3" w:tplc="CD8ACA1E" w:tentative="1">
      <w:start w:val="1"/>
      <w:numFmt w:val="decimal"/>
      <w:lvlText w:val="%4."/>
      <w:lvlJc w:val="left"/>
      <w:pPr>
        <w:ind w:left="1760" w:hanging="440"/>
      </w:pPr>
    </w:lvl>
    <w:lvl w:ilvl="4" w:tplc="71820B6E" w:tentative="1">
      <w:start w:val="1"/>
      <w:numFmt w:val="lowerLetter"/>
      <w:lvlText w:val="%5)"/>
      <w:lvlJc w:val="left"/>
      <w:pPr>
        <w:ind w:left="2200" w:hanging="440"/>
      </w:pPr>
    </w:lvl>
    <w:lvl w:ilvl="5" w:tplc="FBAC9BB6" w:tentative="1">
      <w:start w:val="1"/>
      <w:numFmt w:val="lowerRoman"/>
      <w:lvlText w:val="%6."/>
      <w:lvlJc w:val="right"/>
      <w:pPr>
        <w:ind w:left="2640" w:hanging="440"/>
      </w:pPr>
    </w:lvl>
    <w:lvl w:ilvl="6" w:tplc="31A62C3E" w:tentative="1">
      <w:start w:val="1"/>
      <w:numFmt w:val="decimal"/>
      <w:lvlText w:val="%7."/>
      <w:lvlJc w:val="left"/>
      <w:pPr>
        <w:ind w:left="3080" w:hanging="440"/>
      </w:pPr>
    </w:lvl>
    <w:lvl w:ilvl="7" w:tplc="9F201202" w:tentative="1">
      <w:start w:val="1"/>
      <w:numFmt w:val="lowerLetter"/>
      <w:lvlText w:val="%8)"/>
      <w:lvlJc w:val="left"/>
      <w:pPr>
        <w:ind w:left="3520" w:hanging="440"/>
      </w:pPr>
    </w:lvl>
    <w:lvl w:ilvl="8" w:tplc="3D16C672" w:tentative="1">
      <w:start w:val="1"/>
      <w:numFmt w:val="lowerRoman"/>
      <w:lvlText w:val="%9."/>
      <w:lvlJc w:val="right"/>
      <w:pPr>
        <w:ind w:left="3960" w:hanging="440"/>
      </w:pPr>
    </w:lvl>
  </w:abstractNum>
  <w:abstractNum w:abstractNumId="5" w15:restartNumberingAfterBreak="0">
    <w:nsid w:val="75434C8D"/>
    <w:multiLevelType w:val="hybridMultilevel"/>
    <w:tmpl w:val="DF72ADBA"/>
    <w:lvl w:ilvl="0" w:tplc="5672C28E">
      <w:start w:val="1"/>
      <w:numFmt w:val="decimal"/>
      <w:lvlText w:val="%1."/>
      <w:lvlJc w:val="left"/>
      <w:pPr>
        <w:ind w:left="440" w:hanging="440"/>
      </w:p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470710915">
    <w:abstractNumId w:val="1"/>
  </w:num>
  <w:num w:numId="2" w16cid:durableId="709457368">
    <w:abstractNumId w:val="3"/>
  </w:num>
  <w:num w:numId="3" w16cid:durableId="1958372739">
    <w:abstractNumId w:val="0"/>
  </w:num>
  <w:num w:numId="4" w16cid:durableId="518664321">
    <w:abstractNumId w:val="5"/>
  </w:num>
  <w:num w:numId="5" w16cid:durableId="4065548">
    <w:abstractNumId w:val="4"/>
  </w:num>
  <w:num w:numId="6" w16cid:durableId="66513095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etf2pf5ezfpf5e9te6xr5zosxwvp0ps2dtt&quot;&gt;My EndNote Library&lt;record-ids&gt;&lt;item&gt;114&lt;/item&gt;&lt;item&gt;154&lt;/item&gt;&lt;/record-ids&gt;&lt;/item&gt;&lt;/Libraries&gt;"/>
  </w:docVars>
  <w:rsids>
    <w:rsidRoot w:val="00F02D66"/>
    <w:rsid w:val="00000666"/>
    <w:rsid w:val="00000AA6"/>
    <w:rsid w:val="000014D4"/>
    <w:rsid w:val="0000161B"/>
    <w:rsid w:val="00003076"/>
    <w:rsid w:val="00004AE0"/>
    <w:rsid w:val="00005A21"/>
    <w:rsid w:val="000065A3"/>
    <w:rsid w:val="00006D9D"/>
    <w:rsid w:val="0001008C"/>
    <w:rsid w:val="00010667"/>
    <w:rsid w:val="00010A33"/>
    <w:rsid w:val="00010DC1"/>
    <w:rsid w:val="000125AA"/>
    <w:rsid w:val="00013131"/>
    <w:rsid w:val="000131D8"/>
    <w:rsid w:val="00013536"/>
    <w:rsid w:val="000136F5"/>
    <w:rsid w:val="0001370A"/>
    <w:rsid w:val="00020A3D"/>
    <w:rsid w:val="00022E47"/>
    <w:rsid w:val="00023331"/>
    <w:rsid w:val="00025636"/>
    <w:rsid w:val="00025F17"/>
    <w:rsid w:val="00026077"/>
    <w:rsid w:val="00026354"/>
    <w:rsid w:val="00026A0D"/>
    <w:rsid w:val="00027C76"/>
    <w:rsid w:val="00027C77"/>
    <w:rsid w:val="00030015"/>
    <w:rsid w:val="00030F14"/>
    <w:rsid w:val="00031A29"/>
    <w:rsid w:val="00031FB5"/>
    <w:rsid w:val="000326E0"/>
    <w:rsid w:val="000339A3"/>
    <w:rsid w:val="00034E20"/>
    <w:rsid w:val="00035244"/>
    <w:rsid w:val="00035945"/>
    <w:rsid w:val="00035C61"/>
    <w:rsid w:val="00035D6C"/>
    <w:rsid w:val="00035E11"/>
    <w:rsid w:val="000402D5"/>
    <w:rsid w:val="00040707"/>
    <w:rsid w:val="00041669"/>
    <w:rsid w:val="0004357B"/>
    <w:rsid w:val="00045BDB"/>
    <w:rsid w:val="0005092B"/>
    <w:rsid w:val="00051666"/>
    <w:rsid w:val="000517D6"/>
    <w:rsid w:val="0005180E"/>
    <w:rsid w:val="00052CD8"/>
    <w:rsid w:val="000534BC"/>
    <w:rsid w:val="00053B9D"/>
    <w:rsid w:val="00054928"/>
    <w:rsid w:val="0005566F"/>
    <w:rsid w:val="00057094"/>
    <w:rsid w:val="00060D61"/>
    <w:rsid w:val="000618FA"/>
    <w:rsid w:val="00061E38"/>
    <w:rsid w:val="000628F3"/>
    <w:rsid w:val="000643A4"/>
    <w:rsid w:val="0006504C"/>
    <w:rsid w:val="0006587F"/>
    <w:rsid w:val="00067713"/>
    <w:rsid w:val="000709E7"/>
    <w:rsid w:val="00070CEF"/>
    <w:rsid w:val="000710DE"/>
    <w:rsid w:val="000716EB"/>
    <w:rsid w:val="00072110"/>
    <w:rsid w:val="00072122"/>
    <w:rsid w:val="0007224F"/>
    <w:rsid w:val="00072B01"/>
    <w:rsid w:val="00075532"/>
    <w:rsid w:val="000756B4"/>
    <w:rsid w:val="000766DA"/>
    <w:rsid w:val="0007678E"/>
    <w:rsid w:val="00077C7A"/>
    <w:rsid w:val="00080A8F"/>
    <w:rsid w:val="00080D8E"/>
    <w:rsid w:val="000812D1"/>
    <w:rsid w:val="000818FD"/>
    <w:rsid w:val="00081B8A"/>
    <w:rsid w:val="0008230D"/>
    <w:rsid w:val="000823EC"/>
    <w:rsid w:val="00086CD4"/>
    <w:rsid w:val="00087BBB"/>
    <w:rsid w:val="0009006C"/>
    <w:rsid w:val="000902D4"/>
    <w:rsid w:val="00090637"/>
    <w:rsid w:val="0009215A"/>
    <w:rsid w:val="00093A93"/>
    <w:rsid w:val="00093DF3"/>
    <w:rsid w:val="00094FEA"/>
    <w:rsid w:val="00095406"/>
    <w:rsid w:val="00095F1B"/>
    <w:rsid w:val="000A0EB0"/>
    <w:rsid w:val="000A1CC1"/>
    <w:rsid w:val="000A3481"/>
    <w:rsid w:val="000A38A8"/>
    <w:rsid w:val="000A4AB9"/>
    <w:rsid w:val="000A54EC"/>
    <w:rsid w:val="000A642B"/>
    <w:rsid w:val="000A65D0"/>
    <w:rsid w:val="000A70EA"/>
    <w:rsid w:val="000B0451"/>
    <w:rsid w:val="000B0BA1"/>
    <w:rsid w:val="000B1187"/>
    <w:rsid w:val="000B1C1F"/>
    <w:rsid w:val="000B1F4E"/>
    <w:rsid w:val="000B2EF5"/>
    <w:rsid w:val="000B3107"/>
    <w:rsid w:val="000B4A26"/>
    <w:rsid w:val="000B5B50"/>
    <w:rsid w:val="000B651D"/>
    <w:rsid w:val="000B7FF1"/>
    <w:rsid w:val="000C0D35"/>
    <w:rsid w:val="000C5CBE"/>
    <w:rsid w:val="000C5EEB"/>
    <w:rsid w:val="000C71E9"/>
    <w:rsid w:val="000C75EB"/>
    <w:rsid w:val="000C775B"/>
    <w:rsid w:val="000C7B62"/>
    <w:rsid w:val="000C7F51"/>
    <w:rsid w:val="000D1588"/>
    <w:rsid w:val="000D1663"/>
    <w:rsid w:val="000D168D"/>
    <w:rsid w:val="000D1A15"/>
    <w:rsid w:val="000D2295"/>
    <w:rsid w:val="000D2DF7"/>
    <w:rsid w:val="000D3203"/>
    <w:rsid w:val="000D334A"/>
    <w:rsid w:val="000D3D3D"/>
    <w:rsid w:val="000D490F"/>
    <w:rsid w:val="000D5344"/>
    <w:rsid w:val="000D6858"/>
    <w:rsid w:val="000D69FF"/>
    <w:rsid w:val="000D6E2E"/>
    <w:rsid w:val="000E07BB"/>
    <w:rsid w:val="000E0952"/>
    <w:rsid w:val="000E0C2A"/>
    <w:rsid w:val="000E0CFA"/>
    <w:rsid w:val="000E2266"/>
    <w:rsid w:val="000E27FD"/>
    <w:rsid w:val="000E3685"/>
    <w:rsid w:val="000E3AC0"/>
    <w:rsid w:val="000E3AEC"/>
    <w:rsid w:val="000E3EA8"/>
    <w:rsid w:val="000E55A8"/>
    <w:rsid w:val="000E6154"/>
    <w:rsid w:val="000E6D44"/>
    <w:rsid w:val="000E7ED9"/>
    <w:rsid w:val="000F0BEE"/>
    <w:rsid w:val="000F142D"/>
    <w:rsid w:val="000F17E2"/>
    <w:rsid w:val="000F2214"/>
    <w:rsid w:val="000F647B"/>
    <w:rsid w:val="000F7B5D"/>
    <w:rsid w:val="001032B9"/>
    <w:rsid w:val="00104386"/>
    <w:rsid w:val="001046B1"/>
    <w:rsid w:val="00105ED9"/>
    <w:rsid w:val="00110880"/>
    <w:rsid w:val="00112297"/>
    <w:rsid w:val="00113D46"/>
    <w:rsid w:val="00114562"/>
    <w:rsid w:val="00115F43"/>
    <w:rsid w:val="0012036A"/>
    <w:rsid w:val="0012109F"/>
    <w:rsid w:val="00121C3A"/>
    <w:rsid w:val="00121EF2"/>
    <w:rsid w:val="00122E2A"/>
    <w:rsid w:val="0012396E"/>
    <w:rsid w:val="0012401C"/>
    <w:rsid w:val="00124952"/>
    <w:rsid w:val="00124DA5"/>
    <w:rsid w:val="0012581C"/>
    <w:rsid w:val="00125E60"/>
    <w:rsid w:val="0012694A"/>
    <w:rsid w:val="0012717B"/>
    <w:rsid w:val="0012762B"/>
    <w:rsid w:val="00131D00"/>
    <w:rsid w:val="001320AA"/>
    <w:rsid w:val="0013248D"/>
    <w:rsid w:val="00132F50"/>
    <w:rsid w:val="00134611"/>
    <w:rsid w:val="0013578C"/>
    <w:rsid w:val="00135D5E"/>
    <w:rsid w:val="00137EBA"/>
    <w:rsid w:val="0014009A"/>
    <w:rsid w:val="00140192"/>
    <w:rsid w:val="00143C3B"/>
    <w:rsid w:val="0014463B"/>
    <w:rsid w:val="00144A79"/>
    <w:rsid w:val="00145C0F"/>
    <w:rsid w:val="00145D36"/>
    <w:rsid w:val="00145D67"/>
    <w:rsid w:val="00147319"/>
    <w:rsid w:val="001479D3"/>
    <w:rsid w:val="001516B7"/>
    <w:rsid w:val="00151B27"/>
    <w:rsid w:val="00153064"/>
    <w:rsid w:val="00153EC7"/>
    <w:rsid w:val="00154FD9"/>
    <w:rsid w:val="001563B1"/>
    <w:rsid w:val="0015681B"/>
    <w:rsid w:val="00156996"/>
    <w:rsid w:val="00157958"/>
    <w:rsid w:val="00157B6D"/>
    <w:rsid w:val="00157EF8"/>
    <w:rsid w:val="00160260"/>
    <w:rsid w:val="0016184A"/>
    <w:rsid w:val="00162C07"/>
    <w:rsid w:val="00164844"/>
    <w:rsid w:val="0016565A"/>
    <w:rsid w:val="001671DD"/>
    <w:rsid w:val="00172677"/>
    <w:rsid w:val="00172995"/>
    <w:rsid w:val="00175AB6"/>
    <w:rsid w:val="00175B0A"/>
    <w:rsid w:val="00176E37"/>
    <w:rsid w:val="00176F29"/>
    <w:rsid w:val="001771A8"/>
    <w:rsid w:val="00177220"/>
    <w:rsid w:val="0017772B"/>
    <w:rsid w:val="00181241"/>
    <w:rsid w:val="00182268"/>
    <w:rsid w:val="00182E81"/>
    <w:rsid w:val="0018443D"/>
    <w:rsid w:val="0018469D"/>
    <w:rsid w:val="00184B87"/>
    <w:rsid w:val="00187F88"/>
    <w:rsid w:val="001905C7"/>
    <w:rsid w:val="00190CC8"/>
    <w:rsid w:val="00190D81"/>
    <w:rsid w:val="00191A7E"/>
    <w:rsid w:val="00192C75"/>
    <w:rsid w:val="00192D18"/>
    <w:rsid w:val="00195847"/>
    <w:rsid w:val="001962B3"/>
    <w:rsid w:val="00196949"/>
    <w:rsid w:val="001A2929"/>
    <w:rsid w:val="001A4448"/>
    <w:rsid w:val="001A4BD7"/>
    <w:rsid w:val="001A5031"/>
    <w:rsid w:val="001A64C6"/>
    <w:rsid w:val="001A6F6E"/>
    <w:rsid w:val="001B036F"/>
    <w:rsid w:val="001B1455"/>
    <w:rsid w:val="001B1661"/>
    <w:rsid w:val="001B288D"/>
    <w:rsid w:val="001B397B"/>
    <w:rsid w:val="001B42EF"/>
    <w:rsid w:val="001B44D3"/>
    <w:rsid w:val="001B4526"/>
    <w:rsid w:val="001B5B1D"/>
    <w:rsid w:val="001B5BAB"/>
    <w:rsid w:val="001C0342"/>
    <w:rsid w:val="001C0E31"/>
    <w:rsid w:val="001C1662"/>
    <w:rsid w:val="001C2BB7"/>
    <w:rsid w:val="001C4ECE"/>
    <w:rsid w:val="001C52EA"/>
    <w:rsid w:val="001C5E43"/>
    <w:rsid w:val="001C610D"/>
    <w:rsid w:val="001C63B1"/>
    <w:rsid w:val="001C645E"/>
    <w:rsid w:val="001D0208"/>
    <w:rsid w:val="001D0439"/>
    <w:rsid w:val="001D22F5"/>
    <w:rsid w:val="001D285F"/>
    <w:rsid w:val="001D3126"/>
    <w:rsid w:val="001D41DB"/>
    <w:rsid w:val="001D4442"/>
    <w:rsid w:val="001D620B"/>
    <w:rsid w:val="001D6B3C"/>
    <w:rsid w:val="001D6E6B"/>
    <w:rsid w:val="001D6FF7"/>
    <w:rsid w:val="001D7009"/>
    <w:rsid w:val="001E04D0"/>
    <w:rsid w:val="001E17A6"/>
    <w:rsid w:val="001E2C0E"/>
    <w:rsid w:val="001E3438"/>
    <w:rsid w:val="001E37CF"/>
    <w:rsid w:val="001E3C0A"/>
    <w:rsid w:val="001E5C8F"/>
    <w:rsid w:val="001E726F"/>
    <w:rsid w:val="001F0064"/>
    <w:rsid w:val="001F0FB7"/>
    <w:rsid w:val="001F3FC2"/>
    <w:rsid w:val="001F4BEF"/>
    <w:rsid w:val="002003E7"/>
    <w:rsid w:val="002012B3"/>
    <w:rsid w:val="00201455"/>
    <w:rsid w:val="00201925"/>
    <w:rsid w:val="00202EA0"/>
    <w:rsid w:val="002033D1"/>
    <w:rsid w:val="00203B91"/>
    <w:rsid w:val="00203BAA"/>
    <w:rsid w:val="00203C82"/>
    <w:rsid w:val="00205B1B"/>
    <w:rsid w:val="00207D35"/>
    <w:rsid w:val="002105E2"/>
    <w:rsid w:val="002134E5"/>
    <w:rsid w:val="002136C3"/>
    <w:rsid w:val="0021418A"/>
    <w:rsid w:val="0021481D"/>
    <w:rsid w:val="00216364"/>
    <w:rsid w:val="00216372"/>
    <w:rsid w:val="00220799"/>
    <w:rsid w:val="00222875"/>
    <w:rsid w:val="00222DF2"/>
    <w:rsid w:val="00223F67"/>
    <w:rsid w:val="00224ECA"/>
    <w:rsid w:val="00225DAD"/>
    <w:rsid w:val="0022618C"/>
    <w:rsid w:val="00226F97"/>
    <w:rsid w:val="00227D09"/>
    <w:rsid w:val="00230232"/>
    <w:rsid w:val="00230F80"/>
    <w:rsid w:val="00231EE3"/>
    <w:rsid w:val="0023299C"/>
    <w:rsid w:val="00233D7E"/>
    <w:rsid w:val="00235B81"/>
    <w:rsid w:val="00237573"/>
    <w:rsid w:val="0024140D"/>
    <w:rsid w:val="0024233D"/>
    <w:rsid w:val="00242BA4"/>
    <w:rsid w:val="002434C2"/>
    <w:rsid w:val="00246A42"/>
    <w:rsid w:val="00246C86"/>
    <w:rsid w:val="002475C7"/>
    <w:rsid w:val="00247714"/>
    <w:rsid w:val="00247836"/>
    <w:rsid w:val="002515B5"/>
    <w:rsid w:val="002519A0"/>
    <w:rsid w:val="00253525"/>
    <w:rsid w:val="00253E21"/>
    <w:rsid w:val="00255571"/>
    <w:rsid w:val="0025685E"/>
    <w:rsid w:val="00256B25"/>
    <w:rsid w:val="002570BE"/>
    <w:rsid w:val="00257F2E"/>
    <w:rsid w:val="00257FB3"/>
    <w:rsid w:val="00262280"/>
    <w:rsid w:val="00263376"/>
    <w:rsid w:val="00263971"/>
    <w:rsid w:val="00263B03"/>
    <w:rsid w:val="00264CF1"/>
    <w:rsid w:val="002651B1"/>
    <w:rsid w:val="00266F09"/>
    <w:rsid w:val="002670BF"/>
    <w:rsid w:val="0027080F"/>
    <w:rsid w:val="00273D78"/>
    <w:rsid w:val="00276120"/>
    <w:rsid w:val="00276BE6"/>
    <w:rsid w:val="00281935"/>
    <w:rsid w:val="00281B70"/>
    <w:rsid w:val="00281D77"/>
    <w:rsid w:val="00282095"/>
    <w:rsid w:val="002852B6"/>
    <w:rsid w:val="00285D2A"/>
    <w:rsid w:val="002874DC"/>
    <w:rsid w:val="002901F9"/>
    <w:rsid w:val="002902DD"/>
    <w:rsid w:val="002903FD"/>
    <w:rsid w:val="00290E29"/>
    <w:rsid w:val="00292916"/>
    <w:rsid w:val="00292DF0"/>
    <w:rsid w:val="00293B8F"/>
    <w:rsid w:val="00294AFD"/>
    <w:rsid w:val="00294F2C"/>
    <w:rsid w:val="00296047"/>
    <w:rsid w:val="0029688A"/>
    <w:rsid w:val="00297859"/>
    <w:rsid w:val="002A018A"/>
    <w:rsid w:val="002A088D"/>
    <w:rsid w:val="002A26EB"/>
    <w:rsid w:val="002A33D5"/>
    <w:rsid w:val="002A4057"/>
    <w:rsid w:val="002A58D6"/>
    <w:rsid w:val="002A5E59"/>
    <w:rsid w:val="002A69C0"/>
    <w:rsid w:val="002A7B06"/>
    <w:rsid w:val="002A7C11"/>
    <w:rsid w:val="002B030F"/>
    <w:rsid w:val="002B161D"/>
    <w:rsid w:val="002B2BD2"/>
    <w:rsid w:val="002B395C"/>
    <w:rsid w:val="002B396F"/>
    <w:rsid w:val="002B3AAD"/>
    <w:rsid w:val="002B4826"/>
    <w:rsid w:val="002B5EE0"/>
    <w:rsid w:val="002B6004"/>
    <w:rsid w:val="002B7D57"/>
    <w:rsid w:val="002C2384"/>
    <w:rsid w:val="002C2B70"/>
    <w:rsid w:val="002C2EE3"/>
    <w:rsid w:val="002C3480"/>
    <w:rsid w:val="002C55D0"/>
    <w:rsid w:val="002C5FCE"/>
    <w:rsid w:val="002C7DE1"/>
    <w:rsid w:val="002D0F55"/>
    <w:rsid w:val="002D16C9"/>
    <w:rsid w:val="002D18B1"/>
    <w:rsid w:val="002D29ED"/>
    <w:rsid w:val="002D560E"/>
    <w:rsid w:val="002D5BF6"/>
    <w:rsid w:val="002D6353"/>
    <w:rsid w:val="002D6FE1"/>
    <w:rsid w:val="002D7644"/>
    <w:rsid w:val="002D7E9E"/>
    <w:rsid w:val="002E17BC"/>
    <w:rsid w:val="002E23C1"/>
    <w:rsid w:val="002E2C2C"/>
    <w:rsid w:val="002E4786"/>
    <w:rsid w:val="002E4E63"/>
    <w:rsid w:val="002E51F1"/>
    <w:rsid w:val="002E5BDC"/>
    <w:rsid w:val="002E6281"/>
    <w:rsid w:val="002F07DA"/>
    <w:rsid w:val="002F0A71"/>
    <w:rsid w:val="002F0F56"/>
    <w:rsid w:val="002F1518"/>
    <w:rsid w:val="002F1D98"/>
    <w:rsid w:val="002F360C"/>
    <w:rsid w:val="002F36D2"/>
    <w:rsid w:val="002F46C7"/>
    <w:rsid w:val="002F5DFF"/>
    <w:rsid w:val="002F605B"/>
    <w:rsid w:val="002F7226"/>
    <w:rsid w:val="002F7D4B"/>
    <w:rsid w:val="00301519"/>
    <w:rsid w:val="0030253E"/>
    <w:rsid w:val="003037C2"/>
    <w:rsid w:val="00303A86"/>
    <w:rsid w:val="00303EC8"/>
    <w:rsid w:val="00305B7E"/>
    <w:rsid w:val="003076A5"/>
    <w:rsid w:val="00310B91"/>
    <w:rsid w:val="00311B3E"/>
    <w:rsid w:val="00313580"/>
    <w:rsid w:val="00313D0F"/>
    <w:rsid w:val="003141F1"/>
    <w:rsid w:val="003143CB"/>
    <w:rsid w:val="003146FE"/>
    <w:rsid w:val="00314B11"/>
    <w:rsid w:val="00314CC9"/>
    <w:rsid w:val="00314FE6"/>
    <w:rsid w:val="00316AFA"/>
    <w:rsid w:val="00316FC4"/>
    <w:rsid w:val="00320497"/>
    <w:rsid w:val="0032136A"/>
    <w:rsid w:val="00321638"/>
    <w:rsid w:val="00321D2A"/>
    <w:rsid w:val="00322120"/>
    <w:rsid w:val="003233CA"/>
    <w:rsid w:val="00323553"/>
    <w:rsid w:val="00323DDE"/>
    <w:rsid w:val="00325B4C"/>
    <w:rsid w:val="00325FEF"/>
    <w:rsid w:val="0032665C"/>
    <w:rsid w:val="00327A28"/>
    <w:rsid w:val="00332AB7"/>
    <w:rsid w:val="0033525B"/>
    <w:rsid w:val="0033657B"/>
    <w:rsid w:val="00337ACB"/>
    <w:rsid w:val="00341B2D"/>
    <w:rsid w:val="0034217E"/>
    <w:rsid w:val="00342206"/>
    <w:rsid w:val="00342727"/>
    <w:rsid w:val="0034700E"/>
    <w:rsid w:val="003470BE"/>
    <w:rsid w:val="00347B79"/>
    <w:rsid w:val="00350AFD"/>
    <w:rsid w:val="00351C06"/>
    <w:rsid w:val="00353910"/>
    <w:rsid w:val="00354A7F"/>
    <w:rsid w:val="00355008"/>
    <w:rsid w:val="00355A8D"/>
    <w:rsid w:val="003564D4"/>
    <w:rsid w:val="00357ADB"/>
    <w:rsid w:val="00360DEE"/>
    <w:rsid w:val="0036194F"/>
    <w:rsid w:val="0036395B"/>
    <w:rsid w:val="00363E1E"/>
    <w:rsid w:val="00365BD5"/>
    <w:rsid w:val="00366692"/>
    <w:rsid w:val="003675F5"/>
    <w:rsid w:val="00367B98"/>
    <w:rsid w:val="00367E33"/>
    <w:rsid w:val="00371734"/>
    <w:rsid w:val="00372ADD"/>
    <w:rsid w:val="00372CDC"/>
    <w:rsid w:val="00374231"/>
    <w:rsid w:val="003752FC"/>
    <w:rsid w:val="00377E3D"/>
    <w:rsid w:val="00380335"/>
    <w:rsid w:val="00380BE4"/>
    <w:rsid w:val="0038162B"/>
    <w:rsid w:val="0038437D"/>
    <w:rsid w:val="00384CDA"/>
    <w:rsid w:val="00385094"/>
    <w:rsid w:val="00385466"/>
    <w:rsid w:val="00386883"/>
    <w:rsid w:val="00386B58"/>
    <w:rsid w:val="0039015D"/>
    <w:rsid w:val="00390B63"/>
    <w:rsid w:val="003913B8"/>
    <w:rsid w:val="00392849"/>
    <w:rsid w:val="00392EEE"/>
    <w:rsid w:val="00393E83"/>
    <w:rsid w:val="00394794"/>
    <w:rsid w:val="00394B9C"/>
    <w:rsid w:val="003951A4"/>
    <w:rsid w:val="00395AF9"/>
    <w:rsid w:val="00395C78"/>
    <w:rsid w:val="00395CC8"/>
    <w:rsid w:val="00396597"/>
    <w:rsid w:val="003A040C"/>
    <w:rsid w:val="003A0EA7"/>
    <w:rsid w:val="003A30F3"/>
    <w:rsid w:val="003A3BF3"/>
    <w:rsid w:val="003A3C6A"/>
    <w:rsid w:val="003A53B4"/>
    <w:rsid w:val="003A6B1C"/>
    <w:rsid w:val="003A6EC4"/>
    <w:rsid w:val="003A75BC"/>
    <w:rsid w:val="003A78E9"/>
    <w:rsid w:val="003B08E4"/>
    <w:rsid w:val="003B1B06"/>
    <w:rsid w:val="003B1FC7"/>
    <w:rsid w:val="003B207E"/>
    <w:rsid w:val="003B311E"/>
    <w:rsid w:val="003B64B5"/>
    <w:rsid w:val="003B665F"/>
    <w:rsid w:val="003B7B4A"/>
    <w:rsid w:val="003C0B83"/>
    <w:rsid w:val="003C169C"/>
    <w:rsid w:val="003C27D7"/>
    <w:rsid w:val="003C2E17"/>
    <w:rsid w:val="003C40A3"/>
    <w:rsid w:val="003C4790"/>
    <w:rsid w:val="003C5C77"/>
    <w:rsid w:val="003C60D1"/>
    <w:rsid w:val="003C629D"/>
    <w:rsid w:val="003D05C3"/>
    <w:rsid w:val="003D28BA"/>
    <w:rsid w:val="003D46B9"/>
    <w:rsid w:val="003D4B96"/>
    <w:rsid w:val="003D4CC1"/>
    <w:rsid w:val="003D62D3"/>
    <w:rsid w:val="003D7032"/>
    <w:rsid w:val="003D7E95"/>
    <w:rsid w:val="003E0601"/>
    <w:rsid w:val="003E13FF"/>
    <w:rsid w:val="003E156F"/>
    <w:rsid w:val="003E2135"/>
    <w:rsid w:val="003E2C8A"/>
    <w:rsid w:val="003E42DF"/>
    <w:rsid w:val="003E4BEE"/>
    <w:rsid w:val="003E4D79"/>
    <w:rsid w:val="003E61B9"/>
    <w:rsid w:val="003E6441"/>
    <w:rsid w:val="003E6685"/>
    <w:rsid w:val="003F0560"/>
    <w:rsid w:val="003F1A7D"/>
    <w:rsid w:val="003F2BF5"/>
    <w:rsid w:val="003F3162"/>
    <w:rsid w:val="003F4CCF"/>
    <w:rsid w:val="003F4DC4"/>
    <w:rsid w:val="003F4E1D"/>
    <w:rsid w:val="003F59C1"/>
    <w:rsid w:val="003F6690"/>
    <w:rsid w:val="003F6E80"/>
    <w:rsid w:val="003F755A"/>
    <w:rsid w:val="00400824"/>
    <w:rsid w:val="00400BA0"/>
    <w:rsid w:val="00400D4F"/>
    <w:rsid w:val="0040137F"/>
    <w:rsid w:val="00401D9E"/>
    <w:rsid w:val="00401F85"/>
    <w:rsid w:val="00402036"/>
    <w:rsid w:val="00404579"/>
    <w:rsid w:val="00404B44"/>
    <w:rsid w:val="0040630C"/>
    <w:rsid w:val="00407C82"/>
    <w:rsid w:val="00410577"/>
    <w:rsid w:val="0041060C"/>
    <w:rsid w:val="00410E0D"/>
    <w:rsid w:val="00411B3A"/>
    <w:rsid w:val="00412233"/>
    <w:rsid w:val="00413AE8"/>
    <w:rsid w:val="00414F4F"/>
    <w:rsid w:val="00415DAF"/>
    <w:rsid w:val="0041781B"/>
    <w:rsid w:val="00420224"/>
    <w:rsid w:val="004202BF"/>
    <w:rsid w:val="0042065F"/>
    <w:rsid w:val="004206AD"/>
    <w:rsid w:val="004208A4"/>
    <w:rsid w:val="004208BE"/>
    <w:rsid w:val="00420E0B"/>
    <w:rsid w:val="00421625"/>
    <w:rsid w:val="00422D60"/>
    <w:rsid w:val="00425039"/>
    <w:rsid w:val="00426AA4"/>
    <w:rsid w:val="004270CA"/>
    <w:rsid w:val="00427430"/>
    <w:rsid w:val="004304A7"/>
    <w:rsid w:val="004309B2"/>
    <w:rsid w:val="00431316"/>
    <w:rsid w:val="00431FC3"/>
    <w:rsid w:val="00432905"/>
    <w:rsid w:val="004333C3"/>
    <w:rsid w:val="00434319"/>
    <w:rsid w:val="00434D1D"/>
    <w:rsid w:val="00435602"/>
    <w:rsid w:val="004360C2"/>
    <w:rsid w:val="004364B7"/>
    <w:rsid w:val="0043749A"/>
    <w:rsid w:val="00437A57"/>
    <w:rsid w:val="00437BAE"/>
    <w:rsid w:val="004408DB"/>
    <w:rsid w:val="00442730"/>
    <w:rsid w:val="00442940"/>
    <w:rsid w:val="004441E8"/>
    <w:rsid w:val="00444B0F"/>
    <w:rsid w:val="0044529C"/>
    <w:rsid w:val="00446CA0"/>
    <w:rsid w:val="00447075"/>
    <w:rsid w:val="004471C9"/>
    <w:rsid w:val="00447B15"/>
    <w:rsid w:val="00447EFF"/>
    <w:rsid w:val="00450892"/>
    <w:rsid w:val="00450EF0"/>
    <w:rsid w:val="004519D5"/>
    <w:rsid w:val="004541E3"/>
    <w:rsid w:val="004542B1"/>
    <w:rsid w:val="00454BE2"/>
    <w:rsid w:val="00454FF6"/>
    <w:rsid w:val="0045567F"/>
    <w:rsid w:val="00455995"/>
    <w:rsid w:val="004559B7"/>
    <w:rsid w:val="00455DBA"/>
    <w:rsid w:val="00457281"/>
    <w:rsid w:val="004576EC"/>
    <w:rsid w:val="004579EA"/>
    <w:rsid w:val="00460E3D"/>
    <w:rsid w:val="00460EEE"/>
    <w:rsid w:val="00461AB0"/>
    <w:rsid w:val="00463F6E"/>
    <w:rsid w:val="00464A06"/>
    <w:rsid w:val="00467204"/>
    <w:rsid w:val="00472C15"/>
    <w:rsid w:val="004730FE"/>
    <w:rsid w:val="00473151"/>
    <w:rsid w:val="0047349F"/>
    <w:rsid w:val="00473D44"/>
    <w:rsid w:val="00476927"/>
    <w:rsid w:val="0047772E"/>
    <w:rsid w:val="0047789F"/>
    <w:rsid w:val="00477BBA"/>
    <w:rsid w:val="0048025D"/>
    <w:rsid w:val="004815FB"/>
    <w:rsid w:val="00484109"/>
    <w:rsid w:val="00484E39"/>
    <w:rsid w:val="00485E8D"/>
    <w:rsid w:val="00486ECA"/>
    <w:rsid w:val="0048783F"/>
    <w:rsid w:val="00487E26"/>
    <w:rsid w:val="004919F7"/>
    <w:rsid w:val="004930C0"/>
    <w:rsid w:val="0049393C"/>
    <w:rsid w:val="00493F58"/>
    <w:rsid w:val="00494BF2"/>
    <w:rsid w:val="00495CE6"/>
    <w:rsid w:val="004962CB"/>
    <w:rsid w:val="004A039D"/>
    <w:rsid w:val="004A08F1"/>
    <w:rsid w:val="004A0A21"/>
    <w:rsid w:val="004A209E"/>
    <w:rsid w:val="004A3237"/>
    <w:rsid w:val="004A3D6F"/>
    <w:rsid w:val="004A4DA3"/>
    <w:rsid w:val="004A584C"/>
    <w:rsid w:val="004A68CA"/>
    <w:rsid w:val="004A6BAA"/>
    <w:rsid w:val="004A6E25"/>
    <w:rsid w:val="004B0145"/>
    <w:rsid w:val="004B294E"/>
    <w:rsid w:val="004B2AF6"/>
    <w:rsid w:val="004B2ED1"/>
    <w:rsid w:val="004B3F4E"/>
    <w:rsid w:val="004B5AF3"/>
    <w:rsid w:val="004B61EB"/>
    <w:rsid w:val="004B6321"/>
    <w:rsid w:val="004B6652"/>
    <w:rsid w:val="004B6AB2"/>
    <w:rsid w:val="004B6B7A"/>
    <w:rsid w:val="004B75E6"/>
    <w:rsid w:val="004C1712"/>
    <w:rsid w:val="004C1823"/>
    <w:rsid w:val="004C19CB"/>
    <w:rsid w:val="004C2B8C"/>
    <w:rsid w:val="004C4018"/>
    <w:rsid w:val="004C40D6"/>
    <w:rsid w:val="004C5FD8"/>
    <w:rsid w:val="004C6A37"/>
    <w:rsid w:val="004C7F69"/>
    <w:rsid w:val="004D1818"/>
    <w:rsid w:val="004D1D7D"/>
    <w:rsid w:val="004D2970"/>
    <w:rsid w:val="004D689B"/>
    <w:rsid w:val="004D6A63"/>
    <w:rsid w:val="004D6B72"/>
    <w:rsid w:val="004D78F5"/>
    <w:rsid w:val="004E02E9"/>
    <w:rsid w:val="004E0CA3"/>
    <w:rsid w:val="004E2DA0"/>
    <w:rsid w:val="004E434F"/>
    <w:rsid w:val="004E4936"/>
    <w:rsid w:val="004E66F2"/>
    <w:rsid w:val="004F09C8"/>
    <w:rsid w:val="004F1584"/>
    <w:rsid w:val="004F2552"/>
    <w:rsid w:val="004F2E3A"/>
    <w:rsid w:val="004F2E6F"/>
    <w:rsid w:val="004F55D1"/>
    <w:rsid w:val="004F718F"/>
    <w:rsid w:val="004F7442"/>
    <w:rsid w:val="00501D62"/>
    <w:rsid w:val="0050259A"/>
    <w:rsid w:val="00502F17"/>
    <w:rsid w:val="0050337E"/>
    <w:rsid w:val="005061F7"/>
    <w:rsid w:val="00510B5B"/>
    <w:rsid w:val="00512277"/>
    <w:rsid w:val="00512510"/>
    <w:rsid w:val="00512AC8"/>
    <w:rsid w:val="00512BF1"/>
    <w:rsid w:val="00512D75"/>
    <w:rsid w:val="00514CA6"/>
    <w:rsid w:val="0051551F"/>
    <w:rsid w:val="0051594C"/>
    <w:rsid w:val="005159B8"/>
    <w:rsid w:val="00516DD4"/>
    <w:rsid w:val="0051731C"/>
    <w:rsid w:val="00517831"/>
    <w:rsid w:val="0052012D"/>
    <w:rsid w:val="00520766"/>
    <w:rsid w:val="00521A1E"/>
    <w:rsid w:val="00522B14"/>
    <w:rsid w:val="0052370D"/>
    <w:rsid w:val="005247D1"/>
    <w:rsid w:val="005251BF"/>
    <w:rsid w:val="005311A9"/>
    <w:rsid w:val="0053208F"/>
    <w:rsid w:val="005323F4"/>
    <w:rsid w:val="00533BD1"/>
    <w:rsid w:val="00534B30"/>
    <w:rsid w:val="00534B51"/>
    <w:rsid w:val="00534DB2"/>
    <w:rsid w:val="00535894"/>
    <w:rsid w:val="00536167"/>
    <w:rsid w:val="00540A32"/>
    <w:rsid w:val="00540BEB"/>
    <w:rsid w:val="00542459"/>
    <w:rsid w:val="0054271A"/>
    <w:rsid w:val="00542EB9"/>
    <w:rsid w:val="00543292"/>
    <w:rsid w:val="00543B2A"/>
    <w:rsid w:val="00544641"/>
    <w:rsid w:val="005452D6"/>
    <w:rsid w:val="005452F8"/>
    <w:rsid w:val="005456DE"/>
    <w:rsid w:val="00545BC5"/>
    <w:rsid w:val="005472D8"/>
    <w:rsid w:val="005479D5"/>
    <w:rsid w:val="0055102C"/>
    <w:rsid w:val="0055148B"/>
    <w:rsid w:val="00551B83"/>
    <w:rsid w:val="005537D1"/>
    <w:rsid w:val="00556100"/>
    <w:rsid w:val="005565C3"/>
    <w:rsid w:val="00556BA0"/>
    <w:rsid w:val="00557296"/>
    <w:rsid w:val="005572D5"/>
    <w:rsid w:val="00557C78"/>
    <w:rsid w:val="005605DD"/>
    <w:rsid w:val="005629DF"/>
    <w:rsid w:val="00562A98"/>
    <w:rsid w:val="0056314A"/>
    <w:rsid w:val="00563C75"/>
    <w:rsid w:val="005643D4"/>
    <w:rsid w:val="005647B6"/>
    <w:rsid w:val="005650D0"/>
    <w:rsid w:val="00566ED5"/>
    <w:rsid w:val="005675DD"/>
    <w:rsid w:val="0056766B"/>
    <w:rsid w:val="00567FA3"/>
    <w:rsid w:val="005703BF"/>
    <w:rsid w:val="00571265"/>
    <w:rsid w:val="0057141D"/>
    <w:rsid w:val="00572D6F"/>
    <w:rsid w:val="00573801"/>
    <w:rsid w:val="005739AF"/>
    <w:rsid w:val="005743D5"/>
    <w:rsid w:val="005745F9"/>
    <w:rsid w:val="00574F18"/>
    <w:rsid w:val="0057790B"/>
    <w:rsid w:val="0057797D"/>
    <w:rsid w:val="00577FB9"/>
    <w:rsid w:val="00580BD6"/>
    <w:rsid w:val="00581D12"/>
    <w:rsid w:val="005829F3"/>
    <w:rsid w:val="0058317A"/>
    <w:rsid w:val="00583DD8"/>
    <w:rsid w:val="00585F48"/>
    <w:rsid w:val="00591809"/>
    <w:rsid w:val="00592800"/>
    <w:rsid w:val="005932F4"/>
    <w:rsid w:val="00594210"/>
    <w:rsid w:val="005943A0"/>
    <w:rsid w:val="0059486E"/>
    <w:rsid w:val="005973D1"/>
    <w:rsid w:val="005A07DB"/>
    <w:rsid w:val="005A11BE"/>
    <w:rsid w:val="005A184A"/>
    <w:rsid w:val="005A1B6E"/>
    <w:rsid w:val="005A1EE1"/>
    <w:rsid w:val="005A2494"/>
    <w:rsid w:val="005A31CF"/>
    <w:rsid w:val="005A35AC"/>
    <w:rsid w:val="005A3741"/>
    <w:rsid w:val="005A5446"/>
    <w:rsid w:val="005A5EFF"/>
    <w:rsid w:val="005A7308"/>
    <w:rsid w:val="005B0709"/>
    <w:rsid w:val="005B0E09"/>
    <w:rsid w:val="005B1B19"/>
    <w:rsid w:val="005B2496"/>
    <w:rsid w:val="005B2626"/>
    <w:rsid w:val="005B4959"/>
    <w:rsid w:val="005B5249"/>
    <w:rsid w:val="005B52D9"/>
    <w:rsid w:val="005B5393"/>
    <w:rsid w:val="005B5CA2"/>
    <w:rsid w:val="005B6342"/>
    <w:rsid w:val="005B6C55"/>
    <w:rsid w:val="005C1C73"/>
    <w:rsid w:val="005C252D"/>
    <w:rsid w:val="005C2F5E"/>
    <w:rsid w:val="005C3C95"/>
    <w:rsid w:val="005C4E83"/>
    <w:rsid w:val="005C4FE9"/>
    <w:rsid w:val="005C59C5"/>
    <w:rsid w:val="005C7737"/>
    <w:rsid w:val="005C7F83"/>
    <w:rsid w:val="005D0634"/>
    <w:rsid w:val="005D0734"/>
    <w:rsid w:val="005D12C4"/>
    <w:rsid w:val="005D2A88"/>
    <w:rsid w:val="005D3805"/>
    <w:rsid w:val="005D571B"/>
    <w:rsid w:val="005D57C7"/>
    <w:rsid w:val="005D58D7"/>
    <w:rsid w:val="005D6DB2"/>
    <w:rsid w:val="005D6E91"/>
    <w:rsid w:val="005D6F0C"/>
    <w:rsid w:val="005D7803"/>
    <w:rsid w:val="005D7DEA"/>
    <w:rsid w:val="005E1173"/>
    <w:rsid w:val="005E130C"/>
    <w:rsid w:val="005E199A"/>
    <w:rsid w:val="005E229C"/>
    <w:rsid w:val="005E3FD3"/>
    <w:rsid w:val="005E440B"/>
    <w:rsid w:val="005E5461"/>
    <w:rsid w:val="005E6019"/>
    <w:rsid w:val="005E6A84"/>
    <w:rsid w:val="005E7703"/>
    <w:rsid w:val="005E77F4"/>
    <w:rsid w:val="005F27D7"/>
    <w:rsid w:val="005F2893"/>
    <w:rsid w:val="005F31A7"/>
    <w:rsid w:val="005F346E"/>
    <w:rsid w:val="005F3E72"/>
    <w:rsid w:val="005F4A24"/>
    <w:rsid w:val="005F4C63"/>
    <w:rsid w:val="005F4D13"/>
    <w:rsid w:val="005F52DA"/>
    <w:rsid w:val="005F579D"/>
    <w:rsid w:val="005F7FFC"/>
    <w:rsid w:val="00601E8A"/>
    <w:rsid w:val="00602707"/>
    <w:rsid w:val="00602F71"/>
    <w:rsid w:val="0060474B"/>
    <w:rsid w:val="00605AB2"/>
    <w:rsid w:val="006063E3"/>
    <w:rsid w:val="006067AB"/>
    <w:rsid w:val="006078FB"/>
    <w:rsid w:val="00610032"/>
    <w:rsid w:val="006121AB"/>
    <w:rsid w:val="0061392C"/>
    <w:rsid w:val="00616696"/>
    <w:rsid w:val="0062222F"/>
    <w:rsid w:val="00622DE0"/>
    <w:rsid w:val="00623AC8"/>
    <w:rsid w:val="00626772"/>
    <w:rsid w:val="006277A2"/>
    <w:rsid w:val="00627A40"/>
    <w:rsid w:val="006308EB"/>
    <w:rsid w:val="006325C3"/>
    <w:rsid w:val="006330F7"/>
    <w:rsid w:val="00633316"/>
    <w:rsid w:val="00633556"/>
    <w:rsid w:val="006360DB"/>
    <w:rsid w:val="00637487"/>
    <w:rsid w:val="0064021D"/>
    <w:rsid w:val="00641312"/>
    <w:rsid w:val="00641E0B"/>
    <w:rsid w:val="0064228B"/>
    <w:rsid w:val="00642762"/>
    <w:rsid w:val="006437E6"/>
    <w:rsid w:val="00643B84"/>
    <w:rsid w:val="00644A04"/>
    <w:rsid w:val="00644B8E"/>
    <w:rsid w:val="006454DD"/>
    <w:rsid w:val="00646A8F"/>
    <w:rsid w:val="0064705B"/>
    <w:rsid w:val="006472C5"/>
    <w:rsid w:val="006478D3"/>
    <w:rsid w:val="00647F1F"/>
    <w:rsid w:val="00650299"/>
    <w:rsid w:val="006502FC"/>
    <w:rsid w:val="00650904"/>
    <w:rsid w:val="00652072"/>
    <w:rsid w:val="00653E92"/>
    <w:rsid w:val="006544D7"/>
    <w:rsid w:val="00654BFE"/>
    <w:rsid w:val="00654EAA"/>
    <w:rsid w:val="00654F5B"/>
    <w:rsid w:val="00655539"/>
    <w:rsid w:val="0065581F"/>
    <w:rsid w:val="0065603A"/>
    <w:rsid w:val="00660152"/>
    <w:rsid w:val="00660C09"/>
    <w:rsid w:val="00661298"/>
    <w:rsid w:val="00662E4F"/>
    <w:rsid w:val="0066308F"/>
    <w:rsid w:val="00664BFE"/>
    <w:rsid w:val="00665915"/>
    <w:rsid w:val="006660CF"/>
    <w:rsid w:val="006663E5"/>
    <w:rsid w:val="00666D03"/>
    <w:rsid w:val="00666D28"/>
    <w:rsid w:val="006670CE"/>
    <w:rsid w:val="0067232D"/>
    <w:rsid w:val="00672AC1"/>
    <w:rsid w:val="00672E59"/>
    <w:rsid w:val="0067360B"/>
    <w:rsid w:val="00673A0D"/>
    <w:rsid w:val="00675F1C"/>
    <w:rsid w:val="00677BAA"/>
    <w:rsid w:val="00680B14"/>
    <w:rsid w:val="00682204"/>
    <w:rsid w:val="00682681"/>
    <w:rsid w:val="006826A9"/>
    <w:rsid w:val="006828EA"/>
    <w:rsid w:val="00682DF8"/>
    <w:rsid w:val="0068346E"/>
    <w:rsid w:val="006875D4"/>
    <w:rsid w:val="00687EFF"/>
    <w:rsid w:val="00690483"/>
    <w:rsid w:val="006905A8"/>
    <w:rsid w:val="00690B95"/>
    <w:rsid w:val="00691DEA"/>
    <w:rsid w:val="00692278"/>
    <w:rsid w:val="00693DDD"/>
    <w:rsid w:val="006945CD"/>
    <w:rsid w:val="006945FD"/>
    <w:rsid w:val="006948F3"/>
    <w:rsid w:val="006949A0"/>
    <w:rsid w:val="006957DB"/>
    <w:rsid w:val="0069632F"/>
    <w:rsid w:val="006A1787"/>
    <w:rsid w:val="006A2CCF"/>
    <w:rsid w:val="006A3044"/>
    <w:rsid w:val="006A35DF"/>
    <w:rsid w:val="006A43E6"/>
    <w:rsid w:val="006A4654"/>
    <w:rsid w:val="006A4CD0"/>
    <w:rsid w:val="006B0009"/>
    <w:rsid w:val="006B07FD"/>
    <w:rsid w:val="006B0B4F"/>
    <w:rsid w:val="006B0DDB"/>
    <w:rsid w:val="006B0F87"/>
    <w:rsid w:val="006B1C1C"/>
    <w:rsid w:val="006B4824"/>
    <w:rsid w:val="006B48D1"/>
    <w:rsid w:val="006B4B71"/>
    <w:rsid w:val="006B5A52"/>
    <w:rsid w:val="006C3663"/>
    <w:rsid w:val="006C4A09"/>
    <w:rsid w:val="006C6145"/>
    <w:rsid w:val="006C72F2"/>
    <w:rsid w:val="006D2A25"/>
    <w:rsid w:val="006D2AC5"/>
    <w:rsid w:val="006D4D6D"/>
    <w:rsid w:val="006D4F50"/>
    <w:rsid w:val="006D5356"/>
    <w:rsid w:val="006D5440"/>
    <w:rsid w:val="006D5AF5"/>
    <w:rsid w:val="006D6B03"/>
    <w:rsid w:val="006D6DD1"/>
    <w:rsid w:val="006D795F"/>
    <w:rsid w:val="006E0D61"/>
    <w:rsid w:val="006E1AE7"/>
    <w:rsid w:val="006E3E02"/>
    <w:rsid w:val="006E569B"/>
    <w:rsid w:val="006E7556"/>
    <w:rsid w:val="006F1A8C"/>
    <w:rsid w:val="006F247F"/>
    <w:rsid w:val="006F2D94"/>
    <w:rsid w:val="006F31DE"/>
    <w:rsid w:val="006F4BFA"/>
    <w:rsid w:val="006F4E6D"/>
    <w:rsid w:val="006F760A"/>
    <w:rsid w:val="00700CA0"/>
    <w:rsid w:val="00701D33"/>
    <w:rsid w:val="007039DC"/>
    <w:rsid w:val="00704E0A"/>
    <w:rsid w:val="00705A3A"/>
    <w:rsid w:val="00705ABE"/>
    <w:rsid w:val="00706D61"/>
    <w:rsid w:val="0070704F"/>
    <w:rsid w:val="0070756F"/>
    <w:rsid w:val="0071001C"/>
    <w:rsid w:val="00710EA4"/>
    <w:rsid w:val="00712757"/>
    <w:rsid w:val="00715516"/>
    <w:rsid w:val="0071606C"/>
    <w:rsid w:val="00716FA4"/>
    <w:rsid w:val="007210B0"/>
    <w:rsid w:val="00726899"/>
    <w:rsid w:val="00726C74"/>
    <w:rsid w:val="00730922"/>
    <w:rsid w:val="00732251"/>
    <w:rsid w:val="007348E1"/>
    <w:rsid w:val="00735164"/>
    <w:rsid w:val="007351E1"/>
    <w:rsid w:val="00736423"/>
    <w:rsid w:val="007364BF"/>
    <w:rsid w:val="007368B8"/>
    <w:rsid w:val="0073782B"/>
    <w:rsid w:val="00737891"/>
    <w:rsid w:val="0074034C"/>
    <w:rsid w:val="0074137A"/>
    <w:rsid w:val="0074175F"/>
    <w:rsid w:val="00741A57"/>
    <w:rsid w:val="00742032"/>
    <w:rsid w:val="007433B7"/>
    <w:rsid w:val="007452D1"/>
    <w:rsid w:val="00745652"/>
    <w:rsid w:val="00746CF0"/>
    <w:rsid w:val="007478BD"/>
    <w:rsid w:val="0075060A"/>
    <w:rsid w:val="0075107B"/>
    <w:rsid w:val="0075307D"/>
    <w:rsid w:val="00754363"/>
    <w:rsid w:val="00755D07"/>
    <w:rsid w:val="00757FDE"/>
    <w:rsid w:val="0076166A"/>
    <w:rsid w:val="00761692"/>
    <w:rsid w:val="00761D0C"/>
    <w:rsid w:val="00762343"/>
    <w:rsid w:val="00762A01"/>
    <w:rsid w:val="00762BEE"/>
    <w:rsid w:val="007637EE"/>
    <w:rsid w:val="00763870"/>
    <w:rsid w:val="00764406"/>
    <w:rsid w:val="00765491"/>
    <w:rsid w:val="0076575B"/>
    <w:rsid w:val="00766F42"/>
    <w:rsid w:val="0076740D"/>
    <w:rsid w:val="00770111"/>
    <w:rsid w:val="0077084B"/>
    <w:rsid w:val="00770A41"/>
    <w:rsid w:val="00771730"/>
    <w:rsid w:val="00771BF5"/>
    <w:rsid w:val="007721D4"/>
    <w:rsid w:val="007726C0"/>
    <w:rsid w:val="007727F0"/>
    <w:rsid w:val="00772F43"/>
    <w:rsid w:val="00774901"/>
    <w:rsid w:val="00775C56"/>
    <w:rsid w:val="0077682A"/>
    <w:rsid w:val="00776E93"/>
    <w:rsid w:val="00780F40"/>
    <w:rsid w:val="00782776"/>
    <w:rsid w:val="007858DE"/>
    <w:rsid w:val="00785E29"/>
    <w:rsid w:val="00787D82"/>
    <w:rsid w:val="00787F35"/>
    <w:rsid w:val="0079028E"/>
    <w:rsid w:val="00790440"/>
    <w:rsid w:val="007912CC"/>
    <w:rsid w:val="00791DAC"/>
    <w:rsid w:val="0079213F"/>
    <w:rsid w:val="0079256A"/>
    <w:rsid w:val="00792896"/>
    <w:rsid w:val="00792A75"/>
    <w:rsid w:val="00795A35"/>
    <w:rsid w:val="00796076"/>
    <w:rsid w:val="0079659C"/>
    <w:rsid w:val="00796AB3"/>
    <w:rsid w:val="00797B7C"/>
    <w:rsid w:val="007A27CB"/>
    <w:rsid w:val="007A282C"/>
    <w:rsid w:val="007A3ECD"/>
    <w:rsid w:val="007A4059"/>
    <w:rsid w:val="007A408C"/>
    <w:rsid w:val="007A55CC"/>
    <w:rsid w:val="007A5A16"/>
    <w:rsid w:val="007A66D9"/>
    <w:rsid w:val="007A680A"/>
    <w:rsid w:val="007A6CAD"/>
    <w:rsid w:val="007A797B"/>
    <w:rsid w:val="007B02B7"/>
    <w:rsid w:val="007B0C42"/>
    <w:rsid w:val="007B3EFA"/>
    <w:rsid w:val="007B411B"/>
    <w:rsid w:val="007B4170"/>
    <w:rsid w:val="007B41CC"/>
    <w:rsid w:val="007B464F"/>
    <w:rsid w:val="007B4E98"/>
    <w:rsid w:val="007B67E4"/>
    <w:rsid w:val="007B7295"/>
    <w:rsid w:val="007B74DC"/>
    <w:rsid w:val="007B773A"/>
    <w:rsid w:val="007C0D8B"/>
    <w:rsid w:val="007C1338"/>
    <w:rsid w:val="007C24B2"/>
    <w:rsid w:val="007C3F3C"/>
    <w:rsid w:val="007C408C"/>
    <w:rsid w:val="007C4197"/>
    <w:rsid w:val="007C5F76"/>
    <w:rsid w:val="007C72F8"/>
    <w:rsid w:val="007D171F"/>
    <w:rsid w:val="007D1C9A"/>
    <w:rsid w:val="007D1EFF"/>
    <w:rsid w:val="007D2A55"/>
    <w:rsid w:val="007D2DDD"/>
    <w:rsid w:val="007D4785"/>
    <w:rsid w:val="007D5A0F"/>
    <w:rsid w:val="007D6798"/>
    <w:rsid w:val="007D6D6E"/>
    <w:rsid w:val="007D6F14"/>
    <w:rsid w:val="007D705F"/>
    <w:rsid w:val="007D7C56"/>
    <w:rsid w:val="007D7D7A"/>
    <w:rsid w:val="007E0601"/>
    <w:rsid w:val="007E1998"/>
    <w:rsid w:val="007E1BF2"/>
    <w:rsid w:val="007E2231"/>
    <w:rsid w:val="007E2391"/>
    <w:rsid w:val="007E242E"/>
    <w:rsid w:val="007E4C7A"/>
    <w:rsid w:val="007E6740"/>
    <w:rsid w:val="007E69B9"/>
    <w:rsid w:val="007F07A3"/>
    <w:rsid w:val="007F0BEA"/>
    <w:rsid w:val="007F1FF5"/>
    <w:rsid w:val="007F40A1"/>
    <w:rsid w:val="007F57C6"/>
    <w:rsid w:val="007F6B8D"/>
    <w:rsid w:val="008001A2"/>
    <w:rsid w:val="00804EFD"/>
    <w:rsid w:val="00805258"/>
    <w:rsid w:val="008052D9"/>
    <w:rsid w:val="0080558B"/>
    <w:rsid w:val="00805847"/>
    <w:rsid w:val="00806D10"/>
    <w:rsid w:val="0080740D"/>
    <w:rsid w:val="00810DE2"/>
    <w:rsid w:val="00811454"/>
    <w:rsid w:val="00811CD8"/>
    <w:rsid w:val="00811E29"/>
    <w:rsid w:val="00812227"/>
    <w:rsid w:val="0081312D"/>
    <w:rsid w:val="00813EB5"/>
    <w:rsid w:val="008150A1"/>
    <w:rsid w:val="00815A79"/>
    <w:rsid w:val="00816B5D"/>
    <w:rsid w:val="0081707B"/>
    <w:rsid w:val="008177C3"/>
    <w:rsid w:val="00817817"/>
    <w:rsid w:val="00817F4E"/>
    <w:rsid w:val="008203A8"/>
    <w:rsid w:val="008210F9"/>
    <w:rsid w:val="00821325"/>
    <w:rsid w:val="00822625"/>
    <w:rsid w:val="008226EF"/>
    <w:rsid w:val="00823839"/>
    <w:rsid w:val="008239CD"/>
    <w:rsid w:val="0082440E"/>
    <w:rsid w:val="0082480A"/>
    <w:rsid w:val="00825842"/>
    <w:rsid w:val="00825B89"/>
    <w:rsid w:val="00825E3C"/>
    <w:rsid w:val="00826141"/>
    <w:rsid w:val="008274AE"/>
    <w:rsid w:val="00827EF9"/>
    <w:rsid w:val="00830B12"/>
    <w:rsid w:val="008313FF"/>
    <w:rsid w:val="00832906"/>
    <w:rsid w:val="0083326D"/>
    <w:rsid w:val="00834382"/>
    <w:rsid w:val="008364D8"/>
    <w:rsid w:val="00836A0C"/>
    <w:rsid w:val="00840CE1"/>
    <w:rsid w:val="00840D1D"/>
    <w:rsid w:val="008418BB"/>
    <w:rsid w:val="008452C1"/>
    <w:rsid w:val="00845373"/>
    <w:rsid w:val="00845D95"/>
    <w:rsid w:val="00847917"/>
    <w:rsid w:val="00847968"/>
    <w:rsid w:val="00851225"/>
    <w:rsid w:val="00852676"/>
    <w:rsid w:val="008531D6"/>
    <w:rsid w:val="008536CB"/>
    <w:rsid w:val="0085386A"/>
    <w:rsid w:val="00854AB1"/>
    <w:rsid w:val="0085653F"/>
    <w:rsid w:val="0085679D"/>
    <w:rsid w:val="0086029D"/>
    <w:rsid w:val="0086117A"/>
    <w:rsid w:val="0086254C"/>
    <w:rsid w:val="00863B27"/>
    <w:rsid w:val="00864FBE"/>
    <w:rsid w:val="0086547C"/>
    <w:rsid w:val="00867306"/>
    <w:rsid w:val="00867419"/>
    <w:rsid w:val="008701D0"/>
    <w:rsid w:val="0087071F"/>
    <w:rsid w:val="00871065"/>
    <w:rsid w:val="00871BF1"/>
    <w:rsid w:val="00872B1C"/>
    <w:rsid w:val="00872D1F"/>
    <w:rsid w:val="0087562F"/>
    <w:rsid w:val="0087658C"/>
    <w:rsid w:val="0087724C"/>
    <w:rsid w:val="008775E0"/>
    <w:rsid w:val="008800BC"/>
    <w:rsid w:val="0088134D"/>
    <w:rsid w:val="008821B8"/>
    <w:rsid w:val="00882C3E"/>
    <w:rsid w:val="00883A34"/>
    <w:rsid w:val="00887967"/>
    <w:rsid w:val="00887FE3"/>
    <w:rsid w:val="008904D8"/>
    <w:rsid w:val="00896A05"/>
    <w:rsid w:val="008A413F"/>
    <w:rsid w:val="008A561C"/>
    <w:rsid w:val="008A68F9"/>
    <w:rsid w:val="008A720E"/>
    <w:rsid w:val="008A7EF1"/>
    <w:rsid w:val="008B3C2F"/>
    <w:rsid w:val="008B4001"/>
    <w:rsid w:val="008B4925"/>
    <w:rsid w:val="008B5CC6"/>
    <w:rsid w:val="008C20FE"/>
    <w:rsid w:val="008C2756"/>
    <w:rsid w:val="008C2CAB"/>
    <w:rsid w:val="008C411D"/>
    <w:rsid w:val="008C6C83"/>
    <w:rsid w:val="008C746E"/>
    <w:rsid w:val="008C7CD6"/>
    <w:rsid w:val="008C7DE9"/>
    <w:rsid w:val="008D046F"/>
    <w:rsid w:val="008D0E2F"/>
    <w:rsid w:val="008D10E9"/>
    <w:rsid w:val="008D2797"/>
    <w:rsid w:val="008D2D6E"/>
    <w:rsid w:val="008D38B5"/>
    <w:rsid w:val="008D4320"/>
    <w:rsid w:val="008D4573"/>
    <w:rsid w:val="008D536C"/>
    <w:rsid w:val="008D7259"/>
    <w:rsid w:val="008D7F57"/>
    <w:rsid w:val="008E14F7"/>
    <w:rsid w:val="008E2940"/>
    <w:rsid w:val="008E3EEC"/>
    <w:rsid w:val="008E4598"/>
    <w:rsid w:val="008E4F8E"/>
    <w:rsid w:val="008E66F5"/>
    <w:rsid w:val="008E6CA1"/>
    <w:rsid w:val="008F129B"/>
    <w:rsid w:val="008F16B7"/>
    <w:rsid w:val="008F2A24"/>
    <w:rsid w:val="008F3651"/>
    <w:rsid w:val="008F4A03"/>
    <w:rsid w:val="008F5505"/>
    <w:rsid w:val="008F6384"/>
    <w:rsid w:val="008F7DDB"/>
    <w:rsid w:val="00905FAE"/>
    <w:rsid w:val="009064CA"/>
    <w:rsid w:val="0090653F"/>
    <w:rsid w:val="009068EF"/>
    <w:rsid w:val="00906F22"/>
    <w:rsid w:val="00907C27"/>
    <w:rsid w:val="00910789"/>
    <w:rsid w:val="00910857"/>
    <w:rsid w:val="00913202"/>
    <w:rsid w:val="00913CAC"/>
    <w:rsid w:val="00913E62"/>
    <w:rsid w:val="00914ACF"/>
    <w:rsid w:val="009161C0"/>
    <w:rsid w:val="009164FA"/>
    <w:rsid w:val="00917736"/>
    <w:rsid w:val="00921504"/>
    <w:rsid w:val="00921881"/>
    <w:rsid w:val="00922D0F"/>
    <w:rsid w:val="009239D7"/>
    <w:rsid w:val="0092422F"/>
    <w:rsid w:val="00924A83"/>
    <w:rsid w:val="00925103"/>
    <w:rsid w:val="009265CE"/>
    <w:rsid w:val="00926A74"/>
    <w:rsid w:val="00927DFE"/>
    <w:rsid w:val="00927E46"/>
    <w:rsid w:val="00927F15"/>
    <w:rsid w:val="00930179"/>
    <w:rsid w:val="009302DB"/>
    <w:rsid w:val="00930876"/>
    <w:rsid w:val="00931B5E"/>
    <w:rsid w:val="009322BF"/>
    <w:rsid w:val="00932983"/>
    <w:rsid w:val="00932B8D"/>
    <w:rsid w:val="00933454"/>
    <w:rsid w:val="00933810"/>
    <w:rsid w:val="00933CC3"/>
    <w:rsid w:val="00935C28"/>
    <w:rsid w:val="00935E96"/>
    <w:rsid w:val="00936C3C"/>
    <w:rsid w:val="009372A3"/>
    <w:rsid w:val="009405AA"/>
    <w:rsid w:val="009424A0"/>
    <w:rsid w:val="00943844"/>
    <w:rsid w:val="00943A6F"/>
    <w:rsid w:val="00943E92"/>
    <w:rsid w:val="0094605E"/>
    <w:rsid w:val="00946B4E"/>
    <w:rsid w:val="00951774"/>
    <w:rsid w:val="00952072"/>
    <w:rsid w:val="00953318"/>
    <w:rsid w:val="0095332F"/>
    <w:rsid w:val="00954651"/>
    <w:rsid w:val="00954AC5"/>
    <w:rsid w:val="00954C9F"/>
    <w:rsid w:val="00954D70"/>
    <w:rsid w:val="00956EED"/>
    <w:rsid w:val="00960A14"/>
    <w:rsid w:val="00960F8E"/>
    <w:rsid w:val="00962812"/>
    <w:rsid w:val="00963FE0"/>
    <w:rsid w:val="009645BB"/>
    <w:rsid w:val="0096640B"/>
    <w:rsid w:val="00966AC8"/>
    <w:rsid w:val="00966EFB"/>
    <w:rsid w:val="0096777A"/>
    <w:rsid w:val="009703F2"/>
    <w:rsid w:val="00970942"/>
    <w:rsid w:val="00970999"/>
    <w:rsid w:val="00970A58"/>
    <w:rsid w:val="00971478"/>
    <w:rsid w:val="009722A7"/>
    <w:rsid w:val="0097230C"/>
    <w:rsid w:val="009729ED"/>
    <w:rsid w:val="009737D6"/>
    <w:rsid w:val="00975413"/>
    <w:rsid w:val="0097679A"/>
    <w:rsid w:val="009773FB"/>
    <w:rsid w:val="00977CE0"/>
    <w:rsid w:val="009803C3"/>
    <w:rsid w:val="00980614"/>
    <w:rsid w:val="009834A4"/>
    <w:rsid w:val="00984078"/>
    <w:rsid w:val="0098693E"/>
    <w:rsid w:val="009874CD"/>
    <w:rsid w:val="009875AD"/>
    <w:rsid w:val="00987EEB"/>
    <w:rsid w:val="009908A9"/>
    <w:rsid w:val="00990C9D"/>
    <w:rsid w:val="00992A2C"/>
    <w:rsid w:val="0099405A"/>
    <w:rsid w:val="00994FD0"/>
    <w:rsid w:val="00995598"/>
    <w:rsid w:val="0099569A"/>
    <w:rsid w:val="00995A7C"/>
    <w:rsid w:val="009A05A0"/>
    <w:rsid w:val="009A0731"/>
    <w:rsid w:val="009A0B6D"/>
    <w:rsid w:val="009A0BB5"/>
    <w:rsid w:val="009A29D2"/>
    <w:rsid w:val="009A2F10"/>
    <w:rsid w:val="009A37F0"/>
    <w:rsid w:val="009A3E74"/>
    <w:rsid w:val="009B139B"/>
    <w:rsid w:val="009B1920"/>
    <w:rsid w:val="009B4ABF"/>
    <w:rsid w:val="009B4C9F"/>
    <w:rsid w:val="009B59B8"/>
    <w:rsid w:val="009B5D92"/>
    <w:rsid w:val="009B66A9"/>
    <w:rsid w:val="009B79C4"/>
    <w:rsid w:val="009C05CC"/>
    <w:rsid w:val="009C0FAD"/>
    <w:rsid w:val="009C1D4A"/>
    <w:rsid w:val="009C20D3"/>
    <w:rsid w:val="009C26DF"/>
    <w:rsid w:val="009C2C0B"/>
    <w:rsid w:val="009C4289"/>
    <w:rsid w:val="009C4A9C"/>
    <w:rsid w:val="009C6562"/>
    <w:rsid w:val="009C6BFF"/>
    <w:rsid w:val="009C6C52"/>
    <w:rsid w:val="009C7F72"/>
    <w:rsid w:val="009D3740"/>
    <w:rsid w:val="009D4D51"/>
    <w:rsid w:val="009D4E01"/>
    <w:rsid w:val="009D5468"/>
    <w:rsid w:val="009D6637"/>
    <w:rsid w:val="009D6A58"/>
    <w:rsid w:val="009D6C7C"/>
    <w:rsid w:val="009E05FC"/>
    <w:rsid w:val="009E0AF0"/>
    <w:rsid w:val="009E0D4A"/>
    <w:rsid w:val="009E1D66"/>
    <w:rsid w:val="009E20E1"/>
    <w:rsid w:val="009E22E9"/>
    <w:rsid w:val="009E2716"/>
    <w:rsid w:val="009E398A"/>
    <w:rsid w:val="009E480F"/>
    <w:rsid w:val="009E51F5"/>
    <w:rsid w:val="009E563D"/>
    <w:rsid w:val="009E588F"/>
    <w:rsid w:val="009E5E2F"/>
    <w:rsid w:val="009E7D8E"/>
    <w:rsid w:val="009F025F"/>
    <w:rsid w:val="009F0DD5"/>
    <w:rsid w:val="009F14F0"/>
    <w:rsid w:val="009F240C"/>
    <w:rsid w:val="009F3AC4"/>
    <w:rsid w:val="009F538B"/>
    <w:rsid w:val="009F5D48"/>
    <w:rsid w:val="009F7506"/>
    <w:rsid w:val="00A0196F"/>
    <w:rsid w:val="00A01AD0"/>
    <w:rsid w:val="00A02539"/>
    <w:rsid w:val="00A032E4"/>
    <w:rsid w:val="00A033FC"/>
    <w:rsid w:val="00A03849"/>
    <w:rsid w:val="00A04700"/>
    <w:rsid w:val="00A04977"/>
    <w:rsid w:val="00A06659"/>
    <w:rsid w:val="00A068DC"/>
    <w:rsid w:val="00A10071"/>
    <w:rsid w:val="00A104AA"/>
    <w:rsid w:val="00A11BA6"/>
    <w:rsid w:val="00A11F8B"/>
    <w:rsid w:val="00A1202F"/>
    <w:rsid w:val="00A12C95"/>
    <w:rsid w:val="00A136DE"/>
    <w:rsid w:val="00A1432C"/>
    <w:rsid w:val="00A14375"/>
    <w:rsid w:val="00A16085"/>
    <w:rsid w:val="00A17436"/>
    <w:rsid w:val="00A17E38"/>
    <w:rsid w:val="00A20FDC"/>
    <w:rsid w:val="00A2126C"/>
    <w:rsid w:val="00A21C87"/>
    <w:rsid w:val="00A23D25"/>
    <w:rsid w:val="00A24FCB"/>
    <w:rsid w:val="00A25327"/>
    <w:rsid w:val="00A25776"/>
    <w:rsid w:val="00A27412"/>
    <w:rsid w:val="00A31427"/>
    <w:rsid w:val="00A329D2"/>
    <w:rsid w:val="00A329FF"/>
    <w:rsid w:val="00A32AA1"/>
    <w:rsid w:val="00A35CA9"/>
    <w:rsid w:val="00A363D1"/>
    <w:rsid w:val="00A400C4"/>
    <w:rsid w:val="00A424A0"/>
    <w:rsid w:val="00A43F29"/>
    <w:rsid w:val="00A44474"/>
    <w:rsid w:val="00A446AF"/>
    <w:rsid w:val="00A44F09"/>
    <w:rsid w:val="00A46C45"/>
    <w:rsid w:val="00A478D8"/>
    <w:rsid w:val="00A51425"/>
    <w:rsid w:val="00A51695"/>
    <w:rsid w:val="00A52AE1"/>
    <w:rsid w:val="00A52B4E"/>
    <w:rsid w:val="00A52CA2"/>
    <w:rsid w:val="00A53319"/>
    <w:rsid w:val="00A55525"/>
    <w:rsid w:val="00A55EB3"/>
    <w:rsid w:val="00A6107F"/>
    <w:rsid w:val="00A61E07"/>
    <w:rsid w:val="00A622E4"/>
    <w:rsid w:val="00A62566"/>
    <w:rsid w:val="00A62DE6"/>
    <w:rsid w:val="00A6316A"/>
    <w:rsid w:val="00A63F6A"/>
    <w:rsid w:val="00A64F16"/>
    <w:rsid w:val="00A66B19"/>
    <w:rsid w:val="00A6717A"/>
    <w:rsid w:val="00A7339E"/>
    <w:rsid w:val="00A73E78"/>
    <w:rsid w:val="00A7434E"/>
    <w:rsid w:val="00A74761"/>
    <w:rsid w:val="00A75911"/>
    <w:rsid w:val="00A76283"/>
    <w:rsid w:val="00A76719"/>
    <w:rsid w:val="00A76BB5"/>
    <w:rsid w:val="00A77608"/>
    <w:rsid w:val="00A81921"/>
    <w:rsid w:val="00A819AD"/>
    <w:rsid w:val="00A81A96"/>
    <w:rsid w:val="00A81B27"/>
    <w:rsid w:val="00A83325"/>
    <w:rsid w:val="00A835DB"/>
    <w:rsid w:val="00A85112"/>
    <w:rsid w:val="00A8618F"/>
    <w:rsid w:val="00A86296"/>
    <w:rsid w:val="00A86A1A"/>
    <w:rsid w:val="00A86B32"/>
    <w:rsid w:val="00A87175"/>
    <w:rsid w:val="00A87452"/>
    <w:rsid w:val="00A90A3B"/>
    <w:rsid w:val="00A90B4B"/>
    <w:rsid w:val="00A90BF9"/>
    <w:rsid w:val="00A9209D"/>
    <w:rsid w:val="00A92FFD"/>
    <w:rsid w:val="00A93135"/>
    <w:rsid w:val="00A95892"/>
    <w:rsid w:val="00A9638D"/>
    <w:rsid w:val="00A96669"/>
    <w:rsid w:val="00A9679F"/>
    <w:rsid w:val="00A9788B"/>
    <w:rsid w:val="00AA184E"/>
    <w:rsid w:val="00AA18CA"/>
    <w:rsid w:val="00AA5103"/>
    <w:rsid w:val="00AA5482"/>
    <w:rsid w:val="00AA5C49"/>
    <w:rsid w:val="00AA7BDA"/>
    <w:rsid w:val="00AB0105"/>
    <w:rsid w:val="00AB09A2"/>
    <w:rsid w:val="00AB20D2"/>
    <w:rsid w:val="00AB2294"/>
    <w:rsid w:val="00AB27D5"/>
    <w:rsid w:val="00AB3239"/>
    <w:rsid w:val="00AB3CB8"/>
    <w:rsid w:val="00AB472C"/>
    <w:rsid w:val="00AB4A46"/>
    <w:rsid w:val="00AB4AD2"/>
    <w:rsid w:val="00AB4DE9"/>
    <w:rsid w:val="00AB5407"/>
    <w:rsid w:val="00AB5E43"/>
    <w:rsid w:val="00AB6D91"/>
    <w:rsid w:val="00AB7A40"/>
    <w:rsid w:val="00AC2B6D"/>
    <w:rsid w:val="00AC350D"/>
    <w:rsid w:val="00AC3D22"/>
    <w:rsid w:val="00AC3D6F"/>
    <w:rsid w:val="00AC3FDF"/>
    <w:rsid w:val="00AC4E4F"/>
    <w:rsid w:val="00AC5326"/>
    <w:rsid w:val="00AC5B7F"/>
    <w:rsid w:val="00AC64A3"/>
    <w:rsid w:val="00AC7E2B"/>
    <w:rsid w:val="00AD079D"/>
    <w:rsid w:val="00AD09E7"/>
    <w:rsid w:val="00AD1CD5"/>
    <w:rsid w:val="00AD27C0"/>
    <w:rsid w:val="00AD297A"/>
    <w:rsid w:val="00AD31C9"/>
    <w:rsid w:val="00AD6660"/>
    <w:rsid w:val="00AD6668"/>
    <w:rsid w:val="00AD7A1C"/>
    <w:rsid w:val="00AD7BEA"/>
    <w:rsid w:val="00AE3B32"/>
    <w:rsid w:val="00AE5511"/>
    <w:rsid w:val="00AE6008"/>
    <w:rsid w:val="00AE66A8"/>
    <w:rsid w:val="00AE73B0"/>
    <w:rsid w:val="00AE751F"/>
    <w:rsid w:val="00AE7E51"/>
    <w:rsid w:val="00AF132E"/>
    <w:rsid w:val="00AF21AC"/>
    <w:rsid w:val="00AF29CD"/>
    <w:rsid w:val="00AF2AC9"/>
    <w:rsid w:val="00AF4362"/>
    <w:rsid w:val="00AF4D75"/>
    <w:rsid w:val="00AF7230"/>
    <w:rsid w:val="00AF7577"/>
    <w:rsid w:val="00B00174"/>
    <w:rsid w:val="00B03010"/>
    <w:rsid w:val="00B03DC8"/>
    <w:rsid w:val="00B04BB6"/>
    <w:rsid w:val="00B051A5"/>
    <w:rsid w:val="00B056A0"/>
    <w:rsid w:val="00B105F5"/>
    <w:rsid w:val="00B10EEF"/>
    <w:rsid w:val="00B113DC"/>
    <w:rsid w:val="00B12039"/>
    <w:rsid w:val="00B120D4"/>
    <w:rsid w:val="00B127DB"/>
    <w:rsid w:val="00B136D9"/>
    <w:rsid w:val="00B145CF"/>
    <w:rsid w:val="00B14656"/>
    <w:rsid w:val="00B15726"/>
    <w:rsid w:val="00B168CE"/>
    <w:rsid w:val="00B17171"/>
    <w:rsid w:val="00B17828"/>
    <w:rsid w:val="00B20069"/>
    <w:rsid w:val="00B213CB"/>
    <w:rsid w:val="00B22719"/>
    <w:rsid w:val="00B231D4"/>
    <w:rsid w:val="00B25C39"/>
    <w:rsid w:val="00B2602E"/>
    <w:rsid w:val="00B26DCE"/>
    <w:rsid w:val="00B27180"/>
    <w:rsid w:val="00B27FCD"/>
    <w:rsid w:val="00B3086D"/>
    <w:rsid w:val="00B30B38"/>
    <w:rsid w:val="00B33878"/>
    <w:rsid w:val="00B34B97"/>
    <w:rsid w:val="00B3643C"/>
    <w:rsid w:val="00B37F5D"/>
    <w:rsid w:val="00B40177"/>
    <w:rsid w:val="00B43B60"/>
    <w:rsid w:val="00B465EF"/>
    <w:rsid w:val="00B46D2A"/>
    <w:rsid w:val="00B472BA"/>
    <w:rsid w:val="00B473CF"/>
    <w:rsid w:val="00B503F0"/>
    <w:rsid w:val="00B5059D"/>
    <w:rsid w:val="00B50612"/>
    <w:rsid w:val="00B54290"/>
    <w:rsid w:val="00B550FB"/>
    <w:rsid w:val="00B56938"/>
    <w:rsid w:val="00B57D66"/>
    <w:rsid w:val="00B61D33"/>
    <w:rsid w:val="00B6201F"/>
    <w:rsid w:val="00B628AA"/>
    <w:rsid w:val="00B62E4D"/>
    <w:rsid w:val="00B6338F"/>
    <w:rsid w:val="00B636A5"/>
    <w:rsid w:val="00B6392F"/>
    <w:rsid w:val="00B641D2"/>
    <w:rsid w:val="00B64A86"/>
    <w:rsid w:val="00B654B9"/>
    <w:rsid w:val="00B663F5"/>
    <w:rsid w:val="00B709D3"/>
    <w:rsid w:val="00B722F4"/>
    <w:rsid w:val="00B72418"/>
    <w:rsid w:val="00B741CA"/>
    <w:rsid w:val="00B745E8"/>
    <w:rsid w:val="00B74B21"/>
    <w:rsid w:val="00B75196"/>
    <w:rsid w:val="00B7569C"/>
    <w:rsid w:val="00B7666E"/>
    <w:rsid w:val="00B77F3F"/>
    <w:rsid w:val="00B80E07"/>
    <w:rsid w:val="00B82572"/>
    <w:rsid w:val="00B84B10"/>
    <w:rsid w:val="00B84E7F"/>
    <w:rsid w:val="00B8503D"/>
    <w:rsid w:val="00B85B8C"/>
    <w:rsid w:val="00B860B1"/>
    <w:rsid w:val="00B879D5"/>
    <w:rsid w:val="00B90B62"/>
    <w:rsid w:val="00B9102B"/>
    <w:rsid w:val="00B918E2"/>
    <w:rsid w:val="00B91AAE"/>
    <w:rsid w:val="00B92688"/>
    <w:rsid w:val="00B975EF"/>
    <w:rsid w:val="00BA0BA9"/>
    <w:rsid w:val="00BA1931"/>
    <w:rsid w:val="00BA23C7"/>
    <w:rsid w:val="00BA4AD5"/>
    <w:rsid w:val="00BA55BE"/>
    <w:rsid w:val="00BA55CA"/>
    <w:rsid w:val="00BA5B58"/>
    <w:rsid w:val="00BA652E"/>
    <w:rsid w:val="00BA66FF"/>
    <w:rsid w:val="00BA7229"/>
    <w:rsid w:val="00BA77F5"/>
    <w:rsid w:val="00BA79A9"/>
    <w:rsid w:val="00BB02F5"/>
    <w:rsid w:val="00BB1B57"/>
    <w:rsid w:val="00BB1E7B"/>
    <w:rsid w:val="00BB2B04"/>
    <w:rsid w:val="00BB3108"/>
    <w:rsid w:val="00BB4688"/>
    <w:rsid w:val="00BB4E90"/>
    <w:rsid w:val="00BB5BC8"/>
    <w:rsid w:val="00BB68B7"/>
    <w:rsid w:val="00BB71C5"/>
    <w:rsid w:val="00BB7536"/>
    <w:rsid w:val="00BB7857"/>
    <w:rsid w:val="00BC284B"/>
    <w:rsid w:val="00BC3D97"/>
    <w:rsid w:val="00BC4BBE"/>
    <w:rsid w:val="00BC513A"/>
    <w:rsid w:val="00BC544A"/>
    <w:rsid w:val="00BC6D38"/>
    <w:rsid w:val="00BD0D61"/>
    <w:rsid w:val="00BD16DA"/>
    <w:rsid w:val="00BD3539"/>
    <w:rsid w:val="00BD3755"/>
    <w:rsid w:val="00BD4322"/>
    <w:rsid w:val="00BD46CE"/>
    <w:rsid w:val="00BD4C06"/>
    <w:rsid w:val="00BD5DC3"/>
    <w:rsid w:val="00BE0D76"/>
    <w:rsid w:val="00BE1227"/>
    <w:rsid w:val="00BE17F9"/>
    <w:rsid w:val="00BE19B1"/>
    <w:rsid w:val="00BE1CAF"/>
    <w:rsid w:val="00BE2FC6"/>
    <w:rsid w:val="00BE308C"/>
    <w:rsid w:val="00BE3894"/>
    <w:rsid w:val="00BE40C6"/>
    <w:rsid w:val="00BE4A1F"/>
    <w:rsid w:val="00BE5ED1"/>
    <w:rsid w:val="00BE6425"/>
    <w:rsid w:val="00BE6D34"/>
    <w:rsid w:val="00BF005B"/>
    <w:rsid w:val="00BF1022"/>
    <w:rsid w:val="00BF181E"/>
    <w:rsid w:val="00BF1AEE"/>
    <w:rsid w:val="00BF1F7A"/>
    <w:rsid w:val="00BF27F5"/>
    <w:rsid w:val="00BF3AFA"/>
    <w:rsid w:val="00BF472C"/>
    <w:rsid w:val="00BF4AB1"/>
    <w:rsid w:val="00BF4F7D"/>
    <w:rsid w:val="00BF6FF0"/>
    <w:rsid w:val="00C0040F"/>
    <w:rsid w:val="00C01BB4"/>
    <w:rsid w:val="00C0201C"/>
    <w:rsid w:val="00C02205"/>
    <w:rsid w:val="00C05EED"/>
    <w:rsid w:val="00C0731F"/>
    <w:rsid w:val="00C10370"/>
    <w:rsid w:val="00C10E73"/>
    <w:rsid w:val="00C1236F"/>
    <w:rsid w:val="00C135E6"/>
    <w:rsid w:val="00C13B0F"/>
    <w:rsid w:val="00C1468E"/>
    <w:rsid w:val="00C14C9E"/>
    <w:rsid w:val="00C15938"/>
    <w:rsid w:val="00C1602D"/>
    <w:rsid w:val="00C200F7"/>
    <w:rsid w:val="00C21243"/>
    <w:rsid w:val="00C2130A"/>
    <w:rsid w:val="00C224D9"/>
    <w:rsid w:val="00C22782"/>
    <w:rsid w:val="00C255E4"/>
    <w:rsid w:val="00C261F2"/>
    <w:rsid w:val="00C27117"/>
    <w:rsid w:val="00C30992"/>
    <w:rsid w:val="00C30BEE"/>
    <w:rsid w:val="00C31304"/>
    <w:rsid w:val="00C314A4"/>
    <w:rsid w:val="00C31725"/>
    <w:rsid w:val="00C323D8"/>
    <w:rsid w:val="00C33EF0"/>
    <w:rsid w:val="00C36ED2"/>
    <w:rsid w:val="00C42B50"/>
    <w:rsid w:val="00C447D0"/>
    <w:rsid w:val="00C45134"/>
    <w:rsid w:val="00C455E0"/>
    <w:rsid w:val="00C45875"/>
    <w:rsid w:val="00C50530"/>
    <w:rsid w:val="00C50F5A"/>
    <w:rsid w:val="00C52443"/>
    <w:rsid w:val="00C538F6"/>
    <w:rsid w:val="00C544FB"/>
    <w:rsid w:val="00C559AB"/>
    <w:rsid w:val="00C5610C"/>
    <w:rsid w:val="00C56251"/>
    <w:rsid w:val="00C56C04"/>
    <w:rsid w:val="00C576F2"/>
    <w:rsid w:val="00C57837"/>
    <w:rsid w:val="00C579F2"/>
    <w:rsid w:val="00C61643"/>
    <w:rsid w:val="00C625D3"/>
    <w:rsid w:val="00C62D21"/>
    <w:rsid w:val="00C633D2"/>
    <w:rsid w:val="00C634D6"/>
    <w:rsid w:val="00C64185"/>
    <w:rsid w:val="00C666E0"/>
    <w:rsid w:val="00C66FBA"/>
    <w:rsid w:val="00C66FC5"/>
    <w:rsid w:val="00C71906"/>
    <w:rsid w:val="00C71B06"/>
    <w:rsid w:val="00C71F4F"/>
    <w:rsid w:val="00C73356"/>
    <w:rsid w:val="00C736ED"/>
    <w:rsid w:val="00C738FE"/>
    <w:rsid w:val="00C74210"/>
    <w:rsid w:val="00C74FFD"/>
    <w:rsid w:val="00C756DC"/>
    <w:rsid w:val="00C765CA"/>
    <w:rsid w:val="00C773DE"/>
    <w:rsid w:val="00C7771A"/>
    <w:rsid w:val="00C80543"/>
    <w:rsid w:val="00C81847"/>
    <w:rsid w:val="00C8245C"/>
    <w:rsid w:val="00C825FB"/>
    <w:rsid w:val="00C82609"/>
    <w:rsid w:val="00C82D8A"/>
    <w:rsid w:val="00C837EA"/>
    <w:rsid w:val="00C84499"/>
    <w:rsid w:val="00C86A60"/>
    <w:rsid w:val="00C8724C"/>
    <w:rsid w:val="00C90570"/>
    <w:rsid w:val="00C90B7C"/>
    <w:rsid w:val="00C90ED5"/>
    <w:rsid w:val="00C91F9E"/>
    <w:rsid w:val="00C9494C"/>
    <w:rsid w:val="00C96F26"/>
    <w:rsid w:val="00C97A3B"/>
    <w:rsid w:val="00CA00AE"/>
    <w:rsid w:val="00CA0CFE"/>
    <w:rsid w:val="00CA10DE"/>
    <w:rsid w:val="00CA1319"/>
    <w:rsid w:val="00CA1BEC"/>
    <w:rsid w:val="00CA2F6B"/>
    <w:rsid w:val="00CA32D2"/>
    <w:rsid w:val="00CA3FA7"/>
    <w:rsid w:val="00CA4541"/>
    <w:rsid w:val="00CA45A8"/>
    <w:rsid w:val="00CA4FEE"/>
    <w:rsid w:val="00CA697E"/>
    <w:rsid w:val="00CA7E98"/>
    <w:rsid w:val="00CB15C6"/>
    <w:rsid w:val="00CB189F"/>
    <w:rsid w:val="00CB1D6C"/>
    <w:rsid w:val="00CB2F58"/>
    <w:rsid w:val="00CB2FEF"/>
    <w:rsid w:val="00CB3D9C"/>
    <w:rsid w:val="00CB46AE"/>
    <w:rsid w:val="00CB4AA8"/>
    <w:rsid w:val="00CB5978"/>
    <w:rsid w:val="00CB68D4"/>
    <w:rsid w:val="00CC0840"/>
    <w:rsid w:val="00CC0D2A"/>
    <w:rsid w:val="00CC101E"/>
    <w:rsid w:val="00CC1812"/>
    <w:rsid w:val="00CC2866"/>
    <w:rsid w:val="00CC3C86"/>
    <w:rsid w:val="00CC6D37"/>
    <w:rsid w:val="00CC7266"/>
    <w:rsid w:val="00CC74F4"/>
    <w:rsid w:val="00CD17BB"/>
    <w:rsid w:val="00CD23CA"/>
    <w:rsid w:val="00CD247B"/>
    <w:rsid w:val="00CD30E3"/>
    <w:rsid w:val="00CD3346"/>
    <w:rsid w:val="00CD40EB"/>
    <w:rsid w:val="00CD4189"/>
    <w:rsid w:val="00CD799E"/>
    <w:rsid w:val="00CE23BE"/>
    <w:rsid w:val="00CE3507"/>
    <w:rsid w:val="00CE5014"/>
    <w:rsid w:val="00CE5059"/>
    <w:rsid w:val="00CE508B"/>
    <w:rsid w:val="00CE5205"/>
    <w:rsid w:val="00CE6A8B"/>
    <w:rsid w:val="00CE6B39"/>
    <w:rsid w:val="00CF0833"/>
    <w:rsid w:val="00CF0C92"/>
    <w:rsid w:val="00CF1A12"/>
    <w:rsid w:val="00CF1F0C"/>
    <w:rsid w:val="00CF2226"/>
    <w:rsid w:val="00CF2AE4"/>
    <w:rsid w:val="00CF4C9B"/>
    <w:rsid w:val="00CF5398"/>
    <w:rsid w:val="00CF5A9E"/>
    <w:rsid w:val="00CF715A"/>
    <w:rsid w:val="00CF726E"/>
    <w:rsid w:val="00D0024E"/>
    <w:rsid w:val="00D00E30"/>
    <w:rsid w:val="00D027AA"/>
    <w:rsid w:val="00D04D3F"/>
    <w:rsid w:val="00D04E81"/>
    <w:rsid w:val="00D05379"/>
    <w:rsid w:val="00D0567B"/>
    <w:rsid w:val="00D06250"/>
    <w:rsid w:val="00D063D4"/>
    <w:rsid w:val="00D07910"/>
    <w:rsid w:val="00D11BD5"/>
    <w:rsid w:val="00D13ACD"/>
    <w:rsid w:val="00D13C92"/>
    <w:rsid w:val="00D13F6C"/>
    <w:rsid w:val="00D1511C"/>
    <w:rsid w:val="00D159A0"/>
    <w:rsid w:val="00D16679"/>
    <w:rsid w:val="00D175C8"/>
    <w:rsid w:val="00D20076"/>
    <w:rsid w:val="00D20772"/>
    <w:rsid w:val="00D216A6"/>
    <w:rsid w:val="00D24EB1"/>
    <w:rsid w:val="00D27A7F"/>
    <w:rsid w:val="00D3028B"/>
    <w:rsid w:val="00D30D68"/>
    <w:rsid w:val="00D315E0"/>
    <w:rsid w:val="00D31873"/>
    <w:rsid w:val="00D318C0"/>
    <w:rsid w:val="00D33127"/>
    <w:rsid w:val="00D331BD"/>
    <w:rsid w:val="00D333D4"/>
    <w:rsid w:val="00D3366A"/>
    <w:rsid w:val="00D34066"/>
    <w:rsid w:val="00D3446B"/>
    <w:rsid w:val="00D3526F"/>
    <w:rsid w:val="00D35755"/>
    <w:rsid w:val="00D378BD"/>
    <w:rsid w:val="00D37A54"/>
    <w:rsid w:val="00D4052D"/>
    <w:rsid w:val="00D40F38"/>
    <w:rsid w:val="00D40FE3"/>
    <w:rsid w:val="00D41129"/>
    <w:rsid w:val="00D46691"/>
    <w:rsid w:val="00D50C79"/>
    <w:rsid w:val="00D5292F"/>
    <w:rsid w:val="00D53117"/>
    <w:rsid w:val="00D537AF"/>
    <w:rsid w:val="00D53D31"/>
    <w:rsid w:val="00D54766"/>
    <w:rsid w:val="00D55CC0"/>
    <w:rsid w:val="00D5666F"/>
    <w:rsid w:val="00D57A37"/>
    <w:rsid w:val="00D60ACE"/>
    <w:rsid w:val="00D6222D"/>
    <w:rsid w:val="00D64068"/>
    <w:rsid w:val="00D660EB"/>
    <w:rsid w:val="00D663C3"/>
    <w:rsid w:val="00D66541"/>
    <w:rsid w:val="00D67CB0"/>
    <w:rsid w:val="00D70A2C"/>
    <w:rsid w:val="00D72BE2"/>
    <w:rsid w:val="00D72DC4"/>
    <w:rsid w:val="00D73297"/>
    <w:rsid w:val="00D7476C"/>
    <w:rsid w:val="00D74842"/>
    <w:rsid w:val="00D75EB6"/>
    <w:rsid w:val="00D75EBC"/>
    <w:rsid w:val="00D762FE"/>
    <w:rsid w:val="00D77A50"/>
    <w:rsid w:val="00D77B3D"/>
    <w:rsid w:val="00D77F47"/>
    <w:rsid w:val="00D803E6"/>
    <w:rsid w:val="00D807FB"/>
    <w:rsid w:val="00D8111B"/>
    <w:rsid w:val="00D83C8E"/>
    <w:rsid w:val="00D8442A"/>
    <w:rsid w:val="00D84997"/>
    <w:rsid w:val="00D84E33"/>
    <w:rsid w:val="00D8637F"/>
    <w:rsid w:val="00D867CE"/>
    <w:rsid w:val="00D87B24"/>
    <w:rsid w:val="00D87B2E"/>
    <w:rsid w:val="00D90B0B"/>
    <w:rsid w:val="00D91DC9"/>
    <w:rsid w:val="00D93238"/>
    <w:rsid w:val="00D932B0"/>
    <w:rsid w:val="00D93441"/>
    <w:rsid w:val="00D93E93"/>
    <w:rsid w:val="00D94020"/>
    <w:rsid w:val="00D948CE"/>
    <w:rsid w:val="00D94D0E"/>
    <w:rsid w:val="00D95081"/>
    <w:rsid w:val="00D96623"/>
    <w:rsid w:val="00D9759A"/>
    <w:rsid w:val="00DA30C3"/>
    <w:rsid w:val="00DA4B24"/>
    <w:rsid w:val="00DA5621"/>
    <w:rsid w:val="00DA7C78"/>
    <w:rsid w:val="00DB2A57"/>
    <w:rsid w:val="00DB3208"/>
    <w:rsid w:val="00DB5237"/>
    <w:rsid w:val="00DB71FA"/>
    <w:rsid w:val="00DB757A"/>
    <w:rsid w:val="00DC15E7"/>
    <w:rsid w:val="00DC22B3"/>
    <w:rsid w:val="00DC3FC0"/>
    <w:rsid w:val="00DC5378"/>
    <w:rsid w:val="00DC53F5"/>
    <w:rsid w:val="00DC570D"/>
    <w:rsid w:val="00DC5C6E"/>
    <w:rsid w:val="00DC66BD"/>
    <w:rsid w:val="00DC747B"/>
    <w:rsid w:val="00DD1823"/>
    <w:rsid w:val="00DD194F"/>
    <w:rsid w:val="00DD3656"/>
    <w:rsid w:val="00DD39C1"/>
    <w:rsid w:val="00DD4F1C"/>
    <w:rsid w:val="00DD6E8C"/>
    <w:rsid w:val="00DD7D16"/>
    <w:rsid w:val="00DE1226"/>
    <w:rsid w:val="00DE14C6"/>
    <w:rsid w:val="00DE151A"/>
    <w:rsid w:val="00DE2309"/>
    <w:rsid w:val="00DE3860"/>
    <w:rsid w:val="00DE38C2"/>
    <w:rsid w:val="00DE3CEC"/>
    <w:rsid w:val="00DE5500"/>
    <w:rsid w:val="00DE59D5"/>
    <w:rsid w:val="00DE5CA5"/>
    <w:rsid w:val="00DE6163"/>
    <w:rsid w:val="00DE67D5"/>
    <w:rsid w:val="00DE7B06"/>
    <w:rsid w:val="00DE7DAE"/>
    <w:rsid w:val="00DF4E6D"/>
    <w:rsid w:val="00DF6505"/>
    <w:rsid w:val="00DF662A"/>
    <w:rsid w:val="00DF6AAD"/>
    <w:rsid w:val="00DF7236"/>
    <w:rsid w:val="00DF7BA6"/>
    <w:rsid w:val="00DF7EB5"/>
    <w:rsid w:val="00E00094"/>
    <w:rsid w:val="00E005A3"/>
    <w:rsid w:val="00E005C7"/>
    <w:rsid w:val="00E0085E"/>
    <w:rsid w:val="00E01B43"/>
    <w:rsid w:val="00E01B5D"/>
    <w:rsid w:val="00E01E1A"/>
    <w:rsid w:val="00E02221"/>
    <w:rsid w:val="00E02C86"/>
    <w:rsid w:val="00E0435A"/>
    <w:rsid w:val="00E04644"/>
    <w:rsid w:val="00E04A94"/>
    <w:rsid w:val="00E0630A"/>
    <w:rsid w:val="00E10765"/>
    <w:rsid w:val="00E14132"/>
    <w:rsid w:val="00E14D5C"/>
    <w:rsid w:val="00E14EF2"/>
    <w:rsid w:val="00E15971"/>
    <w:rsid w:val="00E15D7D"/>
    <w:rsid w:val="00E169A5"/>
    <w:rsid w:val="00E169D4"/>
    <w:rsid w:val="00E171C9"/>
    <w:rsid w:val="00E175C4"/>
    <w:rsid w:val="00E175E9"/>
    <w:rsid w:val="00E20078"/>
    <w:rsid w:val="00E20B10"/>
    <w:rsid w:val="00E20C0F"/>
    <w:rsid w:val="00E21754"/>
    <w:rsid w:val="00E21EE5"/>
    <w:rsid w:val="00E228E7"/>
    <w:rsid w:val="00E22D3C"/>
    <w:rsid w:val="00E23AB7"/>
    <w:rsid w:val="00E251AB"/>
    <w:rsid w:val="00E254F3"/>
    <w:rsid w:val="00E258D9"/>
    <w:rsid w:val="00E26553"/>
    <w:rsid w:val="00E27269"/>
    <w:rsid w:val="00E27ACF"/>
    <w:rsid w:val="00E30ACF"/>
    <w:rsid w:val="00E30C9A"/>
    <w:rsid w:val="00E30E1B"/>
    <w:rsid w:val="00E3148D"/>
    <w:rsid w:val="00E32364"/>
    <w:rsid w:val="00E334AD"/>
    <w:rsid w:val="00E33676"/>
    <w:rsid w:val="00E34708"/>
    <w:rsid w:val="00E34DB0"/>
    <w:rsid w:val="00E3715F"/>
    <w:rsid w:val="00E375A7"/>
    <w:rsid w:val="00E37C9C"/>
    <w:rsid w:val="00E42592"/>
    <w:rsid w:val="00E428CA"/>
    <w:rsid w:val="00E4333A"/>
    <w:rsid w:val="00E43BF8"/>
    <w:rsid w:val="00E5009A"/>
    <w:rsid w:val="00E5110F"/>
    <w:rsid w:val="00E511C7"/>
    <w:rsid w:val="00E51D9B"/>
    <w:rsid w:val="00E5392F"/>
    <w:rsid w:val="00E55589"/>
    <w:rsid w:val="00E5729E"/>
    <w:rsid w:val="00E57F77"/>
    <w:rsid w:val="00E60EB2"/>
    <w:rsid w:val="00E6196A"/>
    <w:rsid w:val="00E61E02"/>
    <w:rsid w:val="00E624A4"/>
    <w:rsid w:val="00E62788"/>
    <w:rsid w:val="00E643B0"/>
    <w:rsid w:val="00E64B19"/>
    <w:rsid w:val="00E64DB2"/>
    <w:rsid w:val="00E65669"/>
    <w:rsid w:val="00E66B31"/>
    <w:rsid w:val="00E67543"/>
    <w:rsid w:val="00E67634"/>
    <w:rsid w:val="00E679A4"/>
    <w:rsid w:val="00E7259E"/>
    <w:rsid w:val="00E7273A"/>
    <w:rsid w:val="00E7366E"/>
    <w:rsid w:val="00E75564"/>
    <w:rsid w:val="00E75D1C"/>
    <w:rsid w:val="00E75D38"/>
    <w:rsid w:val="00E7665E"/>
    <w:rsid w:val="00E7697F"/>
    <w:rsid w:val="00E773E5"/>
    <w:rsid w:val="00E77DBB"/>
    <w:rsid w:val="00E80C20"/>
    <w:rsid w:val="00E81AAE"/>
    <w:rsid w:val="00E82812"/>
    <w:rsid w:val="00E82D05"/>
    <w:rsid w:val="00E8424C"/>
    <w:rsid w:val="00E84414"/>
    <w:rsid w:val="00E8502E"/>
    <w:rsid w:val="00E86988"/>
    <w:rsid w:val="00E91A14"/>
    <w:rsid w:val="00E91CCA"/>
    <w:rsid w:val="00E9290F"/>
    <w:rsid w:val="00E92F9C"/>
    <w:rsid w:val="00E93ED3"/>
    <w:rsid w:val="00E9491D"/>
    <w:rsid w:val="00E96961"/>
    <w:rsid w:val="00E976E7"/>
    <w:rsid w:val="00E97895"/>
    <w:rsid w:val="00EA07B8"/>
    <w:rsid w:val="00EA15FB"/>
    <w:rsid w:val="00EA19FA"/>
    <w:rsid w:val="00EA1F4D"/>
    <w:rsid w:val="00EA2A01"/>
    <w:rsid w:val="00EA3942"/>
    <w:rsid w:val="00EA3ED5"/>
    <w:rsid w:val="00EA5B00"/>
    <w:rsid w:val="00EA65E3"/>
    <w:rsid w:val="00EA6ADB"/>
    <w:rsid w:val="00EA7E44"/>
    <w:rsid w:val="00EB0254"/>
    <w:rsid w:val="00EB0804"/>
    <w:rsid w:val="00EB1273"/>
    <w:rsid w:val="00EB149A"/>
    <w:rsid w:val="00EB1903"/>
    <w:rsid w:val="00EB2497"/>
    <w:rsid w:val="00EB5599"/>
    <w:rsid w:val="00EB5AF6"/>
    <w:rsid w:val="00EC189C"/>
    <w:rsid w:val="00EC20F6"/>
    <w:rsid w:val="00EC2AF4"/>
    <w:rsid w:val="00EC2C1B"/>
    <w:rsid w:val="00EC3A10"/>
    <w:rsid w:val="00EC4657"/>
    <w:rsid w:val="00EC5A12"/>
    <w:rsid w:val="00EC7F63"/>
    <w:rsid w:val="00ED0D6D"/>
    <w:rsid w:val="00ED0F7E"/>
    <w:rsid w:val="00ED19E2"/>
    <w:rsid w:val="00ED2450"/>
    <w:rsid w:val="00ED2D35"/>
    <w:rsid w:val="00ED3460"/>
    <w:rsid w:val="00ED6EB2"/>
    <w:rsid w:val="00EE085B"/>
    <w:rsid w:val="00EE1CAF"/>
    <w:rsid w:val="00EE27D5"/>
    <w:rsid w:val="00EE28D2"/>
    <w:rsid w:val="00EE2BD1"/>
    <w:rsid w:val="00EE3AB2"/>
    <w:rsid w:val="00EE5041"/>
    <w:rsid w:val="00EE5D76"/>
    <w:rsid w:val="00EE6BDA"/>
    <w:rsid w:val="00EE7030"/>
    <w:rsid w:val="00EE7548"/>
    <w:rsid w:val="00EF0FAB"/>
    <w:rsid w:val="00EF1BF0"/>
    <w:rsid w:val="00EF1E18"/>
    <w:rsid w:val="00EF22EA"/>
    <w:rsid w:val="00EF354C"/>
    <w:rsid w:val="00EF51B6"/>
    <w:rsid w:val="00EF6DD2"/>
    <w:rsid w:val="00EF7C9F"/>
    <w:rsid w:val="00F00629"/>
    <w:rsid w:val="00F014AE"/>
    <w:rsid w:val="00F02D66"/>
    <w:rsid w:val="00F03AB5"/>
    <w:rsid w:val="00F0451E"/>
    <w:rsid w:val="00F04711"/>
    <w:rsid w:val="00F048A4"/>
    <w:rsid w:val="00F04D2B"/>
    <w:rsid w:val="00F0669F"/>
    <w:rsid w:val="00F06F7A"/>
    <w:rsid w:val="00F104E5"/>
    <w:rsid w:val="00F109E4"/>
    <w:rsid w:val="00F1249F"/>
    <w:rsid w:val="00F1396C"/>
    <w:rsid w:val="00F14536"/>
    <w:rsid w:val="00F15439"/>
    <w:rsid w:val="00F171AC"/>
    <w:rsid w:val="00F20097"/>
    <w:rsid w:val="00F21F5D"/>
    <w:rsid w:val="00F222E4"/>
    <w:rsid w:val="00F229EA"/>
    <w:rsid w:val="00F22E06"/>
    <w:rsid w:val="00F23ADB"/>
    <w:rsid w:val="00F23E56"/>
    <w:rsid w:val="00F2472D"/>
    <w:rsid w:val="00F25079"/>
    <w:rsid w:val="00F25EF0"/>
    <w:rsid w:val="00F26355"/>
    <w:rsid w:val="00F26E5B"/>
    <w:rsid w:val="00F274F8"/>
    <w:rsid w:val="00F3179C"/>
    <w:rsid w:val="00F33352"/>
    <w:rsid w:val="00F345B5"/>
    <w:rsid w:val="00F36754"/>
    <w:rsid w:val="00F369BE"/>
    <w:rsid w:val="00F36F7A"/>
    <w:rsid w:val="00F37C4C"/>
    <w:rsid w:val="00F40FB9"/>
    <w:rsid w:val="00F41051"/>
    <w:rsid w:val="00F41BE6"/>
    <w:rsid w:val="00F4303D"/>
    <w:rsid w:val="00F443EA"/>
    <w:rsid w:val="00F45D30"/>
    <w:rsid w:val="00F47E6D"/>
    <w:rsid w:val="00F5038F"/>
    <w:rsid w:val="00F5097B"/>
    <w:rsid w:val="00F50AAC"/>
    <w:rsid w:val="00F51BBB"/>
    <w:rsid w:val="00F53DC2"/>
    <w:rsid w:val="00F54C15"/>
    <w:rsid w:val="00F55C0E"/>
    <w:rsid w:val="00F574D2"/>
    <w:rsid w:val="00F57CB6"/>
    <w:rsid w:val="00F57CF2"/>
    <w:rsid w:val="00F60103"/>
    <w:rsid w:val="00F6063C"/>
    <w:rsid w:val="00F61151"/>
    <w:rsid w:val="00F61164"/>
    <w:rsid w:val="00F6157C"/>
    <w:rsid w:val="00F61A76"/>
    <w:rsid w:val="00F639A1"/>
    <w:rsid w:val="00F64A2F"/>
    <w:rsid w:val="00F64D8B"/>
    <w:rsid w:val="00F64EA9"/>
    <w:rsid w:val="00F656CE"/>
    <w:rsid w:val="00F65C56"/>
    <w:rsid w:val="00F66214"/>
    <w:rsid w:val="00F665E8"/>
    <w:rsid w:val="00F66FD3"/>
    <w:rsid w:val="00F67D1D"/>
    <w:rsid w:val="00F70F6E"/>
    <w:rsid w:val="00F71943"/>
    <w:rsid w:val="00F71D89"/>
    <w:rsid w:val="00F72D30"/>
    <w:rsid w:val="00F73338"/>
    <w:rsid w:val="00F73C4B"/>
    <w:rsid w:val="00F77A7F"/>
    <w:rsid w:val="00F81C57"/>
    <w:rsid w:val="00F8463F"/>
    <w:rsid w:val="00F846FE"/>
    <w:rsid w:val="00F8501C"/>
    <w:rsid w:val="00F8577D"/>
    <w:rsid w:val="00F858F3"/>
    <w:rsid w:val="00F86168"/>
    <w:rsid w:val="00F86F7F"/>
    <w:rsid w:val="00F8747E"/>
    <w:rsid w:val="00F92030"/>
    <w:rsid w:val="00F92114"/>
    <w:rsid w:val="00F93943"/>
    <w:rsid w:val="00F95531"/>
    <w:rsid w:val="00F95F43"/>
    <w:rsid w:val="00F96776"/>
    <w:rsid w:val="00F968E4"/>
    <w:rsid w:val="00F976F7"/>
    <w:rsid w:val="00FA0C82"/>
    <w:rsid w:val="00FA35B8"/>
    <w:rsid w:val="00FA402F"/>
    <w:rsid w:val="00FA49B5"/>
    <w:rsid w:val="00FA4EF7"/>
    <w:rsid w:val="00FA50BD"/>
    <w:rsid w:val="00FA5C1D"/>
    <w:rsid w:val="00FA6327"/>
    <w:rsid w:val="00FA68FC"/>
    <w:rsid w:val="00FA7B8D"/>
    <w:rsid w:val="00FB0D94"/>
    <w:rsid w:val="00FB10BD"/>
    <w:rsid w:val="00FB1843"/>
    <w:rsid w:val="00FB3832"/>
    <w:rsid w:val="00FB503B"/>
    <w:rsid w:val="00FB5BA3"/>
    <w:rsid w:val="00FB7629"/>
    <w:rsid w:val="00FB77E5"/>
    <w:rsid w:val="00FB7C8D"/>
    <w:rsid w:val="00FC0D7C"/>
    <w:rsid w:val="00FC0E85"/>
    <w:rsid w:val="00FC10B1"/>
    <w:rsid w:val="00FC1C46"/>
    <w:rsid w:val="00FC30AA"/>
    <w:rsid w:val="00FC4DD0"/>
    <w:rsid w:val="00FC6813"/>
    <w:rsid w:val="00FC6D47"/>
    <w:rsid w:val="00FD2097"/>
    <w:rsid w:val="00FD2EA6"/>
    <w:rsid w:val="00FD3A41"/>
    <w:rsid w:val="00FD47F4"/>
    <w:rsid w:val="00FD5927"/>
    <w:rsid w:val="00FD6DDD"/>
    <w:rsid w:val="00FD6E55"/>
    <w:rsid w:val="00FD7E5A"/>
    <w:rsid w:val="00FE1708"/>
    <w:rsid w:val="00FE2378"/>
    <w:rsid w:val="00FE2C6D"/>
    <w:rsid w:val="00FE3E94"/>
    <w:rsid w:val="00FE3FA5"/>
    <w:rsid w:val="00FE6AAF"/>
    <w:rsid w:val="00FE6CC2"/>
    <w:rsid w:val="00FE71EB"/>
    <w:rsid w:val="00FF045E"/>
    <w:rsid w:val="00FF04D8"/>
    <w:rsid w:val="00FF0C55"/>
    <w:rsid w:val="00FF1619"/>
    <w:rsid w:val="00FF3558"/>
    <w:rsid w:val="00FF3862"/>
    <w:rsid w:val="00FF44B6"/>
    <w:rsid w:val="00FF5CF1"/>
    <w:rsid w:val="00FF6CED"/>
    <w:rsid w:val="00FF77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FF57C5"/>
  <w15:chartTrackingRefBased/>
  <w15:docId w15:val="{9CAFFEE1-6E77-4C65-B9CB-AEE8BE048F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6338F"/>
    <w:pPr>
      <w:widowControl w:val="0"/>
      <w:adjustRightInd w:val="0"/>
      <w:snapToGrid w:val="0"/>
      <w:spacing w:after="120" w:line="360" w:lineRule="auto"/>
      <w:jc w:val="both"/>
    </w:pPr>
  </w:style>
  <w:style w:type="paragraph" w:styleId="1">
    <w:name w:val="heading 1"/>
    <w:aliases w:val="my_标题 1"/>
    <w:next w:val="a"/>
    <w:link w:val="10"/>
    <w:autoRedefine/>
    <w:uiPriority w:val="9"/>
    <w:qFormat/>
    <w:rsid w:val="00121EF2"/>
    <w:pPr>
      <w:keepNext/>
      <w:keepLines/>
      <w:spacing w:before="156" w:after="156" w:line="480" w:lineRule="auto"/>
      <w:jc w:val="center"/>
      <w:outlineLvl w:val="0"/>
    </w:pPr>
    <w:rPr>
      <w:rFonts w:eastAsia="Times New Roman"/>
      <w:b/>
      <w:bCs/>
      <w:kern w:val="44"/>
      <w:sz w:val="32"/>
      <w:szCs w:val="32"/>
    </w:rPr>
  </w:style>
  <w:style w:type="paragraph" w:styleId="2">
    <w:name w:val="heading 2"/>
    <w:aliases w:val="my_标题 2"/>
    <w:next w:val="3"/>
    <w:link w:val="20"/>
    <w:autoRedefine/>
    <w:uiPriority w:val="9"/>
    <w:unhideWhenUsed/>
    <w:qFormat/>
    <w:rsid w:val="00D31873"/>
    <w:pPr>
      <w:keepNext/>
      <w:keepLines/>
      <w:adjustRightInd w:val="0"/>
      <w:snapToGrid w:val="0"/>
      <w:spacing w:before="156"/>
      <w:outlineLvl w:val="1"/>
    </w:pPr>
    <w:rPr>
      <w:rFonts w:eastAsiaTheme="minorEastAsia" w:cstheme="majorBidi"/>
      <w:b/>
      <w:bCs/>
      <w:sz w:val="24"/>
      <w:szCs w:val="24"/>
    </w:rPr>
  </w:style>
  <w:style w:type="paragraph" w:styleId="3">
    <w:name w:val="heading 3"/>
    <w:aliases w:val="my_标题 3"/>
    <w:next w:val="my"/>
    <w:link w:val="30"/>
    <w:autoRedefine/>
    <w:uiPriority w:val="9"/>
    <w:unhideWhenUsed/>
    <w:qFormat/>
    <w:rsid w:val="00CA1319"/>
    <w:pPr>
      <w:keepNext/>
      <w:keepLines/>
      <w:adjustRightInd w:val="0"/>
      <w:snapToGrid w:val="0"/>
      <w:spacing w:beforeLines="50" w:before="156" w:afterLines="50" w:after="156"/>
      <w:ind w:leftChars="100" w:left="210" w:rightChars="100" w:right="210"/>
      <w:outlineLvl w:val="2"/>
    </w:pPr>
    <w:rPr>
      <w:rFonts w:eastAsiaTheme="minorEastAsia"/>
      <w:szCs w:val="21"/>
    </w:rPr>
  </w:style>
  <w:style w:type="paragraph" w:styleId="4">
    <w:name w:val="heading 4"/>
    <w:basedOn w:val="3"/>
    <w:next w:val="a"/>
    <w:link w:val="40"/>
    <w:autoRedefine/>
    <w:uiPriority w:val="9"/>
    <w:unhideWhenUsed/>
    <w:qFormat/>
    <w:rsid w:val="00A21C87"/>
    <w:pPr>
      <w:outlineLvl w:val="3"/>
    </w:pPr>
    <w:rPr>
      <w:rFonts w:cstheme="majorBidi"/>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正文版式"/>
    <w:basedOn w:val="a4"/>
    <w:link w:val="a5"/>
    <w:qFormat/>
    <w:rsid w:val="00246A42"/>
    <w:pPr>
      <w:ind w:firstLineChars="200" w:firstLine="200"/>
    </w:pPr>
    <w:rPr>
      <w:rFonts w:cstheme="minorBidi"/>
      <w:bCs/>
      <w:sz w:val="24"/>
      <w:szCs w:val="24"/>
    </w:rPr>
  </w:style>
  <w:style w:type="character" w:customStyle="1" w:styleId="a5">
    <w:name w:val="正文版式 字符"/>
    <w:basedOn w:val="a0"/>
    <w:link w:val="a3"/>
    <w:rsid w:val="00246A42"/>
    <w:rPr>
      <w:rFonts w:cstheme="minorBidi"/>
      <w:bCs/>
      <w:sz w:val="24"/>
      <w:szCs w:val="24"/>
    </w:rPr>
  </w:style>
  <w:style w:type="paragraph" w:styleId="a6">
    <w:name w:val="Body Text"/>
    <w:basedOn w:val="a"/>
    <w:link w:val="a7"/>
    <w:uiPriority w:val="99"/>
    <w:semiHidden/>
    <w:unhideWhenUsed/>
    <w:rsid w:val="00246A42"/>
  </w:style>
  <w:style w:type="character" w:customStyle="1" w:styleId="a7">
    <w:name w:val="正文文本 字符"/>
    <w:basedOn w:val="a0"/>
    <w:link w:val="a6"/>
    <w:uiPriority w:val="99"/>
    <w:semiHidden/>
    <w:rsid w:val="00246A42"/>
  </w:style>
  <w:style w:type="paragraph" w:styleId="a4">
    <w:name w:val="Body Text First Indent"/>
    <w:basedOn w:val="a6"/>
    <w:link w:val="a8"/>
    <w:uiPriority w:val="99"/>
    <w:semiHidden/>
    <w:unhideWhenUsed/>
    <w:rsid w:val="00246A42"/>
    <w:pPr>
      <w:ind w:firstLineChars="100" w:firstLine="420"/>
    </w:pPr>
  </w:style>
  <w:style w:type="character" w:customStyle="1" w:styleId="a8">
    <w:name w:val="正文文本首行缩进 字符"/>
    <w:basedOn w:val="a7"/>
    <w:link w:val="a4"/>
    <w:uiPriority w:val="99"/>
    <w:semiHidden/>
    <w:rsid w:val="00246A42"/>
  </w:style>
  <w:style w:type="character" w:customStyle="1" w:styleId="10">
    <w:name w:val="标题 1 字符"/>
    <w:aliases w:val="my_标题 1 字符"/>
    <w:basedOn w:val="a0"/>
    <w:link w:val="1"/>
    <w:uiPriority w:val="9"/>
    <w:rsid w:val="00121EF2"/>
    <w:rPr>
      <w:rFonts w:eastAsia="Times New Roman"/>
      <w:b/>
      <w:bCs/>
      <w:kern w:val="44"/>
      <w:sz w:val="32"/>
      <w:szCs w:val="32"/>
    </w:rPr>
  </w:style>
  <w:style w:type="character" w:customStyle="1" w:styleId="20">
    <w:name w:val="标题 2 字符"/>
    <w:aliases w:val="my_标题 2 字符"/>
    <w:basedOn w:val="a0"/>
    <w:link w:val="2"/>
    <w:uiPriority w:val="9"/>
    <w:rsid w:val="00D31873"/>
    <w:rPr>
      <w:rFonts w:eastAsiaTheme="minorEastAsia" w:cstheme="majorBidi"/>
      <w:b/>
      <w:bCs/>
      <w:sz w:val="24"/>
      <w:szCs w:val="24"/>
    </w:rPr>
  </w:style>
  <w:style w:type="character" w:customStyle="1" w:styleId="30">
    <w:name w:val="标题 3 字符"/>
    <w:aliases w:val="my_标题 3 字符"/>
    <w:basedOn w:val="a0"/>
    <w:link w:val="3"/>
    <w:uiPriority w:val="9"/>
    <w:rsid w:val="00CA1319"/>
    <w:rPr>
      <w:rFonts w:eastAsiaTheme="minorEastAsia"/>
      <w:szCs w:val="21"/>
    </w:rPr>
  </w:style>
  <w:style w:type="character" w:customStyle="1" w:styleId="40">
    <w:name w:val="标题 4 字符"/>
    <w:basedOn w:val="a0"/>
    <w:link w:val="4"/>
    <w:uiPriority w:val="9"/>
    <w:rsid w:val="00A21C87"/>
    <w:rPr>
      <w:rFonts w:cstheme="majorBidi"/>
      <w:b/>
      <w:sz w:val="28"/>
      <w:szCs w:val="28"/>
    </w:rPr>
  </w:style>
  <w:style w:type="paragraph" w:customStyle="1" w:styleId="a9">
    <w:name w:val="参考文献列表"/>
    <w:link w:val="aa"/>
    <w:autoRedefine/>
    <w:qFormat/>
    <w:rsid w:val="00EE5D76"/>
    <w:pPr>
      <w:adjustRightInd w:val="0"/>
      <w:snapToGrid w:val="0"/>
    </w:pPr>
    <w:rPr>
      <w:noProof/>
      <w:sz w:val="20"/>
    </w:rPr>
  </w:style>
  <w:style w:type="character" w:customStyle="1" w:styleId="aa">
    <w:name w:val="参考文献列表 字符"/>
    <w:basedOn w:val="a0"/>
    <w:link w:val="a9"/>
    <w:rsid w:val="00EE5D76"/>
    <w:rPr>
      <w:noProof/>
      <w:sz w:val="20"/>
    </w:rPr>
  </w:style>
  <w:style w:type="paragraph" w:styleId="ab">
    <w:name w:val="header"/>
    <w:basedOn w:val="a"/>
    <w:link w:val="ac"/>
    <w:uiPriority w:val="99"/>
    <w:unhideWhenUsed/>
    <w:rsid w:val="00121EF2"/>
    <w:pPr>
      <w:tabs>
        <w:tab w:val="center" w:pos="4153"/>
        <w:tab w:val="right" w:pos="8306"/>
      </w:tabs>
      <w:spacing w:line="240" w:lineRule="auto"/>
      <w:jc w:val="center"/>
    </w:pPr>
    <w:rPr>
      <w:sz w:val="18"/>
      <w:szCs w:val="18"/>
    </w:rPr>
  </w:style>
  <w:style w:type="character" w:customStyle="1" w:styleId="ac">
    <w:name w:val="页眉 字符"/>
    <w:basedOn w:val="a0"/>
    <w:link w:val="ab"/>
    <w:uiPriority w:val="99"/>
    <w:rsid w:val="00121EF2"/>
    <w:rPr>
      <w:sz w:val="18"/>
      <w:szCs w:val="18"/>
    </w:rPr>
  </w:style>
  <w:style w:type="paragraph" w:styleId="ad">
    <w:name w:val="footer"/>
    <w:basedOn w:val="a"/>
    <w:link w:val="ae"/>
    <w:uiPriority w:val="99"/>
    <w:unhideWhenUsed/>
    <w:rsid w:val="00121EF2"/>
    <w:pPr>
      <w:tabs>
        <w:tab w:val="center" w:pos="4153"/>
        <w:tab w:val="right" w:pos="8306"/>
      </w:tabs>
      <w:spacing w:line="240" w:lineRule="auto"/>
      <w:jc w:val="left"/>
    </w:pPr>
    <w:rPr>
      <w:sz w:val="18"/>
      <w:szCs w:val="18"/>
    </w:rPr>
  </w:style>
  <w:style w:type="character" w:customStyle="1" w:styleId="ae">
    <w:name w:val="页脚 字符"/>
    <w:basedOn w:val="a0"/>
    <w:link w:val="ad"/>
    <w:uiPriority w:val="99"/>
    <w:rsid w:val="00121EF2"/>
    <w:rPr>
      <w:sz w:val="18"/>
      <w:szCs w:val="18"/>
    </w:rPr>
  </w:style>
  <w:style w:type="paragraph" w:customStyle="1" w:styleId="my">
    <w:name w:val="my_正文"/>
    <w:basedOn w:val="a"/>
    <w:link w:val="my0"/>
    <w:qFormat/>
    <w:rsid w:val="0005566F"/>
    <w:pPr>
      <w:spacing w:beforeLines="50" w:before="50" w:after="0" w:line="240" w:lineRule="auto"/>
    </w:pPr>
    <w:rPr>
      <w:rFonts w:eastAsia="Times New Roman"/>
      <w:szCs w:val="21"/>
    </w:rPr>
  </w:style>
  <w:style w:type="character" w:customStyle="1" w:styleId="my0">
    <w:name w:val="my_正文 字符"/>
    <w:basedOn w:val="a0"/>
    <w:link w:val="my"/>
    <w:rsid w:val="0005566F"/>
    <w:rPr>
      <w:rFonts w:eastAsia="Times New Roman"/>
      <w:szCs w:val="21"/>
    </w:rPr>
  </w:style>
  <w:style w:type="character" w:styleId="af">
    <w:name w:val="Placeholder Text"/>
    <w:basedOn w:val="a0"/>
    <w:uiPriority w:val="99"/>
    <w:semiHidden/>
    <w:rsid w:val="00811CD8"/>
    <w:rPr>
      <w:color w:val="666666"/>
    </w:rPr>
  </w:style>
  <w:style w:type="table" w:styleId="af0">
    <w:name w:val="Table Grid"/>
    <w:basedOn w:val="a1"/>
    <w:uiPriority w:val="39"/>
    <w:rsid w:val="000A34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title">
    <w:name w:val="ref-title"/>
    <w:basedOn w:val="a0"/>
    <w:rsid w:val="00EC7F63"/>
  </w:style>
  <w:style w:type="paragraph" w:customStyle="1" w:styleId="EndNoteBibliographyTitle">
    <w:name w:val="EndNote Bibliography Title"/>
    <w:basedOn w:val="a"/>
    <w:link w:val="EndNoteBibliographyTitle0"/>
    <w:rsid w:val="00E21EE5"/>
    <w:pPr>
      <w:spacing w:after="0"/>
      <w:jc w:val="center"/>
    </w:pPr>
    <w:rPr>
      <w:noProof/>
      <w:sz w:val="20"/>
    </w:rPr>
  </w:style>
  <w:style w:type="character" w:customStyle="1" w:styleId="EndNoteBibliographyTitle0">
    <w:name w:val="EndNote Bibliography Title 字符"/>
    <w:basedOn w:val="my0"/>
    <w:link w:val="EndNoteBibliographyTitle"/>
    <w:rsid w:val="00E21EE5"/>
    <w:rPr>
      <w:rFonts w:eastAsia="Times New Roman"/>
      <w:noProof/>
      <w:sz w:val="20"/>
      <w:szCs w:val="21"/>
    </w:rPr>
  </w:style>
  <w:style w:type="paragraph" w:customStyle="1" w:styleId="EndNoteBibliography">
    <w:name w:val="EndNote Bibliography"/>
    <w:basedOn w:val="a"/>
    <w:link w:val="EndNoteBibliography0"/>
    <w:rsid w:val="00E21EE5"/>
    <w:pPr>
      <w:spacing w:line="240" w:lineRule="auto"/>
    </w:pPr>
    <w:rPr>
      <w:noProof/>
      <w:sz w:val="20"/>
    </w:rPr>
  </w:style>
  <w:style w:type="character" w:customStyle="1" w:styleId="EndNoteBibliography0">
    <w:name w:val="EndNote Bibliography 字符"/>
    <w:basedOn w:val="my0"/>
    <w:link w:val="EndNoteBibliography"/>
    <w:rsid w:val="00E21EE5"/>
    <w:rPr>
      <w:rFonts w:eastAsia="Times New Roman"/>
      <w:noProof/>
      <w:sz w:val="20"/>
      <w:szCs w:val="21"/>
    </w:rPr>
  </w:style>
  <w:style w:type="character" w:styleId="af1">
    <w:name w:val="Hyperlink"/>
    <w:basedOn w:val="a0"/>
    <w:uiPriority w:val="99"/>
    <w:unhideWhenUsed/>
    <w:rsid w:val="00825842"/>
    <w:rPr>
      <w:color w:val="467886" w:themeColor="hyperlink"/>
      <w:u w:val="single"/>
    </w:rPr>
  </w:style>
  <w:style w:type="character" w:styleId="af2">
    <w:name w:val="Unresolved Mention"/>
    <w:basedOn w:val="a0"/>
    <w:uiPriority w:val="99"/>
    <w:semiHidden/>
    <w:unhideWhenUsed/>
    <w:rsid w:val="00825842"/>
    <w:rPr>
      <w:color w:val="605E5C"/>
      <w:shd w:val="clear" w:color="auto" w:fill="E1DFDD"/>
    </w:rPr>
  </w:style>
  <w:style w:type="character" w:customStyle="1" w:styleId="bib-reference-label">
    <w:name w:val="bib-reference-label"/>
    <w:basedOn w:val="a0"/>
    <w:rsid w:val="002C55D0"/>
  </w:style>
  <w:style w:type="character" w:styleId="af3">
    <w:name w:val="annotation reference"/>
    <w:basedOn w:val="a0"/>
    <w:uiPriority w:val="99"/>
    <w:semiHidden/>
    <w:unhideWhenUsed/>
    <w:rsid w:val="007E1998"/>
    <w:rPr>
      <w:sz w:val="21"/>
      <w:szCs w:val="21"/>
    </w:rPr>
  </w:style>
  <w:style w:type="paragraph" w:styleId="af4">
    <w:name w:val="annotation text"/>
    <w:basedOn w:val="a"/>
    <w:link w:val="af5"/>
    <w:uiPriority w:val="99"/>
    <w:unhideWhenUsed/>
    <w:rsid w:val="007E1998"/>
    <w:pPr>
      <w:jc w:val="left"/>
    </w:pPr>
  </w:style>
  <w:style w:type="character" w:customStyle="1" w:styleId="af5">
    <w:name w:val="批注文字 字符"/>
    <w:basedOn w:val="a0"/>
    <w:link w:val="af4"/>
    <w:uiPriority w:val="99"/>
    <w:rsid w:val="007E1998"/>
  </w:style>
  <w:style w:type="paragraph" w:styleId="af6">
    <w:name w:val="annotation subject"/>
    <w:basedOn w:val="af4"/>
    <w:next w:val="af4"/>
    <w:link w:val="af7"/>
    <w:uiPriority w:val="99"/>
    <w:semiHidden/>
    <w:unhideWhenUsed/>
    <w:rsid w:val="007E1998"/>
    <w:rPr>
      <w:b/>
      <w:bCs/>
    </w:rPr>
  </w:style>
  <w:style w:type="character" w:customStyle="1" w:styleId="af7">
    <w:name w:val="批注主题 字符"/>
    <w:basedOn w:val="af5"/>
    <w:link w:val="af6"/>
    <w:uiPriority w:val="99"/>
    <w:semiHidden/>
    <w:rsid w:val="007E1998"/>
    <w:rPr>
      <w:b/>
      <w:bCs/>
    </w:rPr>
  </w:style>
  <w:style w:type="character" w:styleId="af8">
    <w:name w:val="line number"/>
    <w:basedOn w:val="a0"/>
    <w:uiPriority w:val="99"/>
    <w:semiHidden/>
    <w:unhideWhenUsed/>
    <w:rsid w:val="009A0731"/>
  </w:style>
  <w:style w:type="paragraph" w:styleId="af9">
    <w:name w:val="Normal (Web)"/>
    <w:basedOn w:val="a"/>
    <w:uiPriority w:val="99"/>
    <w:semiHidden/>
    <w:unhideWhenUsed/>
    <w:rsid w:val="00F50AAC"/>
    <w:pPr>
      <w:widowControl/>
      <w:adjustRightInd/>
      <w:snapToGrid/>
      <w:spacing w:before="100" w:beforeAutospacing="1" w:after="100" w:afterAutospacing="1" w:line="240" w:lineRule="auto"/>
      <w:jc w:val="left"/>
    </w:pPr>
    <w:rPr>
      <w:rFonts w:ascii="宋体" w:hAnsi="宋体" w:cs="宋体"/>
      <w:kern w:val="0"/>
      <w:sz w:val="24"/>
      <w:szCs w:val="24"/>
    </w:rPr>
  </w:style>
  <w:style w:type="character" w:styleId="afa">
    <w:name w:val="FollowedHyperlink"/>
    <w:basedOn w:val="a0"/>
    <w:uiPriority w:val="99"/>
    <w:semiHidden/>
    <w:unhideWhenUsed/>
    <w:rsid w:val="00770A41"/>
    <w:rPr>
      <w:color w:val="96607D" w:themeColor="followedHyperlink"/>
      <w:u w:val="single"/>
    </w:rPr>
  </w:style>
  <w:style w:type="paragraph" w:styleId="afb">
    <w:name w:val="Revision"/>
    <w:hidden/>
    <w:uiPriority w:val="99"/>
    <w:semiHidden/>
    <w:rsid w:val="000C75EB"/>
  </w:style>
  <w:style w:type="paragraph" w:customStyle="1" w:styleId="afc">
    <w:name w:val="图注"/>
    <w:basedOn w:val="a9"/>
    <w:link w:val="afd"/>
    <w:qFormat/>
    <w:rsid w:val="00C224D9"/>
    <w:pPr>
      <w:jc w:val="both"/>
    </w:pPr>
  </w:style>
  <w:style w:type="character" w:customStyle="1" w:styleId="afd">
    <w:name w:val="图注 字符"/>
    <w:basedOn w:val="aa"/>
    <w:link w:val="afc"/>
    <w:rsid w:val="00C224D9"/>
    <w:rPr>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01593">
      <w:bodyDiv w:val="1"/>
      <w:marLeft w:val="0"/>
      <w:marRight w:val="0"/>
      <w:marTop w:val="0"/>
      <w:marBottom w:val="0"/>
      <w:divBdr>
        <w:top w:val="none" w:sz="0" w:space="0" w:color="auto"/>
        <w:left w:val="none" w:sz="0" w:space="0" w:color="auto"/>
        <w:bottom w:val="none" w:sz="0" w:space="0" w:color="auto"/>
        <w:right w:val="none" w:sz="0" w:space="0" w:color="auto"/>
      </w:divBdr>
    </w:div>
    <w:div w:id="41491827">
      <w:bodyDiv w:val="1"/>
      <w:marLeft w:val="0"/>
      <w:marRight w:val="0"/>
      <w:marTop w:val="0"/>
      <w:marBottom w:val="0"/>
      <w:divBdr>
        <w:top w:val="none" w:sz="0" w:space="0" w:color="auto"/>
        <w:left w:val="none" w:sz="0" w:space="0" w:color="auto"/>
        <w:bottom w:val="none" w:sz="0" w:space="0" w:color="auto"/>
        <w:right w:val="none" w:sz="0" w:space="0" w:color="auto"/>
      </w:divBdr>
    </w:div>
    <w:div w:id="133371309">
      <w:bodyDiv w:val="1"/>
      <w:marLeft w:val="0"/>
      <w:marRight w:val="0"/>
      <w:marTop w:val="0"/>
      <w:marBottom w:val="0"/>
      <w:divBdr>
        <w:top w:val="none" w:sz="0" w:space="0" w:color="auto"/>
        <w:left w:val="none" w:sz="0" w:space="0" w:color="auto"/>
        <w:bottom w:val="none" w:sz="0" w:space="0" w:color="auto"/>
        <w:right w:val="none" w:sz="0" w:space="0" w:color="auto"/>
      </w:divBdr>
    </w:div>
    <w:div w:id="134496017">
      <w:bodyDiv w:val="1"/>
      <w:marLeft w:val="0"/>
      <w:marRight w:val="0"/>
      <w:marTop w:val="0"/>
      <w:marBottom w:val="0"/>
      <w:divBdr>
        <w:top w:val="none" w:sz="0" w:space="0" w:color="auto"/>
        <w:left w:val="none" w:sz="0" w:space="0" w:color="auto"/>
        <w:bottom w:val="none" w:sz="0" w:space="0" w:color="auto"/>
        <w:right w:val="none" w:sz="0" w:space="0" w:color="auto"/>
      </w:divBdr>
    </w:div>
    <w:div w:id="146870626">
      <w:bodyDiv w:val="1"/>
      <w:marLeft w:val="0"/>
      <w:marRight w:val="0"/>
      <w:marTop w:val="0"/>
      <w:marBottom w:val="0"/>
      <w:divBdr>
        <w:top w:val="none" w:sz="0" w:space="0" w:color="auto"/>
        <w:left w:val="none" w:sz="0" w:space="0" w:color="auto"/>
        <w:bottom w:val="none" w:sz="0" w:space="0" w:color="auto"/>
        <w:right w:val="none" w:sz="0" w:space="0" w:color="auto"/>
      </w:divBdr>
    </w:div>
    <w:div w:id="270283122">
      <w:bodyDiv w:val="1"/>
      <w:marLeft w:val="0"/>
      <w:marRight w:val="0"/>
      <w:marTop w:val="0"/>
      <w:marBottom w:val="0"/>
      <w:divBdr>
        <w:top w:val="none" w:sz="0" w:space="0" w:color="auto"/>
        <w:left w:val="none" w:sz="0" w:space="0" w:color="auto"/>
        <w:bottom w:val="none" w:sz="0" w:space="0" w:color="auto"/>
        <w:right w:val="none" w:sz="0" w:space="0" w:color="auto"/>
      </w:divBdr>
    </w:div>
    <w:div w:id="569968794">
      <w:bodyDiv w:val="1"/>
      <w:marLeft w:val="0"/>
      <w:marRight w:val="0"/>
      <w:marTop w:val="0"/>
      <w:marBottom w:val="0"/>
      <w:divBdr>
        <w:top w:val="none" w:sz="0" w:space="0" w:color="auto"/>
        <w:left w:val="none" w:sz="0" w:space="0" w:color="auto"/>
        <w:bottom w:val="none" w:sz="0" w:space="0" w:color="auto"/>
        <w:right w:val="none" w:sz="0" w:space="0" w:color="auto"/>
      </w:divBdr>
    </w:div>
    <w:div w:id="662902584">
      <w:bodyDiv w:val="1"/>
      <w:marLeft w:val="0"/>
      <w:marRight w:val="0"/>
      <w:marTop w:val="0"/>
      <w:marBottom w:val="0"/>
      <w:divBdr>
        <w:top w:val="none" w:sz="0" w:space="0" w:color="auto"/>
        <w:left w:val="none" w:sz="0" w:space="0" w:color="auto"/>
        <w:bottom w:val="none" w:sz="0" w:space="0" w:color="auto"/>
        <w:right w:val="none" w:sz="0" w:space="0" w:color="auto"/>
      </w:divBdr>
    </w:div>
    <w:div w:id="689186769">
      <w:bodyDiv w:val="1"/>
      <w:marLeft w:val="0"/>
      <w:marRight w:val="0"/>
      <w:marTop w:val="0"/>
      <w:marBottom w:val="0"/>
      <w:divBdr>
        <w:top w:val="none" w:sz="0" w:space="0" w:color="auto"/>
        <w:left w:val="none" w:sz="0" w:space="0" w:color="auto"/>
        <w:bottom w:val="none" w:sz="0" w:space="0" w:color="auto"/>
        <w:right w:val="none" w:sz="0" w:space="0" w:color="auto"/>
      </w:divBdr>
    </w:div>
    <w:div w:id="725566825">
      <w:bodyDiv w:val="1"/>
      <w:marLeft w:val="0"/>
      <w:marRight w:val="0"/>
      <w:marTop w:val="0"/>
      <w:marBottom w:val="0"/>
      <w:divBdr>
        <w:top w:val="none" w:sz="0" w:space="0" w:color="auto"/>
        <w:left w:val="none" w:sz="0" w:space="0" w:color="auto"/>
        <w:bottom w:val="none" w:sz="0" w:space="0" w:color="auto"/>
        <w:right w:val="none" w:sz="0" w:space="0" w:color="auto"/>
      </w:divBdr>
    </w:div>
    <w:div w:id="795221556">
      <w:bodyDiv w:val="1"/>
      <w:marLeft w:val="0"/>
      <w:marRight w:val="0"/>
      <w:marTop w:val="0"/>
      <w:marBottom w:val="0"/>
      <w:divBdr>
        <w:top w:val="none" w:sz="0" w:space="0" w:color="auto"/>
        <w:left w:val="none" w:sz="0" w:space="0" w:color="auto"/>
        <w:bottom w:val="none" w:sz="0" w:space="0" w:color="auto"/>
        <w:right w:val="none" w:sz="0" w:space="0" w:color="auto"/>
      </w:divBdr>
    </w:div>
    <w:div w:id="841235560">
      <w:bodyDiv w:val="1"/>
      <w:marLeft w:val="0"/>
      <w:marRight w:val="0"/>
      <w:marTop w:val="0"/>
      <w:marBottom w:val="0"/>
      <w:divBdr>
        <w:top w:val="none" w:sz="0" w:space="0" w:color="auto"/>
        <w:left w:val="none" w:sz="0" w:space="0" w:color="auto"/>
        <w:bottom w:val="none" w:sz="0" w:space="0" w:color="auto"/>
        <w:right w:val="none" w:sz="0" w:space="0" w:color="auto"/>
      </w:divBdr>
    </w:div>
    <w:div w:id="855388489">
      <w:bodyDiv w:val="1"/>
      <w:marLeft w:val="0"/>
      <w:marRight w:val="0"/>
      <w:marTop w:val="0"/>
      <w:marBottom w:val="0"/>
      <w:divBdr>
        <w:top w:val="none" w:sz="0" w:space="0" w:color="auto"/>
        <w:left w:val="none" w:sz="0" w:space="0" w:color="auto"/>
        <w:bottom w:val="none" w:sz="0" w:space="0" w:color="auto"/>
        <w:right w:val="none" w:sz="0" w:space="0" w:color="auto"/>
      </w:divBdr>
    </w:div>
    <w:div w:id="873924858">
      <w:bodyDiv w:val="1"/>
      <w:marLeft w:val="0"/>
      <w:marRight w:val="0"/>
      <w:marTop w:val="0"/>
      <w:marBottom w:val="0"/>
      <w:divBdr>
        <w:top w:val="none" w:sz="0" w:space="0" w:color="auto"/>
        <w:left w:val="none" w:sz="0" w:space="0" w:color="auto"/>
        <w:bottom w:val="none" w:sz="0" w:space="0" w:color="auto"/>
        <w:right w:val="none" w:sz="0" w:space="0" w:color="auto"/>
      </w:divBdr>
    </w:div>
    <w:div w:id="906261121">
      <w:bodyDiv w:val="1"/>
      <w:marLeft w:val="0"/>
      <w:marRight w:val="0"/>
      <w:marTop w:val="0"/>
      <w:marBottom w:val="0"/>
      <w:divBdr>
        <w:top w:val="none" w:sz="0" w:space="0" w:color="auto"/>
        <w:left w:val="none" w:sz="0" w:space="0" w:color="auto"/>
        <w:bottom w:val="none" w:sz="0" w:space="0" w:color="auto"/>
        <w:right w:val="none" w:sz="0" w:space="0" w:color="auto"/>
      </w:divBdr>
    </w:div>
    <w:div w:id="927037072">
      <w:bodyDiv w:val="1"/>
      <w:marLeft w:val="0"/>
      <w:marRight w:val="0"/>
      <w:marTop w:val="0"/>
      <w:marBottom w:val="0"/>
      <w:divBdr>
        <w:top w:val="none" w:sz="0" w:space="0" w:color="auto"/>
        <w:left w:val="none" w:sz="0" w:space="0" w:color="auto"/>
        <w:bottom w:val="none" w:sz="0" w:space="0" w:color="auto"/>
        <w:right w:val="none" w:sz="0" w:space="0" w:color="auto"/>
      </w:divBdr>
    </w:div>
    <w:div w:id="1250239106">
      <w:bodyDiv w:val="1"/>
      <w:marLeft w:val="0"/>
      <w:marRight w:val="0"/>
      <w:marTop w:val="0"/>
      <w:marBottom w:val="0"/>
      <w:divBdr>
        <w:top w:val="none" w:sz="0" w:space="0" w:color="auto"/>
        <w:left w:val="none" w:sz="0" w:space="0" w:color="auto"/>
        <w:bottom w:val="none" w:sz="0" w:space="0" w:color="auto"/>
        <w:right w:val="none" w:sz="0" w:space="0" w:color="auto"/>
      </w:divBdr>
      <w:divsChild>
        <w:div w:id="809978113">
          <w:marLeft w:val="0"/>
          <w:marRight w:val="0"/>
          <w:marTop w:val="0"/>
          <w:marBottom w:val="0"/>
          <w:divBdr>
            <w:top w:val="none" w:sz="0" w:space="0" w:color="auto"/>
            <w:left w:val="none" w:sz="0" w:space="0" w:color="auto"/>
            <w:bottom w:val="none" w:sz="0" w:space="0" w:color="auto"/>
            <w:right w:val="none" w:sz="0" w:space="0" w:color="auto"/>
          </w:divBdr>
        </w:div>
      </w:divsChild>
    </w:div>
    <w:div w:id="1303347167">
      <w:bodyDiv w:val="1"/>
      <w:marLeft w:val="0"/>
      <w:marRight w:val="0"/>
      <w:marTop w:val="0"/>
      <w:marBottom w:val="0"/>
      <w:divBdr>
        <w:top w:val="none" w:sz="0" w:space="0" w:color="auto"/>
        <w:left w:val="none" w:sz="0" w:space="0" w:color="auto"/>
        <w:bottom w:val="none" w:sz="0" w:space="0" w:color="auto"/>
        <w:right w:val="none" w:sz="0" w:space="0" w:color="auto"/>
      </w:divBdr>
    </w:div>
    <w:div w:id="1350378489">
      <w:bodyDiv w:val="1"/>
      <w:marLeft w:val="0"/>
      <w:marRight w:val="0"/>
      <w:marTop w:val="0"/>
      <w:marBottom w:val="0"/>
      <w:divBdr>
        <w:top w:val="none" w:sz="0" w:space="0" w:color="auto"/>
        <w:left w:val="none" w:sz="0" w:space="0" w:color="auto"/>
        <w:bottom w:val="none" w:sz="0" w:space="0" w:color="auto"/>
        <w:right w:val="none" w:sz="0" w:space="0" w:color="auto"/>
      </w:divBdr>
    </w:div>
    <w:div w:id="1398279082">
      <w:bodyDiv w:val="1"/>
      <w:marLeft w:val="0"/>
      <w:marRight w:val="0"/>
      <w:marTop w:val="0"/>
      <w:marBottom w:val="0"/>
      <w:divBdr>
        <w:top w:val="none" w:sz="0" w:space="0" w:color="auto"/>
        <w:left w:val="none" w:sz="0" w:space="0" w:color="auto"/>
        <w:bottom w:val="none" w:sz="0" w:space="0" w:color="auto"/>
        <w:right w:val="none" w:sz="0" w:space="0" w:color="auto"/>
      </w:divBdr>
    </w:div>
    <w:div w:id="1485509557">
      <w:bodyDiv w:val="1"/>
      <w:marLeft w:val="0"/>
      <w:marRight w:val="0"/>
      <w:marTop w:val="0"/>
      <w:marBottom w:val="0"/>
      <w:divBdr>
        <w:top w:val="none" w:sz="0" w:space="0" w:color="auto"/>
        <w:left w:val="none" w:sz="0" w:space="0" w:color="auto"/>
        <w:bottom w:val="none" w:sz="0" w:space="0" w:color="auto"/>
        <w:right w:val="none" w:sz="0" w:space="0" w:color="auto"/>
      </w:divBdr>
    </w:div>
    <w:div w:id="1488933998">
      <w:bodyDiv w:val="1"/>
      <w:marLeft w:val="0"/>
      <w:marRight w:val="0"/>
      <w:marTop w:val="0"/>
      <w:marBottom w:val="0"/>
      <w:divBdr>
        <w:top w:val="none" w:sz="0" w:space="0" w:color="auto"/>
        <w:left w:val="none" w:sz="0" w:space="0" w:color="auto"/>
        <w:bottom w:val="none" w:sz="0" w:space="0" w:color="auto"/>
        <w:right w:val="none" w:sz="0" w:space="0" w:color="auto"/>
      </w:divBdr>
    </w:div>
    <w:div w:id="1508448801">
      <w:bodyDiv w:val="1"/>
      <w:marLeft w:val="0"/>
      <w:marRight w:val="0"/>
      <w:marTop w:val="0"/>
      <w:marBottom w:val="0"/>
      <w:divBdr>
        <w:top w:val="none" w:sz="0" w:space="0" w:color="auto"/>
        <w:left w:val="none" w:sz="0" w:space="0" w:color="auto"/>
        <w:bottom w:val="none" w:sz="0" w:space="0" w:color="auto"/>
        <w:right w:val="none" w:sz="0" w:space="0" w:color="auto"/>
      </w:divBdr>
    </w:div>
    <w:div w:id="1545604193">
      <w:bodyDiv w:val="1"/>
      <w:marLeft w:val="0"/>
      <w:marRight w:val="0"/>
      <w:marTop w:val="0"/>
      <w:marBottom w:val="0"/>
      <w:divBdr>
        <w:top w:val="none" w:sz="0" w:space="0" w:color="auto"/>
        <w:left w:val="none" w:sz="0" w:space="0" w:color="auto"/>
        <w:bottom w:val="none" w:sz="0" w:space="0" w:color="auto"/>
        <w:right w:val="none" w:sz="0" w:space="0" w:color="auto"/>
      </w:divBdr>
    </w:div>
    <w:div w:id="1553419435">
      <w:bodyDiv w:val="1"/>
      <w:marLeft w:val="0"/>
      <w:marRight w:val="0"/>
      <w:marTop w:val="0"/>
      <w:marBottom w:val="0"/>
      <w:divBdr>
        <w:top w:val="none" w:sz="0" w:space="0" w:color="auto"/>
        <w:left w:val="none" w:sz="0" w:space="0" w:color="auto"/>
        <w:bottom w:val="none" w:sz="0" w:space="0" w:color="auto"/>
        <w:right w:val="none" w:sz="0" w:space="0" w:color="auto"/>
      </w:divBdr>
    </w:div>
    <w:div w:id="1671444459">
      <w:bodyDiv w:val="1"/>
      <w:marLeft w:val="0"/>
      <w:marRight w:val="0"/>
      <w:marTop w:val="0"/>
      <w:marBottom w:val="0"/>
      <w:divBdr>
        <w:top w:val="none" w:sz="0" w:space="0" w:color="auto"/>
        <w:left w:val="none" w:sz="0" w:space="0" w:color="auto"/>
        <w:bottom w:val="none" w:sz="0" w:space="0" w:color="auto"/>
        <w:right w:val="none" w:sz="0" w:space="0" w:color="auto"/>
      </w:divBdr>
    </w:div>
    <w:div w:id="1775519800">
      <w:bodyDiv w:val="1"/>
      <w:marLeft w:val="0"/>
      <w:marRight w:val="0"/>
      <w:marTop w:val="0"/>
      <w:marBottom w:val="0"/>
      <w:divBdr>
        <w:top w:val="none" w:sz="0" w:space="0" w:color="auto"/>
        <w:left w:val="none" w:sz="0" w:space="0" w:color="auto"/>
        <w:bottom w:val="none" w:sz="0" w:space="0" w:color="auto"/>
        <w:right w:val="none" w:sz="0" w:space="0" w:color="auto"/>
      </w:divBdr>
    </w:div>
    <w:div w:id="1801024464">
      <w:bodyDiv w:val="1"/>
      <w:marLeft w:val="0"/>
      <w:marRight w:val="0"/>
      <w:marTop w:val="0"/>
      <w:marBottom w:val="0"/>
      <w:divBdr>
        <w:top w:val="none" w:sz="0" w:space="0" w:color="auto"/>
        <w:left w:val="none" w:sz="0" w:space="0" w:color="auto"/>
        <w:bottom w:val="none" w:sz="0" w:space="0" w:color="auto"/>
        <w:right w:val="none" w:sz="0" w:space="0" w:color="auto"/>
      </w:divBdr>
    </w:div>
    <w:div w:id="1868980403">
      <w:bodyDiv w:val="1"/>
      <w:marLeft w:val="0"/>
      <w:marRight w:val="0"/>
      <w:marTop w:val="0"/>
      <w:marBottom w:val="0"/>
      <w:divBdr>
        <w:top w:val="none" w:sz="0" w:space="0" w:color="auto"/>
        <w:left w:val="none" w:sz="0" w:space="0" w:color="auto"/>
        <w:bottom w:val="none" w:sz="0" w:space="0" w:color="auto"/>
        <w:right w:val="none" w:sz="0" w:space="0" w:color="auto"/>
      </w:divBdr>
    </w:div>
    <w:div w:id="1874538463">
      <w:bodyDiv w:val="1"/>
      <w:marLeft w:val="0"/>
      <w:marRight w:val="0"/>
      <w:marTop w:val="0"/>
      <w:marBottom w:val="0"/>
      <w:divBdr>
        <w:top w:val="none" w:sz="0" w:space="0" w:color="auto"/>
        <w:left w:val="none" w:sz="0" w:space="0" w:color="auto"/>
        <w:bottom w:val="none" w:sz="0" w:space="0" w:color="auto"/>
        <w:right w:val="none" w:sz="0" w:space="0" w:color="auto"/>
      </w:divBdr>
    </w:div>
    <w:div w:id="1989165613">
      <w:bodyDiv w:val="1"/>
      <w:marLeft w:val="0"/>
      <w:marRight w:val="0"/>
      <w:marTop w:val="0"/>
      <w:marBottom w:val="0"/>
      <w:divBdr>
        <w:top w:val="none" w:sz="0" w:space="0" w:color="auto"/>
        <w:left w:val="none" w:sz="0" w:space="0" w:color="auto"/>
        <w:bottom w:val="none" w:sz="0" w:space="0" w:color="auto"/>
        <w:right w:val="none" w:sz="0" w:space="0" w:color="auto"/>
      </w:divBdr>
    </w:div>
    <w:div w:id="2140688461">
      <w:bodyDiv w:val="1"/>
      <w:marLeft w:val="0"/>
      <w:marRight w:val="0"/>
      <w:marTop w:val="0"/>
      <w:marBottom w:val="0"/>
      <w:divBdr>
        <w:top w:val="none" w:sz="0" w:space="0" w:color="auto"/>
        <w:left w:val="none" w:sz="0" w:space="0" w:color="auto"/>
        <w:bottom w:val="none" w:sz="0" w:space="0" w:color="auto"/>
        <w:right w:val="none" w:sz="0" w:space="0" w:color="auto"/>
      </w:divBdr>
      <w:divsChild>
        <w:div w:id="2135446087">
          <w:marLeft w:val="0"/>
          <w:marRight w:val="0"/>
          <w:marTop w:val="0"/>
          <w:marBottom w:val="0"/>
          <w:divBdr>
            <w:top w:val="none" w:sz="0" w:space="0" w:color="auto"/>
            <w:left w:val="none" w:sz="0" w:space="0" w:color="auto"/>
            <w:bottom w:val="none" w:sz="0" w:space="0" w:color="auto"/>
            <w:right w:val="none" w:sz="0" w:space="0" w:color="auto"/>
          </w:divBdr>
        </w:div>
      </w:divsChild>
    </w:div>
    <w:div w:id="2147236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8</Pages>
  <Words>1694</Words>
  <Characters>10780</Characters>
  <Application>Microsoft Office Word</Application>
  <DocSecurity>0</DocSecurity>
  <Lines>173</Lines>
  <Paragraphs>62</Paragraphs>
  <ScaleCrop>false</ScaleCrop>
  <Company>HP Inc.</Company>
  <LinksUpToDate>false</LinksUpToDate>
  <CharactersWithSpaces>12412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 zhou</dc:creator>
  <cp:keywords/>
  <dc:description/>
  <cp:lastModifiedBy>lin zhou</cp:lastModifiedBy>
  <cp:revision>22</cp:revision>
  <cp:lastPrinted>2025-03-24T08:35:00Z</cp:lastPrinted>
  <dcterms:created xsi:type="dcterms:W3CDTF">2025-05-19T07:13:00Z</dcterms:created>
  <dcterms:modified xsi:type="dcterms:W3CDTF">2025-07-07T03:01:00Z</dcterms:modified>
</cp:coreProperties>
</file>