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974E5" w14:textId="73DC78A3" w:rsidR="00135533" w:rsidRDefault="00775274" w:rsidP="00203914">
      <w:pPr>
        <w:pStyle w:val="NormalWeb"/>
        <w:rPr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82EA00C" wp14:editId="27706E06">
            <wp:simplePos x="0" y="0"/>
            <wp:positionH relativeFrom="column">
              <wp:posOffset>539115</wp:posOffset>
            </wp:positionH>
            <wp:positionV relativeFrom="paragraph">
              <wp:posOffset>107950</wp:posOffset>
            </wp:positionV>
            <wp:extent cx="4832350" cy="2603343"/>
            <wp:effectExtent l="0" t="0" r="6350" b="6985"/>
            <wp:wrapTopAndBottom/>
            <wp:docPr id="1140304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260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5533" w:rsidRPr="00135533">
        <w:rPr>
          <w:b/>
          <w:bCs/>
          <w:sz w:val="22"/>
          <w:szCs w:val="22"/>
          <w:lang w:val="en-GB"/>
        </w:rPr>
        <w:t>Fig. S1</w:t>
      </w:r>
      <w:r w:rsidR="00135533" w:rsidRPr="00135533">
        <w:rPr>
          <w:sz w:val="22"/>
          <w:szCs w:val="22"/>
          <w:lang w:val="en-GB"/>
        </w:rPr>
        <w:t xml:space="preserve"> </w:t>
      </w:r>
      <w:r w:rsidR="007A5457" w:rsidRPr="007A5457">
        <w:rPr>
          <w:sz w:val="22"/>
          <w:szCs w:val="22"/>
          <w:lang w:val="en-GB"/>
        </w:rPr>
        <w:t>Particle size distribution of tire wear nanoparticles (TWPs) analyzed by dynamic light scattering (DLS). The main peak at 3</w:t>
      </w:r>
      <w:r w:rsidR="00203914">
        <w:rPr>
          <w:sz w:val="22"/>
          <w:szCs w:val="22"/>
          <w:lang w:val="en-GB"/>
        </w:rPr>
        <w:t>2</w:t>
      </w:r>
      <w:r w:rsidR="007A5457" w:rsidRPr="007A5457">
        <w:rPr>
          <w:sz w:val="22"/>
          <w:szCs w:val="22"/>
          <w:lang w:val="en-GB"/>
        </w:rPr>
        <w:t>7</w:t>
      </w:r>
      <w:r w:rsidR="00203914">
        <w:rPr>
          <w:sz w:val="22"/>
          <w:szCs w:val="22"/>
          <w:lang w:val="en-GB"/>
        </w:rPr>
        <w:t>.2 nm (100% intensity) corresponds to</w:t>
      </w:r>
      <w:r w:rsidR="007A5457" w:rsidRPr="007A5457">
        <w:rPr>
          <w:sz w:val="22"/>
          <w:szCs w:val="22"/>
          <w:lang w:val="en-GB"/>
        </w:rPr>
        <w:t xml:space="preserve"> the dominant nanoparticle fraction. </w:t>
      </w:r>
    </w:p>
    <w:p w14:paraId="5799B8B5" w14:textId="77777777" w:rsidR="00135533" w:rsidRPr="00135533" w:rsidRDefault="00135533" w:rsidP="00AF1B4E">
      <w:pPr>
        <w:rPr>
          <w:sz w:val="22"/>
          <w:szCs w:val="22"/>
          <w:lang w:val="en-GB"/>
        </w:rPr>
        <w:sectPr w:rsidR="00135533" w:rsidRPr="00135533" w:rsidSect="00277A6F">
          <w:pgSz w:w="11913" w:h="16834" w:code="9"/>
          <w:pgMar w:top="1411" w:right="1411" w:bottom="1411" w:left="1411" w:header="850" w:footer="562" w:gutter="0"/>
          <w:cols w:space="708"/>
          <w:noEndnote/>
          <w:titlePg/>
          <w:docGrid w:linePitch="326"/>
        </w:sectPr>
      </w:pPr>
    </w:p>
    <w:p w14:paraId="3AA3B730" w14:textId="71F09E2D" w:rsidR="009373D2" w:rsidRDefault="009373D2" w:rsidP="00AF1B4E">
      <w:pPr>
        <w:jc w:val="both"/>
        <w:rPr>
          <w:rFonts w:ascii="Times New Roman" w:eastAsia="SimSun" w:hAnsi="Times New Roman" w:cs="Times New Roman"/>
          <w:b/>
          <w:bCs/>
          <w:sz w:val="22"/>
          <w:szCs w:val="22"/>
          <w:lang w:val="en-GB"/>
        </w:rPr>
      </w:pPr>
      <w:r w:rsidRPr="009373D2">
        <w:rPr>
          <w:rFonts w:ascii="Times New Roman" w:eastAsia="SimSun" w:hAnsi="Times New Roman" w:cs="Times New Roman"/>
          <w:b/>
          <w:bCs/>
          <w:noProof/>
          <w:sz w:val="22"/>
          <w:szCs w:val="22"/>
          <w:lang w:val="en-GB"/>
        </w:rPr>
        <w:lastRenderedPageBreak/>
        <w:drawing>
          <wp:inline distT="0" distB="0" distL="0" distR="0" wp14:anchorId="36F12620" wp14:editId="3D180067">
            <wp:extent cx="5139043" cy="2518168"/>
            <wp:effectExtent l="0" t="0" r="5080" b="0"/>
            <wp:docPr id="32207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77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0200" cy="25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4BFF9" w14:textId="77777777" w:rsidR="009373D2" w:rsidRDefault="009373D2" w:rsidP="00AF1B4E">
      <w:pPr>
        <w:jc w:val="both"/>
        <w:rPr>
          <w:rFonts w:ascii="Times New Roman" w:eastAsia="SimSun" w:hAnsi="Times New Roman" w:cs="Times New Roman"/>
          <w:b/>
          <w:bCs/>
          <w:sz w:val="22"/>
          <w:szCs w:val="22"/>
          <w:lang w:val="en-GB"/>
        </w:rPr>
      </w:pPr>
    </w:p>
    <w:p w14:paraId="4657496B" w14:textId="35B7884D" w:rsidR="00247D51" w:rsidRPr="00135533" w:rsidRDefault="00247D51" w:rsidP="00AF1B4E">
      <w:pPr>
        <w:jc w:val="both"/>
        <w:rPr>
          <w:rFonts w:ascii="Times New Roman" w:eastAsia="SimSun" w:hAnsi="Times New Roman" w:cs="Times New Roman"/>
          <w:sz w:val="22"/>
          <w:szCs w:val="22"/>
          <w:lang w:val="en-GB"/>
        </w:rPr>
      </w:pPr>
      <w:r w:rsidRPr="00135533">
        <w:rPr>
          <w:rFonts w:ascii="Times New Roman" w:eastAsia="SimSun" w:hAnsi="Times New Roman" w:cs="Times New Roman"/>
          <w:b/>
          <w:bCs/>
          <w:sz w:val="22"/>
          <w:szCs w:val="22"/>
          <w:lang w:val="en-GB"/>
        </w:rPr>
        <w:t xml:space="preserve">Fig. S2 </w:t>
      </w:r>
      <w:r w:rsidRPr="00135533">
        <w:rPr>
          <w:rFonts w:ascii="Times New Roman" w:eastAsia="SimSun" w:hAnsi="Times New Roman" w:cs="Times New Roman"/>
          <w:sz w:val="22"/>
          <w:szCs w:val="22"/>
        </w:rPr>
        <w:t>Fourier Transform Infrared (FTIR)</w:t>
      </w:r>
      <w:r w:rsidRPr="00135533">
        <w:rPr>
          <w:rFonts w:ascii="Times New Roman" w:eastAsia="SimSun" w:hAnsi="Times New Roman" w:cs="Times New Roman"/>
          <w:sz w:val="22"/>
          <w:szCs w:val="22"/>
          <w:lang w:val="en-GB"/>
        </w:rPr>
        <w:t xml:space="preserve"> </w:t>
      </w:r>
      <w:r w:rsidR="009A06FC">
        <w:rPr>
          <w:rFonts w:ascii="Times New Roman" w:eastAsia="SimSun" w:hAnsi="Times New Roman" w:cs="Times New Roman"/>
          <w:sz w:val="22"/>
          <w:szCs w:val="22"/>
          <w:lang w:val="en-GB"/>
        </w:rPr>
        <w:t xml:space="preserve">spectra </w:t>
      </w:r>
      <w:r w:rsidRPr="00135533">
        <w:rPr>
          <w:rFonts w:ascii="Times New Roman" w:eastAsia="SimSun" w:hAnsi="Times New Roman" w:cs="Times New Roman"/>
          <w:sz w:val="22"/>
          <w:szCs w:val="22"/>
          <w:lang w:val="en-GB"/>
        </w:rPr>
        <w:t>of tire wear nanoparticles</w:t>
      </w:r>
      <w:r w:rsidRPr="00135533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9A06FC">
        <w:rPr>
          <w:rFonts w:ascii="Times New Roman" w:hAnsi="Times New Roman" w:cs="Times New Roman"/>
          <w:sz w:val="22"/>
          <w:szCs w:val="22"/>
          <w:lang w:val="en-GB"/>
        </w:rPr>
        <w:t>showing characteristic peaks of</w:t>
      </w:r>
      <w:r w:rsidRPr="00135533">
        <w:rPr>
          <w:rFonts w:ascii="Times New Roman" w:eastAsia="SimSun" w:hAnsi="Times New Roman" w:cs="Times New Roman"/>
          <w:sz w:val="22"/>
          <w:szCs w:val="22"/>
          <w:lang w:val="en-GB"/>
        </w:rPr>
        <w:t xml:space="preserve"> functional groups.</w:t>
      </w:r>
    </w:p>
    <w:p w14:paraId="5DE50237" w14:textId="77777777" w:rsidR="00135533" w:rsidRPr="00135533" w:rsidRDefault="00135533" w:rsidP="00AF1B4E">
      <w:pPr>
        <w:jc w:val="both"/>
        <w:rPr>
          <w:rFonts w:ascii="Times New Roman" w:eastAsia="SimSun" w:hAnsi="Times New Roman" w:cs="Times New Roman"/>
          <w:sz w:val="22"/>
          <w:szCs w:val="22"/>
          <w:lang w:val="en-GB"/>
        </w:rPr>
      </w:pPr>
    </w:p>
    <w:p w14:paraId="3592D558" w14:textId="77777777" w:rsidR="00135533" w:rsidRPr="00135533" w:rsidRDefault="00135533" w:rsidP="00AF1B4E">
      <w:pPr>
        <w:jc w:val="both"/>
        <w:rPr>
          <w:rFonts w:ascii="Times New Roman" w:eastAsia="SimSun" w:hAnsi="Times New Roman" w:cs="Times New Roman"/>
          <w:sz w:val="22"/>
          <w:szCs w:val="22"/>
          <w:lang w:val="en-GB"/>
        </w:rPr>
        <w:sectPr w:rsidR="00135533" w:rsidRPr="00135533" w:rsidSect="00247D51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</w:p>
    <w:p w14:paraId="4C0DA3E9" w14:textId="2ECB22BF" w:rsidR="00AF1B4E" w:rsidRDefault="000B4F66" w:rsidP="00AF1B4E">
      <w:pPr>
        <w:pStyle w:val="NormalWeb"/>
        <w:spacing w:before="0" w:beforeAutospacing="0" w:after="0" w:afterAutospacing="0"/>
        <w:rPr>
          <w:rStyle w:val="Strong"/>
          <w:rFonts w:eastAsiaTheme="majorEastAsia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31181B8" wp14:editId="0D784A75">
            <wp:simplePos x="0" y="0"/>
            <wp:positionH relativeFrom="column">
              <wp:posOffset>2141446</wp:posOffset>
            </wp:positionH>
            <wp:positionV relativeFrom="paragraph">
              <wp:posOffset>2098570</wp:posOffset>
            </wp:positionV>
            <wp:extent cx="1787525" cy="1390015"/>
            <wp:effectExtent l="0" t="0" r="3175" b="635"/>
            <wp:wrapNone/>
            <wp:docPr id="3" name="Picture 2" descr="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9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5533">
        <w:rPr>
          <w:noProof/>
          <w:sz w:val="22"/>
          <w:szCs w:val="22"/>
          <w:lang w:val="en-GB"/>
        </w:rPr>
        <w:drawing>
          <wp:anchor distT="0" distB="0" distL="114300" distR="114300" simplePos="0" relativeHeight="251664384" behindDoc="0" locked="0" layoutInCell="1" allowOverlap="1" wp14:anchorId="6376FA88" wp14:editId="32A8B6C4">
            <wp:simplePos x="0" y="0"/>
            <wp:positionH relativeFrom="column">
              <wp:posOffset>3926187</wp:posOffset>
            </wp:positionH>
            <wp:positionV relativeFrom="paragraph">
              <wp:posOffset>2083101</wp:posOffset>
            </wp:positionV>
            <wp:extent cx="1512294" cy="1406247"/>
            <wp:effectExtent l="0" t="0" r="0" b="3810"/>
            <wp:wrapNone/>
            <wp:docPr id="1576811084" name="Picture 157681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77" t="44719" r="763" b="1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66" cy="14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B4E">
        <w:rPr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CBF69" wp14:editId="289EBA39">
                <wp:simplePos x="0" y="0"/>
                <wp:positionH relativeFrom="column">
                  <wp:posOffset>82550</wp:posOffset>
                </wp:positionH>
                <wp:positionV relativeFrom="paragraph">
                  <wp:posOffset>2019300</wp:posOffset>
                </wp:positionV>
                <wp:extent cx="203200" cy="279400"/>
                <wp:effectExtent l="0" t="0" r="0" b="6350"/>
                <wp:wrapNone/>
                <wp:docPr id="17150502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097FB" w14:textId="46357BFC" w:rsidR="00AF1B4E" w:rsidRPr="00AF1B4E" w:rsidRDefault="00AF1B4E" w:rsidP="00AF1B4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F1B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4CBF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5pt;margin-top:159pt;width:16pt;height:2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" filled="f" stroked="f" strokeweight=".5pt">
                <v:textbox>
                  <w:txbxContent>
                    <w:p w14:paraId="333097FB" w14:textId="46357BFC" w:rsidR="00AF1B4E" w:rsidRPr="00AF1B4E" w:rsidRDefault="00AF1B4E" w:rsidP="00AF1B4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</w:rPr>
                      </w:pPr>
                      <w:r w:rsidRPr="00AF1B4E"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F1B4E">
        <w:rPr>
          <w:noProof/>
        </w:rPr>
        <w:drawing>
          <wp:inline distT="0" distB="0" distL="0" distR="0" wp14:anchorId="40590515" wp14:editId="765C1991">
            <wp:extent cx="5537169" cy="2839573"/>
            <wp:effectExtent l="0" t="0" r="6985" b="0"/>
            <wp:docPr id="5" name="Picture 4" descr="Image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597" cy="285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B4E" w:rsidRPr="00135533">
        <w:rPr>
          <w:noProof/>
          <w:sz w:val="22"/>
          <w:szCs w:val="22"/>
          <w:lang w:val="en-GB"/>
        </w:rPr>
        <w:drawing>
          <wp:anchor distT="0" distB="0" distL="114300" distR="114300" simplePos="0" relativeHeight="251662336" behindDoc="0" locked="0" layoutInCell="1" allowOverlap="1" wp14:anchorId="7A64A37C" wp14:editId="1414E90D">
            <wp:simplePos x="0" y="0"/>
            <wp:positionH relativeFrom="column">
              <wp:posOffset>82550</wp:posOffset>
            </wp:positionH>
            <wp:positionV relativeFrom="paragraph">
              <wp:posOffset>158750</wp:posOffset>
            </wp:positionV>
            <wp:extent cx="5459730" cy="1860550"/>
            <wp:effectExtent l="0" t="0" r="7620" b="63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3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b="56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EC59E" w14:textId="57EB599A" w:rsidR="00135533" w:rsidRPr="00135533" w:rsidRDefault="00135533" w:rsidP="00AF1B4E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79101E3B" w14:textId="31DA8D73" w:rsidR="00135533" w:rsidRPr="00AF1B4E" w:rsidRDefault="00AF1B4E" w:rsidP="00AF1B4E">
      <w:pPr>
        <w:rPr>
          <w:rFonts w:asciiTheme="majorBidi" w:hAnsiTheme="majorBidi" w:cstheme="majorBidi"/>
          <w:sz w:val="22"/>
          <w:szCs w:val="22"/>
          <w:lang w:val="en-GB"/>
        </w:rPr>
      </w:pPr>
      <w:r w:rsidRPr="00AF1B4E">
        <w:rPr>
          <w:rStyle w:val="Strong"/>
          <w:rFonts w:asciiTheme="majorBidi" w:eastAsiaTheme="majorEastAsia" w:hAnsiTheme="majorBidi" w:cstheme="majorBidi"/>
          <w:sz w:val="22"/>
          <w:szCs w:val="22"/>
        </w:rPr>
        <w:t>Fig. S3</w:t>
      </w:r>
      <w:r w:rsidRPr="00AF1B4E">
        <w:rPr>
          <w:rFonts w:asciiTheme="majorBidi" w:hAnsiTheme="majorBidi" w:cstheme="majorBidi"/>
          <w:sz w:val="22"/>
          <w:szCs w:val="22"/>
        </w:rPr>
        <w:t xml:space="preserve"> (a-c) Scanning Electron Microscopy (SEM) images of tire wear nanoparticles at increasing magnifications (500x, 1000x, 4000x)</w:t>
      </w:r>
      <w:r w:rsidR="00AF5B49">
        <w:rPr>
          <w:rFonts w:asciiTheme="majorBidi" w:hAnsiTheme="majorBidi" w:cstheme="majorBidi"/>
          <w:sz w:val="22"/>
          <w:szCs w:val="22"/>
        </w:rPr>
        <w:t>.</w:t>
      </w:r>
      <w:r w:rsidRPr="00AF1B4E">
        <w:rPr>
          <w:rFonts w:asciiTheme="majorBidi" w:hAnsiTheme="majorBidi" w:cstheme="majorBidi"/>
          <w:sz w:val="22"/>
          <w:szCs w:val="22"/>
        </w:rPr>
        <w:t xml:space="preserve"> (d) </w:t>
      </w:r>
      <w:r w:rsidR="00DF01B0">
        <w:rPr>
          <w:rFonts w:asciiTheme="majorBidi" w:hAnsiTheme="majorBidi" w:cstheme="majorBidi"/>
          <w:sz w:val="22"/>
          <w:szCs w:val="22"/>
        </w:rPr>
        <w:t xml:space="preserve">Energy-Dispersive X-ray (EDX) spectrum highlighting the </w:t>
      </w:r>
      <w:r w:rsidRPr="00AF1B4E">
        <w:rPr>
          <w:rFonts w:asciiTheme="majorBidi" w:hAnsiTheme="majorBidi" w:cstheme="majorBidi"/>
          <w:sz w:val="22"/>
          <w:szCs w:val="22"/>
        </w:rPr>
        <w:t>elemental composition</w:t>
      </w:r>
      <w:r>
        <w:rPr>
          <w:rFonts w:asciiTheme="majorBidi" w:hAnsiTheme="majorBidi" w:cstheme="majorBidi"/>
          <w:sz w:val="22"/>
          <w:szCs w:val="22"/>
          <w:lang w:val="en-GB"/>
        </w:rPr>
        <w:t>.</w:t>
      </w:r>
      <w:r w:rsidR="00135533" w:rsidRPr="00AF1B4E">
        <w:rPr>
          <w:rFonts w:asciiTheme="majorBidi" w:hAnsiTheme="majorBidi" w:cstheme="majorBidi"/>
          <w:sz w:val="22"/>
          <w:szCs w:val="22"/>
          <w:lang w:val="en-GB"/>
        </w:rPr>
        <w:br w:type="page"/>
      </w:r>
    </w:p>
    <w:p w14:paraId="6D007CC0" w14:textId="70EAF381" w:rsidR="00135533" w:rsidRPr="00135533" w:rsidRDefault="00135533" w:rsidP="00AF1B4E">
      <w:pPr>
        <w:jc w:val="both"/>
        <w:rPr>
          <w:rFonts w:ascii="Times New Roman" w:eastAsia="SimSun" w:hAnsi="Times New Roman" w:cs="Times New Roman"/>
          <w:sz w:val="22"/>
          <w:szCs w:val="22"/>
          <w:lang w:val="en-GB"/>
        </w:rPr>
        <w:sectPr w:rsidR="00135533" w:rsidRPr="00135533" w:rsidSect="00247D51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</w:p>
    <w:p w14:paraId="6B1344CC" w14:textId="1F1AC24B" w:rsidR="00CF7DDB" w:rsidRDefault="00A30491" w:rsidP="00AF1B4E">
      <w:pPr>
        <w:rPr>
          <w:sz w:val="22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7C6CA8AA" wp14:editId="1AB138F6">
            <wp:extent cx="5772785" cy="3846830"/>
            <wp:effectExtent l="0" t="0" r="0" b="1270"/>
            <wp:docPr id="89573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48D4" w14:textId="77777777" w:rsidR="00A30491" w:rsidRDefault="00A30491" w:rsidP="00AF1B4E">
      <w:pPr>
        <w:rPr>
          <w:rStyle w:val="Strong"/>
          <w:rFonts w:asciiTheme="majorBidi" w:hAnsiTheme="majorBidi" w:cstheme="majorBidi"/>
          <w:sz w:val="22"/>
          <w:szCs w:val="22"/>
          <w:highlight w:val="yellow"/>
        </w:rPr>
      </w:pPr>
    </w:p>
    <w:p w14:paraId="232F7834" w14:textId="1A911258" w:rsidR="00135533" w:rsidRPr="00135533" w:rsidRDefault="00135533" w:rsidP="00AF1B4E">
      <w:pPr>
        <w:rPr>
          <w:rFonts w:asciiTheme="majorBidi" w:hAnsiTheme="majorBidi" w:cstheme="majorBidi"/>
          <w:sz w:val="22"/>
          <w:szCs w:val="22"/>
        </w:rPr>
      </w:pPr>
      <w:r w:rsidRPr="003A7D57">
        <w:rPr>
          <w:rStyle w:val="Strong"/>
          <w:rFonts w:asciiTheme="majorBidi" w:hAnsiTheme="majorBidi" w:cstheme="majorBidi"/>
          <w:sz w:val="22"/>
          <w:szCs w:val="22"/>
        </w:rPr>
        <w:t xml:space="preserve">Fig. </w:t>
      </w:r>
      <w:r w:rsidRPr="003A7D57">
        <w:rPr>
          <w:rStyle w:val="Strong"/>
          <w:rFonts w:asciiTheme="majorBidi" w:eastAsiaTheme="majorEastAsia" w:hAnsiTheme="majorBidi" w:cstheme="majorBidi"/>
          <w:sz w:val="22"/>
          <w:szCs w:val="22"/>
        </w:rPr>
        <w:t xml:space="preserve">S4 </w:t>
      </w:r>
      <w:r w:rsidR="00EA2928" w:rsidRPr="00EA2928">
        <w:rPr>
          <w:rStyle w:val="Strong"/>
          <w:rFonts w:asciiTheme="majorBidi" w:eastAsiaTheme="majorEastAsia" w:hAnsiTheme="majorBidi" w:cstheme="majorBidi"/>
          <w:b w:val="0"/>
          <w:bCs w:val="0"/>
          <w:sz w:val="22"/>
          <w:szCs w:val="22"/>
        </w:rPr>
        <w:t>X-ray diffraction (XRD) patterns of tire wear nanoparticles (TWPs) analyzed with Cu Kα radiation (λ = 1.5406 Å). The primary crystalline phase identified was porphyrazine</w:t>
      </w:r>
      <w:r w:rsidR="00EA2928">
        <w:rPr>
          <w:rStyle w:val="Strong"/>
          <w:rFonts w:asciiTheme="majorBidi" w:eastAsiaTheme="majorEastAsia" w:hAnsiTheme="majorBidi" w:cstheme="majorBidi"/>
          <w:b w:val="0"/>
          <w:bCs w:val="0"/>
          <w:sz w:val="22"/>
          <w:szCs w:val="22"/>
        </w:rPr>
        <w:t xml:space="preserve"> </w:t>
      </w:r>
      <w:r w:rsidR="00EA2928" w:rsidRPr="00EA2928">
        <w:rPr>
          <w:rStyle w:val="Strong"/>
          <w:rFonts w:asciiTheme="majorBidi" w:eastAsiaTheme="majorEastAsia" w:hAnsiTheme="majorBidi" w:cstheme="majorBidi"/>
          <w:b w:val="0"/>
          <w:bCs w:val="0"/>
          <w:sz w:val="22"/>
          <w:szCs w:val="22"/>
        </w:rPr>
        <w:t>gallium</w:t>
      </w:r>
      <w:r w:rsidR="00EA2928">
        <w:rPr>
          <w:rStyle w:val="Strong"/>
          <w:rFonts w:asciiTheme="majorBidi" w:eastAsiaTheme="majorEastAsia" w:hAnsiTheme="majorBidi" w:cstheme="majorBidi"/>
          <w:b w:val="0"/>
          <w:bCs w:val="0"/>
          <w:sz w:val="22"/>
          <w:szCs w:val="22"/>
        </w:rPr>
        <w:t xml:space="preserve"> </w:t>
      </w:r>
      <w:r w:rsidR="00EA2928" w:rsidRPr="00EA2928">
        <w:rPr>
          <w:rStyle w:val="Strong"/>
          <w:rFonts w:asciiTheme="majorBidi" w:eastAsiaTheme="majorEastAsia" w:hAnsiTheme="majorBidi" w:cstheme="majorBidi"/>
          <w:b w:val="0"/>
          <w:bCs w:val="0"/>
          <w:sz w:val="22"/>
          <w:szCs w:val="22"/>
        </w:rPr>
        <w:t>chloride (90.5%), with minor phases of cannizzarite (6.5%) and elemental selenium (3.0%), as indicated by the indexed diffraction peaks. The data highlights the complex mineral composition of TWPs, suggesting a mixture of organometallic and inorganic crystalline phases that may influence environmental persistence and bioavailability.</w:t>
      </w:r>
      <w:r w:rsidRPr="00135533">
        <w:rPr>
          <w:rFonts w:asciiTheme="majorBidi" w:hAnsiTheme="majorBidi" w:cstheme="majorBidi"/>
          <w:sz w:val="22"/>
          <w:szCs w:val="22"/>
        </w:rPr>
        <w:t xml:space="preserve"> </w:t>
      </w:r>
    </w:p>
    <w:sectPr w:rsidR="00135533" w:rsidRPr="00135533" w:rsidSect="00277A6F">
      <w:pgSz w:w="11913" w:h="16834" w:code="9"/>
      <w:pgMar w:top="1411" w:right="1411" w:bottom="1411" w:left="1411" w:header="850" w:footer="562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E0MDE3Mza1NDQ0MDRU0lEKTi0uzszPAykwrgUAG7y5ziwAAAA="/>
  </w:docVars>
  <w:rsids>
    <w:rsidRoot w:val="00C500FC"/>
    <w:rsid w:val="000B4F66"/>
    <w:rsid w:val="0010661C"/>
    <w:rsid w:val="00135533"/>
    <w:rsid w:val="001972FA"/>
    <w:rsid w:val="001A6E3A"/>
    <w:rsid w:val="00203914"/>
    <w:rsid w:val="00205E1C"/>
    <w:rsid w:val="00247D51"/>
    <w:rsid w:val="00277A6F"/>
    <w:rsid w:val="002A0B03"/>
    <w:rsid w:val="002C13BF"/>
    <w:rsid w:val="002E0F31"/>
    <w:rsid w:val="00331017"/>
    <w:rsid w:val="003A7D57"/>
    <w:rsid w:val="005139D5"/>
    <w:rsid w:val="00550821"/>
    <w:rsid w:val="006F3EFA"/>
    <w:rsid w:val="00775274"/>
    <w:rsid w:val="007A5457"/>
    <w:rsid w:val="009015B6"/>
    <w:rsid w:val="00922322"/>
    <w:rsid w:val="009373D2"/>
    <w:rsid w:val="009A06FC"/>
    <w:rsid w:val="00A30491"/>
    <w:rsid w:val="00AC54AB"/>
    <w:rsid w:val="00AF1B4E"/>
    <w:rsid w:val="00AF484B"/>
    <w:rsid w:val="00AF5B49"/>
    <w:rsid w:val="00B456B9"/>
    <w:rsid w:val="00B771A3"/>
    <w:rsid w:val="00C500FC"/>
    <w:rsid w:val="00CD154A"/>
    <w:rsid w:val="00CF7DDB"/>
    <w:rsid w:val="00DF01B0"/>
    <w:rsid w:val="00E64D22"/>
    <w:rsid w:val="00EA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2CDB62"/>
  <w15:chartTrackingRefBased/>
  <w15:docId w15:val="{BE5913C9-7736-4191-B528-192949CD5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HAnsi" w:hAnsiTheme="minorEastAsia" w:cs="Times New Roman"/>
        <w:kern w:val="2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0FC"/>
    <w:pPr>
      <w:spacing w:after="0" w:line="240" w:lineRule="auto"/>
    </w:pPr>
    <w:rPr>
      <w:rFonts w:asciiTheme="minorHAnsi" w:eastAsiaTheme="minorEastAsia" w:hAnsiTheme="minorHAnsi" w:cstheme="minorBidi"/>
      <w:kern w:val="0"/>
      <w:sz w:val="20"/>
      <w:szCs w:val="20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00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00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00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00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00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00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00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00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00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00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00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00F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00F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00F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00F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00F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00F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00F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00F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00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00F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00F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00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00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00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00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00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00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00F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1355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1355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9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Dr. Sumera Anwar</cp:lastModifiedBy>
  <cp:revision>2</cp:revision>
  <dcterms:created xsi:type="dcterms:W3CDTF">2025-07-25T06:40:00Z</dcterms:created>
  <dcterms:modified xsi:type="dcterms:W3CDTF">2025-07-25T06:40:00Z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8db43821-3ca7-4264-b02d-de4cd7236697</vt:lpwstr>
  </property>
</Properties>
</file>